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FE" w:rsidRDefault="009E2BFE" w:rsidP="009E2BFE">
      <w:pPr>
        <w:outlineLvl w:val="0"/>
        <w:rPr>
          <w:b/>
        </w:rPr>
      </w:pPr>
      <w:bookmarkStart w:id="0" w:name="_GoBack"/>
      <w:bookmarkEnd w:id="0"/>
      <w:r w:rsidRPr="00675E1B">
        <w:rPr>
          <w:b/>
        </w:rPr>
        <w:t>Důvodová zpráva:</w:t>
      </w:r>
    </w:p>
    <w:p w:rsidR="000E6F8B" w:rsidRDefault="000E6F8B" w:rsidP="000E6F8B">
      <w:pPr>
        <w:jc w:val="both"/>
      </w:pPr>
    </w:p>
    <w:p w:rsidR="000E6F8B" w:rsidRDefault="007B3C14" w:rsidP="000E6F8B">
      <w:pPr>
        <w:jc w:val="both"/>
      </w:pPr>
      <w:r w:rsidRPr="007B3C14">
        <w:t xml:space="preserve">Rada Olomouckého kraje (dále jen ROK) </w:t>
      </w:r>
      <w:r w:rsidR="004F5C15">
        <w:t xml:space="preserve">projednala </w:t>
      </w:r>
      <w:r w:rsidR="00756089">
        <w:t>dne 29. 4. 2016</w:t>
      </w:r>
      <w:r w:rsidRPr="007B3C14">
        <w:t xml:space="preserve"> účast Olomouckého kraje v projektu „</w:t>
      </w:r>
      <w:r>
        <w:t>Fall prevention project</w:t>
      </w:r>
      <w:r w:rsidRPr="007B3C14">
        <w:t xml:space="preserve"> DOREEN“ v programu Interreg CENTRAL EUROPE</w:t>
      </w:r>
      <w:r w:rsidR="004F5C15">
        <w:t xml:space="preserve">. Souhlasila s účastí v projektu i se </w:t>
      </w:r>
      <w:r w:rsidRPr="007B3C14">
        <w:t xml:space="preserve">zajištěním </w:t>
      </w:r>
      <w:r w:rsidR="001B1CC3">
        <w:t>předfinancování a</w:t>
      </w:r>
      <w:r w:rsidR="009837E1">
        <w:t> </w:t>
      </w:r>
      <w:r w:rsidRPr="007B3C14">
        <w:t>spolufinancování uvedeného projektu.</w:t>
      </w:r>
    </w:p>
    <w:p w:rsidR="007B3C14" w:rsidRDefault="007B3C14" w:rsidP="000E6F8B">
      <w:pPr>
        <w:jc w:val="both"/>
      </w:pPr>
    </w:p>
    <w:p w:rsidR="000E6F8B" w:rsidRPr="00024A1A" w:rsidRDefault="000E6F8B" w:rsidP="000E6F8B">
      <w:pPr>
        <w:jc w:val="both"/>
      </w:pPr>
      <w:r w:rsidRPr="00024A1A">
        <w:t>Pády jsou řazeny mezi závažné výzvy současnosti s potřebou řešení. Až 35% lidí nad 65 let padá, 30% až 50% padá v zařízeních dlouhodobé péče. Rozvinuté země EU a region přijímají opatření pro prevencí pádů v koordinaci s místními správami, neboť současné modely zdravotní péče nevyhovují, čili nejsou účinné v prevenci pádů. Problémy pádů seniorů jsou Evropskou komisí rovněž zařazeny mezi závažné otázky spojené se stárnoucí populací a chronickými chorobami, které je nutné řešit v období do roku.</w:t>
      </w:r>
    </w:p>
    <w:p w:rsidR="00172410" w:rsidRDefault="00172410" w:rsidP="00172410">
      <w:pPr>
        <w:jc w:val="both"/>
      </w:pPr>
    </w:p>
    <w:p w:rsidR="00172410" w:rsidRDefault="00172410" w:rsidP="00172410">
      <w:pPr>
        <w:jc w:val="both"/>
      </w:pPr>
      <w:r w:rsidRPr="00172410">
        <w:t xml:space="preserve">Projekt bude podán do programu Interreg CENTRAL EUROPE. Zpracování žádosti je jednokolové. V pořadí již druhá výzva bude vyhlášena 26. 4. 2016, příjem žádostí bude trvat do 23. 6. 2016. ROK již účast Olomouckého kraje v tomto projektu projednala dne 2. 4. 2015, projekt však </w:t>
      </w:r>
      <w:r w:rsidR="006F4714">
        <w:t xml:space="preserve">nakonec </w:t>
      </w:r>
      <w:r w:rsidRPr="00172410">
        <w:t xml:space="preserve">nebyl podán z technických důvodů na straně </w:t>
      </w:r>
      <w:r w:rsidR="00ED4465">
        <w:t>vedoucího</w:t>
      </w:r>
      <w:r w:rsidRPr="00172410">
        <w:t xml:space="preserve"> partnera. </w:t>
      </w:r>
    </w:p>
    <w:p w:rsidR="00172410" w:rsidRPr="00172410" w:rsidRDefault="00172410" w:rsidP="00172410">
      <w:pPr>
        <w:jc w:val="both"/>
      </w:pPr>
    </w:p>
    <w:p w:rsidR="00172410" w:rsidRDefault="00172410" w:rsidP="00172410">
      <w:pPr>
        <w:jc w:val="both"/>
      </w:pPr>
      <w:r w:rsidRPr="00172410">
        <w:t xml:space="preserve">Za zpracování žádosti je zodpovědný </w:t>
      </w:r>
      <w:r w:rsidR="00ED4465">
        <w:t>vedoucí</w:t>
      </w:r>
      <w:r w:rsidRPr="00172410">
        <w:t xml:space="preserve"> partner projektu, kterým je německé Saské ministerstvo práce, sociálních věcí a ochrany spotřebitele. Projekt má celkem 12 partnerů, z nichž každý má v rámci projektu vlastní rozpočet. Mezi nimi jsou jediní dva čeští partneři, za samosprávu Olomoucký kraj a za zdravotnictví Fakultní nemocnice Olomouc. Dalšími partnery jsou GeriNet e.V. (síť poskytovatelů sociálních služeb v Sasku, Německo), Fraunhofer-Gesellschaft zur Förderung der angewandten Forschung e.V. (výzkumná organizace v oblasti technologií, Německo), University of Lower Silesia (Polsko), Marshal‘s Office of Lower Silesian Voivodeship (úřad maršála Dolnoslezského vojvodství, Polsko), University Medical, Centre Utrecht (Lékařská fakulta Univerzity Utrecht, Nizozemí), Salvatore Maugeri Foundation Occupational Medicine and Rehabilitation Institute, Clinical Care and Research Institute (klinické výzkumné centrum, Itálie), University of Zagreb, School of Medicine (Lékařská fakulta Univerzity Záhřeb, Chorvatsko), BSC, Business Support Centre, Ltd., Kranj (agentura pro regionální rozvoj, Slovinsko), Pozega-Slavonia County (Požežsko-slavonská župa, Chorvatsko). </w:t>
      </w:r>
    </w:p>
    <w:p w:rsidR="00172410" w:rsidRPr="00172410" w:rsidRDefault="00172410" w:rsidP="00172410">
      <w:pPr>
        <w:jc w:val="both"/>
      </w:pPr>
    </w:p>
    <w:p w:rsidR="00172410" w:rsidRPr="00172410" w:rsidRDefault="00172410" w:rsidP="00172410">
      <w:pPr>
        <w:jc w:val="both"/>
      </w:pPr>
      <w:r w:rsidRPr="00172410">
        <w:t xml:space="preserve">Projekt je plánován jako tříletý a jeho realizace bude probíhat v letech 2017 – 2020. Celkové náklady projektu (za všechny partnery) jsou aktuálně ve </w:t>
      </w:r>
      <w:r w:rsidRPr="006F64F5">
        <w:t xml:space="preserve">výši </w:t>
      </w:r>
      <w:r w:rsidR="006F64F5" w:rsidRPr="006F64F5">
        <w:t>2 mil.</w:t>
      </w:r>
      <w:r w:rsidRPr="006F64F5">
        <w:t xml:space="preserve"> EUR</w:t>
      </w:r>
      <w:r w:rsidRPr="00172410">
        <w:t>. Na úrovni všech projektových partnerů bude probíhat spolupráce mezi regiony ze zúčastněných zemí: uskuteční se semináře a konference k otázce prevence pádů, budou navrženy regionální strategie pro prevenci pádů, budou zpracovány návrhy organizačních modelů pro implementaci strategie prevence pádů, dojde k identifikaci potřeb cílové populace, bude provedena analýza trhu s vhodnými produkty na bázi ICT pro prevenci pádů pro cílové skupiny občanů, budou realizovány pilotní projekty se zvolenými asistivními technologiemi, bude zpracován katalog a provedena demonstrace navržených řešení pro zájmové skupiny, budou probíhat edukační programy a propagace pomocí tištěných a audiovizuálních médií, dojde k zapojení průmyslu z regionů v EU umožňujících jejich další růst a vytváření pracovních příležitostí.</w:t>
      </w:r>
    </w:p>
    <w:p w:rsidR="00172410" w:rsidRDefault="00172410" w:rsidP="00172410">
      <w:pPr>
        <w:jc w:val="both"/>
        <w:rPr>
          <w:b/>
        </w:rPr>
      </w:pPr>
    </w:p>
    <w:p w:rsidR="00F2528E" w:rsidRPr="00172410" w:rsidRDefault="00F2528E" w:rsidP="00172410">
      <w:pPr>
        <w:jc w:val="both"/>
        <w:rPr>
          <w:b/>
        </w:rPr>
      </w:pPr>
    </w:p>
    <w:p w:rsidR="00172410" w:rsidRPr="00172410" w:rsidRDefault="00172410" w:rsidP="00172410">
      <w:pPr>
        <w:jc w:val="both"/>
        <w:rPr>
          <w:b/>
        </w:rPr>
      </w:pPr>
      <w:r w:rsidRPr="00172410">
        <w:rPr>
          <w:b/>
        </w:rPr>
        <w:t>Aktivity Olomouckého kraje</w:t>
      </w:r>
    </w:p>
    <w:p w:rsidR="00172410" w:rsidRPr="00172410" w:rsidRDefault="00172410" w:rsidP="00172410">
      <w:pPr>
        <w:jc w:val="both"/>
      </w:pPr>
      <w:r w:rsidRPr="00172410">
        <w:rPr>
          <w:b/>
        </w:rPr>
        <w:t>Pilotní ověření</w:t>
      </w:r>
      <w:r w:rsidRPr="00172410">
        <w:t xml:space="preserve"> v jednom zdravotnickém centrum (Odborný léčebný ústav Paseka) a jednom zařízení sociální péče (Domov důchodců Hrubá Voda). V pilotních projektech se pro zvolená zařízení předpokládá nákup celkem </w:t>
      </w:r>
      <w:r w:rsidR="00EB503E">
        <w:t xml:space="preserve">20 interaktivních pomůcek a </w:t>
      </w:r>
      <w:r w:rsidRPr="00172410">
        <w:t xml:space="preserve">30 polohovacích lůžek s výbavou pro prevenci pádů. Následně proběhne monitoring a vyhodnocování pilotních projektů personálně </w:t>
      </w:r>
      <w:r w:rsidR="0081077C">
        <w:t xml:space="preserve">zajištěné </w:t>
      </w:r>
      <w:r w:rsidRPr="00172410">
        <w:t xml:space="preserve">z týmů zvolených zařízení – DPČ sester a dalšího nutného personálu; inženýrská podpora pilotů s lůžky bude od Národního telemedicínského centra (dále jen „NTMC“) na základě DPČ a dodavatelů technologií (jako součást dodávky lůžek). V Olomouckém kraji by bylo sledováno možné využití </w:t>
      </w:r>
      <w:r w:rsidR="00EB503E">
        <w:t xml:space="preserve">interaktivních pomůcek a </w:t>
      </w:r>
      <w:r w:rsidRPr="00172410">
        <w:t>lůžek s telemonitoringovou výbavou pro určité skupiny klientů a po jeho vyhodnocení by bylo možno navrhnout jejich případné systémové využití v praxi, obdobně jako je tomu u pacientů v nemocnicích, v nichž studie v ČR již probíhá. Kromě toho je cílem projektu zkvalitnit organizační opatření v zájmu zlepšení prevence pádů v uvedených typech zařízení pro péči o seniory.</w:t>
      </w:r>
    </w:p>
    <w:p w:rsidR="00172410" w:rsidRDefault="00172410" w:rsidP="00172410">
      <w:pPr>
        <w:jc w:val="both"/>
        <w:rPr>
          <w:b/>
        </w:rPr>
      </w:pPr>
    </w:p>
    <w:p w:rsidR="00172410" w:rsidRDefault="00172410" w:rsidP="00172410">
      <w:pPr>
        <w:jc w:val="both"/>
      </w:pPr>
      <w:r w:rsidRPr="00172410">
        <w:rPr>
          <w:b/>
        </w:rPr>
        <w:t>Připomínkování tvorby strategie a akčních plánů prevence pádů</w:t>
      </w:r>
      <w:r w:rsidRPr="00172410">
        <w:t xml:space="preserve">, přičemž jejich odborná část bude zajištěna externě – externí firmou nebo v rámci personálních nákladů (DPČ). </w:t>
      </w:r>
    </w:p>
    <w:p w:rsidR="00F56CF0" w:rsidRPr="00172410" w:rsidRDefault="00F56CF0" w:rsidP="00172410">
      <w:pPr>
        <w:jc w:val="both"/>
        <w:rPr>
          <w:strike/>
        </w:rPr>
      </w:pPr>
    </w:p>
    <w:p w:rsidR="00172410" w:rsidRDefault="00172410" w:rsidP="00172410">
      <w:pPr>
        <w:jc w:val="both"/>
      </w:pPr>
      <w:r w:rsidRPr="00172410">
        <w:rPr>
          <w:b/>
        </w:rPr>
        <w:t>Účast na jednáních v ČR a na všech zasedáních projektu</w:t>
      </w:r>
      <w:r w:rsidRPr="00172410">
        <w:t xml:space="preserve"> – jedná se o účast na odborných seminářích a konferencích, ale také účast na pracovních jednáních projektových týmů.</w:t>
      </w:r>
    </w:p>
    <w:p w:rsidR="00F56CF0" w:rsidRPr="00172410" w:rsidRDefault="00F56CF0" w:rsidP="00172410">
      <w:pPr>
        <w:jc w:val="both"/>
      </w:pPr>
    </w:p>
    <w:p w:rsidR="00172410" w:rsidRDefault="00172410" w:rsidP="00172410">
      <w:pPr>
        <w:jc w:val="both"/>
      </w:pPr>
      <w:r w:rsidRPr="00172410">
        <w:rPr>
          <w:b/>
        </w:rPr>
        <w:t>Organizace konference</w:t>
      </w:r>
      <w:r w:rsidRPr="00172410">
        <w:t xml:space="preserve"> (ovšem výrobní semináře proběhnou v gesci NTMC), </w:t>
      </w:r>
      <w:r w:rsidRPr="00172410">
        <w:rPr>
          <w:b/>
        </w:rPr>
        <w:t>účast na tvorbě informačních a mediálních materiálů</w:t>
      </w:r>
      <w:r w:rsidRPr="00172410">
        <w:t>, návrhy k využití poznatků z projektu v kraji a podpora odsouhlasených opatření pro prevenci pádů v kraji.</w:t>
      </w:r>
    </w:p>
    <w:p w:rsidR="00F56CF0" w:rsidRPr="00172410" w:rsidRDefault="00F56CF0" w:rsidP="00172410">
      <w:pPr>
        <w:jc w:val="both"/>
      </w:pPr>
    </w:p>
    <w:p w:rsidR="00172410" w:rsidRPr="00172410" w:rsidRDefault="00172410" w:rsidP="00172410">
      <w:pPr>
        <w:jc w:val="both"/>
      </w:pPr>
      <w:r w:rsidRPr="00172410">
        <w:t>Pro Olomoucký kraj tento projekt představuje možnost udržet kontakt s rozvinutými zeměmi v oblasti prevence pádů, přinést benefity obyvatelům kraje a být první v ČR v řešení problému v souladu s moderními přístupy v zemích EU (nejen).</w:t>
      </w:r>
    </w:p>
    <w:p w:rsidR="00172410" w:rsidRPr="00172410" w:rsidRDefault="00172410" w:rsidP="00172410">
      <w:pPr>
        <w:jc w:val="both"/>
        <w:rPr>
          <w:b/>
          <w:u w:val="single"/>
        </w:rPr>
      </w:pPr>
    </w:p>
    <w:p w:rsidR="00F2528E" w:rsidRDefault="00F2528E" w:rsidP="00172410">
      <w:pPr>
        <w:jc w:val="both"/>
        <w:rPr>
          <w:b/>
        </w:rPr>
      </w:pPr>
    </w:p>
    <w:p w:rsidR="00246262" w:rsidRPr="00F2528E" w:rsidRDefault="00246262" w:rsidP="00246262">
      <w:pPr>
        <w:jc w:val="both"/>
        <w:rPr>
          <w:b/>
        </w:rPr>
      </w:pPr>
      <w:r w:rsidRPr="00F2528E">
        <w:rPr>
          <w:b/>
        </w:rPr>
        <w:t xml:space="preserve">Finanční zabezpečení projektu a rozpočet </w:t>
      </w:r>
    </w:p>
    <w:p w:rsidR="00246262" w:rsidRDefault="00246262" w:rsidP="00246262">
      <w:pPr>
        <w:jc w:val="both"/>
      </w:pPr>
      <w:r w:rsidRPr="00172410">
        <w:t>Uznatelné náklady projektu budou financovány z 85% z příspěvku EU a z 15%</w:t>
      </w:r>
      <w:r>
        <w:t xml:space="preserve"> </w:t>
      </w:r>
      <w:r w:rsidRPr="00172410">
        <w:t>z prostředků Olomouckého kraje.</w:t>
      </w:r>
      <w:r>
        <w:t xml:space="preserve"> </w:t>
      </w:r>
      <w:r w:rsidRPr="00024A1A">
        <w:t xml:space="preserve">Z programu Interreg CENTRAL EUROPE by byly pokryty výdaje ve výši </w:t>
      </w:r>
      <w:r w:rsidRPr="004070AD">
        <w:t>8 500 000 Kč a Olomoucký kraj by projekt spolufinancoval částkou 1 500 000 Kč, což při rovnoměrném financování po dobu 3 let znamená výdaj 500 000 Kč ročně.</w:t>
      </w:r>
    </w:p>
    <w:p w:rsidR="00246262" w:rsidRPr="00332B52" w:rsidRDefault="00246262" w:rsidP="00246262">
      <w:pPr>
        <w:tabs>
          <w:tab w:val="left" w:pos="3060"/>
        </w:tabs>
        <w:spacing w:before="120" w:after="120"/>
        <w:jc w:val="both"/>
      </w:pPr>
      <w:r w:rsidRPr="00C620D9">
        <w:t xml:space="preserve">U projektů bude využito průběžné financování z Evropského fondu pro regionální rozvoj. </w:t>
      </w:r>
      <w:r>
        <w:t>Finanční p</w:t>
      </w:r>
      <w:r w:rsidRPr="00332B52">
        <w:t xml:space="preserve">rostředky </w:t>
      </w:r>
      <w:r>
        <w:t>bud</w:t>
      </w:r>
      <w:r w:rsidRPr="00332B52">
        <w:t xml:space="preserve">ou převedeny na účet vedoucího partnera až po schválení </w:t>
      </w:r>
      <w:r>
        <w:t>monitorovací zprávy a žádosti o platbu, které se budou předkládat jednou za 6 měsíců.</w:t>
      </w:r>
    </w:p>
    <w:p w:rsidR="00246262" w:rsidRPr="00C620D9" w:rsidRDefault="00246262" w:rsidP="00246262">
      <w:pPr>
        <w:spacing w:before="120" w:after="120"/>
        <w:jc w:val="both"/>
      </w:pPr>
      <w:r w:rsidRPr="00C620D9">
        <w:t>Každý projektový partner si z</w:t>
      </w:r>
      <w:r>
        <w:t xml:space="preserve">ajistí pokrytí vlastních podílů. </w:t>
      </w:r>
      <w:r w:rsidRPr="00C620D9">
        <w:t>Předfinancování a financování aktivit Olomouckého kraje je nutné uhradit z rozpočtu Olomouckého kraje. S ohledem na harmonogram schvalování projektů ze strany řídícího orgánu a</w:t>
      </w:r>
      <w:r>
        <w:t> </w:t>
      </w:r>
      <w:r w:rsidRPr="00C620D9">
        <w:t xml:space="preserve">od toho se odvíjející vlastní realizaci, je možné konstatovat, že by náklady </w:t>
      </w:r>
      <w:r>
        <w:t xml:space="preserve">projektu </w:t>
      </w:r>
      <w:r w:rsidRPr="00C620D9">
        <w:lastRenderedPageBreak/>
        <w:t>vznikly až v</w:t>
      </w:r>
      <w:r>
        <w:t> 2. polovině roku</w:t>
      </w:r>
      <w:r w:rsidRPr="00C620D9">
        <w:t xml:space="preserve"> 2017, přičemž by </w:t>
      </w:r>
      <w:r>
        <w:t xml:space="preserve">partnerské </w:t>
      </w:r>
      <w:r w:rsidRPr="00C620D9">
        <w:t xml:space="preserve">smlouvy mohly být uzavřeny v </w:t>
      </w:r>
      <w:r>
        <w:t>1. polovině roku 2017</w:t>
      </w:r>
      <w:r w:rsidRPr="00C620D9">
        <w:t>.</w:t>
      </w:r>
    </w:p>
    <w:p w:rsidR="00F32642" w:rsidRDefault="00F32642" w:rsidP="00172410">
      <w:pPr>
        <w:jc w:val="both"/>
      </w:pPr>
    </w:p>
    <w:p w:rsidR="00751D72" w:rsidRPr="00024A1A" w:rsidRDefault="00751D72" w:rsidP="00751D72">
      <w:pPr>
        <w:jc w:val="both"/>
      </w:pPr>
    </w:p>
    <w:p w:rsidR="00751D72" w:rsidRPr="00CE5F85" w:rsidRDefault="00751D72" w:rsidP="00751D72">
      <w:pPr>
        <w:jc w:val="both"/>
        <w:rPr>
          <w:i/>
        </w:rPr>
      </w:pPr>
      <w:r w:rsidRPr="00CE5F85">
        <w:rPr>
          <w:i/>
        </w:rPr>
        <w:t>Tabulka č. 1: Celkový rozpočet projektu v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274"/>
        <w:gridCol w:w="2245"/>
        <w:gridCol w:w="2161"/>
      </w:tblGrid>
      <w:tr w:rsidR="00751D72" w:rsidRPr="005025DA" w:rsidTr="00A96FCE">
        <w:tc>
          <w:tcPr>
            <w:tcW w:w="2392" w:type="dxa"/>
            <w:shd w:val="clear" w:color="auto" w:fill="auto"/>
          </w:tcPr>
          <w:p w:rsidR="00751D72" w:rsidRPr="005025DA" w:rsidRDefault="00751D72" w:rsidP="00A96FCE">
            <w:pPr>
              <w:spacing w:before="120" w:after="120"/>
              <w:jc w:val="both"/>
              <w:rPr>
                <w:sz w:val="22"/>
              </w:rPr>
            </w:pPr>
          </w:p>
        </w:tc>
        <w:tc>
          <w:tcPr>
            <w:tcW w:w="2274" w:type="dxa"/>
            <w:shd w:val="clear" w:color="auto" w:fill="auto"/>
            <w:vAlign w:val="center"/>
          </w:tcPr>
          <w:p w:rsidR="00751D72" w:rsidRPr="005025DA" w:rsidRDefault="00751D72" w:rsidP="00A96FCE">
            <w:pPr>
              <w:spacing w:before="120" w:after="120"/>
              <w:jc w:val="center"/>
              <w:rPr>
                <w:color w:val="000000"/>
                <w:sz w:val="22"/>
              </w:rPr>
            </w:pPr>
            <w:r w:rsidRPr="005025DA">
              <w:rPr>
                <w:i/>
                <w:sz w:val="22"/>
              </w:rPr>
              <w:t>Celkové náklady</w:t>
            </w:r>
          </w:p>
        </w:tc>
        <w:tc>
          <w:tcPr>
            <w:tcW w:w="2245" w:type="dxa"/>
            <w:shd w:val="clear" w:color="auto" w:fill="auto"/>
            <w:vAlign w:val="center"/>
          </w:tcPr>
          <w:p w:rsidR="00751D72" w:rsidRPr="005025DA" w:rsidRDefault="00751D72" w:rsidP="00A96FCE">
            <w:pPr>
              <w:spacing w:before="120" w:after="120"/>
              <w:jc w:val="center"/>
              <w:rPr>
                <w:color w:val="000000"/>
                <w:sz w:val="22"/>
              </w:rPr>
            </w:pPr>
            <w:r w:rsidRPr="005025DA">
              <w:rPr>
                <w:i/>
                <w:sz w:val="22"/>
              </w:rPr>
              <w:t>Dotace</w:t>
            </w:r>
          </w:p>
        </w:tc>
        <w:tc>
          <w:tcPr>
            <w:tcW w:w="2161" w:type="dxa"/>
            <w:shd w:val="clear" w:color="auto" w:fill="auto"/>
            <w:vAlign w:val="center"/>
          </w:tcPr>
          <w:p w:rsidR="00751D72" w:rsidRPr="005025DA" w:rsidRDefault="00751D72" w:rsidP="00A96FCE">
            <w:pPr>
              <w:spacing w:before="120" w:after="120"/>
              <w:jc w:val="center"/>
              <w:rPr>
                <w:color w:val="000000"/>
                <w:sz w:val="22"/>
              </w:rPr>
            </w:pPr>
            <w:r w:rsidRPr="005025DA">
              <w:rPr>
                <w:i/>
                <w:sz w:val="22"/>
              </w:rPr>
              <w:t>Podíl OK</w:t>
            </w:r>
          </w:p>
        </w:tc>
      </w:tr>
      <w:tr w:rsidR="00751D72" w:rsidRPr="005025DA" w:rsidTr="00A96FCE">
        <w:tc>
          <w:tcPr>
            <w:tcW w:w="2392" w:type="dxa"/>
            <w:shd w:val="clear" w:color="auto" w:fill="auto"/>
          </w:tcPr>
          <w:p w:rsidR="00751D72" w:rsidRPr="005025DA" w:rsidRDefault="00751D72" w:rsidP="00A96FCE">
            <w:pPr>
              <w:spacing w:before="120" w:after="120"/>
              <w:jc w:val="both"/>
              <w:rPr>
                <w:b/>
                <w:sz w:val="22"/>
              </w:rPr>
            </w:pPr>
            <w:r w:rsidRPr="005025DA">
              <w:rPr>
                <w:b/>
                <w:sz w:val="22"/>
              </w:rPr>
              <w:t>Celkové náklady</w:t>
            </w:r>
          </w:p>
        </w:tc>
        <w:tc>
          <w:tcPr>
            <w:tcW w:w="2274" w:type="dxa"/>
            <w:shd w:val="clear" w:color="auto" w:fill="auto"/>
            <w:vAlign w:val="center"/>
          </w:tcPr>
          <w:p w:rsidR="00751D72" w:rsidRPr="005025DA" w:rsidRDefault="00751D72" w:rsidP="00A96FCE">
            <w:pPr>
              <w:spacing w:before="120" w:after="120"/>
              <w:jc w:val="right"/>
              <w:rPr>
                <w:b/>
                <w:bCs/>
                <w:color w:val="000000"/>
                <w:sz w:val="22"/>
              </w:rPr>
            </w:pPr>
            <w:r w:rsidRPr="005025DA">
              <w:rPr>
                <w:b/>
                <w:bCs/>
                <w:color w:val="000000"/>
                <w:sz w:val="22"/>
              </w:rPr>
              <w:t>10 000 000</w:t>
            </w:r>
          </w:p>
        </w:tc>
        <w:tc>
          <w:tcPr>
            <w:tcW w:w="2245" w:type="dxa"/>
            <w:shd w:val="clear" w:color="auto" w:fill="auto"/>
            <w:vAlign w:val="center"/>
          </w:tcPr>
          <w:p w:rsidR="00751D72" w:rsidRPr="005025DA" w:rsidRDefault="00751D72" w:rsidP="00A96FCE">
            <w:pPr>
              <w:spacing w:before="120" w:after="120"/>
              <w:jc w:val="right"/>
              <w:rPr>
                <w:b/>
                <w:bCs/>
                <w:color w:val="000000"/>
                <w:sz w:val="22"/>
              </w:rPr>
            </w:pPr>
            <w:r w:rsidRPr="005025DA">
              <w:rPr>
                <w:b/>
                <w:bCs/>
                <w:color w:val="000000"/>
                <w:sz w:val="22"/>
              </w:rPr>
              <w:t>8 500 000</w:t>
            </w:r>
          </w:p>
        </w:tc>
        <w:tc>
          <w:tcPr>
            <w:tcW w:w="2161" w:type="dxa"/>
            <w:shd w:val="clear" w:color="auto" w:fill="auto"/>
            <w:vAlign w:val="center"/>
          </w:tcPr>
          <w:p w:rsidR="00751D72" w:rsidRPr="005025DA" w:rsidRDefault="00751D72" w:rsidP="00A96FCE">
            <w:pPr>
              <w:spacing w:before="120" w:after="120"/>
              <w:jc w:val="right"/>
              <w:rPr>
                <w:b/>
                <w:bCs/>
                <w:color w:val="000000"/>
                <w:sz w:val="22"/>
              </w:rPr>
            </w:pPr>
            <w:r w:rsidRPr="005025DA">
              <w:rPr>
                <w:b/>
                <w:bCs/>
                <w:color w:val="000000"/>
                <w:sz w:val="22"/>
              </w:rPr>
              <w:t>1 500 000</w:t>
            </w:r>
          </w:p>
        </w:tc>
      </w:tr>
    </w:tbl>
    <w:p w:rsidR="00751D72" w:rsidRPr="00CE5F85" w:rsidRDefault="00751D72" w:rsidP="00751D72">
      <w:pPr>
        <w:jc w:val="both"/>
      </w:pPr>
    </w:p>
    <w:p w:rsidR="00F2528E" w:rsidRDefault="00F2528E" w:rsidP="00751D72">
      <w:pPr>
        <w:spacing w:after="120"/>
        <w:jc w:val="both"/>
        <w:rPr>
          <w:i/>
        </w:rPr>
      </w:pPr>
    </w:p>
    <w:p w:rsidR="00751D72" w:rsidRPr="00CE5F85" w:rsidRDefault="00751D72" w:rsidP="00751D72">
      <w:pPr>
        <w:spacing w:after="120"/>
        <w:jc w:val="both"/>
        <w:rPr>
          <w:i/>
        </w:rPr>
      </w:pPr>
      <w:r w:rsidRPr="00CE5F85">
        <w:rPr>
          <w:i/>
        </w:rPr>
        <w:t>Tabulka č. 2: Rozpočet dle druhu nákladů v Kč</w:t>
      </w:r>
    </w:p>
    <w:tbl>
      <w:tblPr>
        <w:tblW w:w="9072" w:type="dxa"/>
        <w:tblInd w:w="70" w:type="dxa"/>
        <w:tblCellMar>
          <w:left w:w="70" w:type="dxa"/>
          <w:right w:w="70" w:type="dxa"/>
        </w:tblCellMar>
        <w:tblLook w:val="04A0" w:firstRow="1" w:lastRow="0" w:firstColumn="1" w:lastColumn="0" w:noHBand="0" w:noVBand="1"/>
      </w:tblPr>
      <w:tblGrid>
        <w:gridCol w:w="3261"/>
        <w:gridCol w:w="1701"/>
        <w:gridCol w:w="4110"/>
      </w:tblGrid>
      <w:tr w:rsidR="005025DA" w:rsidRPr="003F1BDD" w:rsidTr="008022EF">
        <w:trPr>
          <w:trHeight w:val="315"/>
        </w:trPr>
        <w:tc>
          <w:tcPr>
            <w:tcW w:w="32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25DA" w:rsidRPr="003F1BDD" w:rsidRDefault="005025DA" w:rsidP="008022EF">
            <w:pPr>
              <w:spacing w:before="120" w:after="120"/>
              <w:jc w:val="center"/>
              <w:rPr>
                <w:b/>
                <w:bCs/>
                <w:color w:val="000000"/>
                <w:sz w:val="22"/>
              </w:rPr>
            </w:pPr>
            <w:r w:rsidRPr="003F1BDD">
              <w:rPr>
                <w:b/>
                <w:bCs/>
                <w:color w:val="000000"/>
                <w:sz w:val="22"/>
              </w:rPr>
              <w:t>Výdajová položka</w:t>
            </w:r>
            <w:r w:rsidRPr="003F1BDD">
              <w:rPr>
                <w:b/>
                <w:bCs/>
                <w:color w:val="000000"/>
                <w:sz w:val="22"/>
              </w:rPr>
              <w:br/>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bottom"/>
          </w:tcPr>
          <w:p w:rsidR="005025DA" w:rsidRPr="003F1BDD" w:rsidRDefault="005025DA" w:rsidP="008022EF">
            <w:pPr>
              <w:spacing w:before="120" w:after="120"/>
              <w:jc w:val="center"/>
              <w:rPr>
                <w:b/>
                <w:bCs/>
                <w:color w:val="000000"/>
                <w:sz w:val="22"/>
              </w:rPr>
            </w:pPr>
            <w:r w:rsidRPr="003F1BDD">
              <w:rPr>
                <w:b/>
                <w:bCs/>
                <w:color w:val="000000"/>
                <w:sz w:val="22"/>
              </w:rPr>
              <w:t xml:space="preserve">Cena v Kč </w:t>
            </w:r>
            <w:r w:rsidRPr="003F1BDD">
              <w:rPr>
                <w:b/>
                <w:bCs/>
                <w:color w:val="000000"/>
                <w:sz w:val="22"/>
              </w:rPr>
              <w:br/>
              <w:t>s DPH</w:t>
            </w:r>
          </w:p>
        </w:tc>
        <w:tc>
          <w:tcPr>
            <w:tcW w:w="4110" w:type="dxa"/>
            <w:tcBorders>
              <w:top w:val="single" w:sz="4" w:space="0" w:color="auto"/>
              <w:left w:val="single" w:sz="4" w:space="0" w:color="auto"/>
              <w:bottom w:val="single" w:sz="4" w:space="0" w:color="auto"/>
              <w:right w:val="single" w:sz="4" w:space="0" w:color="000000"/>
            </w:tcBorders>
            <w:shd w:val="clear" w:color="auto" w:fill="auto"/>
            <w:vAlign w:val="bottom"/>
          </w:tcPr>
          <w:p w:rsidR="005025DA" w:rsidRPr="003F1BDD" w:rsidRDefault="005025DA" w:rsidP="008022EF">
            <w:pPr>
              <w:spacing w:before="120" w:after="120"/>
              <w:jc w:val="center"/>
              <w:rPr>
                <w:b/>
                <w:bCs/>
                <w:color w:val="000000"/>
                <w:sz w:val="22"/>
              </w:rPr>
            </w:pPr>
            <w:r w:rsidRPr="003F1BDD">
              <w:rPr>
                <w:b/>
                <w:bCs/>
                <w:color w:val="000000"/>
                <w:sz w:val="22"/>
              </w:rPr>
              <w:t>Kalkulace</w:t>
            </w:r>
            <w:r w:rsidRPr="003F1BDD">
              <w:rPr>
                <w:b/>
                <w:bCs/>
                <w:color w:val="000000"/>
                <w:sz w:val="22"/>
              </w:rPr>
              <w:br/>
            </w:r>
          </w:p>
        </w:tc>
      </w:tr>
      <w:tr w:rsidR="005025DA" w:rsidRPr="003F1BDD" w:rsidTr="008022EF">
        <w:trPr>
          <w:trHeight w:val="31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5025DA" w:rsidRPr="003F1BDD" w:rsidRDefault="005025DA" w:rsidP="008022EF">
            <w:pPr>
              <w:spacing w:before="120" w:after="120"/>
              <w:rPr>
                <w:color w:val="000000"/>
                <w:sz w:val="22"/>
              </w:rPr>
            </w:pPr>
            <w:r w:rsidRPr="003F1BDD">
              <w:rPr>
                <w:color w:val="000000"/>
                <w:sz w:val="22"/>
              </w:rPr>
              <w:t>Lůžka</w:t>
            </w:r>
          </w:p>
        </w:tc>
        <w:tc>
          <w:tcPr>
            <w:tcW w:w="1701" w:type="dxa"/>
            <w:tcBorders>
              <w:top w:val="nil"/>
              <w:left w:val="nil"/>
              <w:bottom w:val="single" w:sz="4" w:space="0" w:color="auto"/>
              <w:right w:val="single" w:sz="4" w:space="0" w:color="auto"/>
            </w:tcBorders>
            <w:shd w:val="clear" w:color="auto" w:fill="auto"/>
            <w:noWrap/>
            <w:vAlign w:val="bottom"/>
            <w:hideMark/>
          </w:tcPr>
          <w:p w:rsidR="005025DA" w:rsidRPr="003F1BDD" w:rsidRDefault="005025DA" w:rsidP="008022EF">
            <w:pPr>
              <w:spacing w:before="120" w:after="120"/>
              <w:jc w:val="center"/>
              <w:rPr>
                <w:color w:val="000000"/>
                <w:sz w:val="22"/>
              </w:rPr>
            </w:pPr>
            <w:r w:rsidRPr="003F1BDD">
              <w:rPr>
                <w:color w:val="000000"/>
                <w:sz w:val="22"/>
              </w:rPr>
              <w:t>5 850 000</w:t>
            </w:r>
          </w:p>
        </w:tc>
        <w:tc>
          <w:tcPr>
            <w:tcW w:w="4110" w:type="dxa"/>
            <w:tcBorders>
              <w:top w:val="nil"/>
              <w:left w:val="nil"/>
              <w:bottom w:val="single" w:sz="4" w:space="0" w:color="auto"/>
              <w:right w:val="single" w:sz="4" w:space="0" w:color="auto"/>
            </w:tcBorders>
            <w:shd w:val="clear" w:color="auto" w:fill="auto"/>
            <w:noWrap/>
            <w:vAlign w:val="bottom"/>
            <w:hideMark/>
          </w:tcPr>
          <w:p w:rsidR="005025DA" w:rsidRPr="003F1BDD" w:rsidRDefault="005025DA" w:rsidP="008022EF">
            <w:pPr>
              <w:spacing w:before="120" w:after="120"/>
              <w:rPr>
                <w:color w:val="000000"/>
                <w:sz w:val="22"/>
              </w:rPr>
            </w:pPr>
            <w:r w:rsidRPr="003F1BDD">
              <w:rPr>
                <w:color w:val="000000"/>
                <w:sz w:val="22"/>
              </w:rPr>
              <w:t>30 lůžek x 195 000 Kč</w:t>
            </w:r>
          </w:p>
        </w:tc>
      </w:tr>
      <w:tr w:rsidR="005025DA" w:rsidRPr="003F1BDD" w:rsidTr="008022EF">
        <w:trPr>
          <w:trHeight w:val="315"/>
        </w:trPr>
        <w:tc>
          <w:tcPr>
            <w:tcW w:w="3261" w:type="dxa"/>
            <w:tcBorders>
              <w:top w:val="nil"/>
              <w:left w:val="single" w:sz="4" w:space="0" w:color="auto"/>
              <w:bottom w:val="single" w:sz="4" w:space="0" w:color="auto"/>
              <w:right w:val="single" w:sz="4" w:space="0" w:color="auto"/>
            </w:tcBorders>
            <w:shd w:val="clear" w:color="auto" w:fill="auto"/>
            <w:noWrap/>
            <w:vAlign w:val="bottom"/>
          </w:tcPr>
          <w:p w:rsidR="005025DA" w:rsidRPr="003F1BDD" w:rsidRDefault="005025DA" w:rsidP="008022EF">
            <w:pPr>
              <w:spacing w:before="120" w:after="120"/>
              <w:rPr>
                <w:color w:val="FF0000"/>
                <w:sz w:val="22"/>
              </w:rPr>
            </w:pPr>
            <w:r w:rsidRPr="003F1BDD">
              <w:rPr>
                <w:color w:val="000000" w:themeColor="text1"/>
                <w:sz w:val="22"/>
              </w:rPr>
              <w:t>Homebalance</w:t>
            </w:r>
          </w:p>
        </w:tc>
        <w:tc>
          <w:tcPr>
            <w:tcW w:w="1701" w:type="dxa"/>
            <w:tcBorders>
              <w:top w:val="nil"/>
              <w:left w:val="nil"/>
              <w:bottom w:val="single" w:sz="4" w:space="0" w:color="auto"/>
              <w:right w:val="single" w:sz="4" w:space="0" w:color="auto"/>
            </w:tcBorders>
            <w:shd w:val="clear" w:color="auto" w:fill="auto"/>
            <w:noWrap/>
            <w:vAlign w:val="bottom"/>
          </w:tcPr>
          <w:p w:rsidR="005025DA" w:rsidRPr="003F1BDD" w:rsidRDefault="005025DA" w:rsidP="008022EF">
            <w:pPr>
              <w:spacing w:before="120" w:after="120"/>
              <w:jc w:val="center"/>
              <w:rPr>
                <w:color w:val="000000"/>
                <w:sz w:val="22"/>
              </w:rPr>
            </w:pPr>
            <w:r w:rsidRPr="003F1BDD">
              <w:rPr>
                <w:color w:val="000000"/>
                <w:sz w:val="22"/>
              </w:rPr>
              <w:t>300 000</w:t>
            </w:r>
          </w:p>
        </w:tc>
        <w:tc>
          <w:tcPr>
            <w:tcW w:w="4110" w:type="dxa"/>
            <w:tcBorders>
              <w:top w:val="nil"/>
              <w:left w:val="nil"/>
              <w:bottom w:val="single" w:sz="4" w:space="0" w:color="auto"/>
              <w:right w:val="single" w:sz="4" w:space="0" w:color="auto"/>
            </w:tcBorders>
            <w:shd w:val="clear" w:color="auto" w:fill="auto"/>
            <w:noWrap/>
            <w:vAlign w:val="bottom"/>
          </w:tcPr>
          <w:p w:rsidR="005025DA" w:rsidRPr="003F1BDD" w:rsidRDefault="005025DA" w:rsidP="008022EF">
            <w:pPr>
              <w:spacing w:before="120" w:after="120"/>
              <w:rPr>
                <w:color w:val="000000"/>
                <w:sz w:val="22"/>
              </w:rPr>
            </w:pPr>
            <w:r w:rsidRPr="003F1BDD">
              <w:rPr>
                <w:color w:val="000000"/>
                <w:sz w:val="22"/>
              </w:rPr>
              <w:t>20 zařízení x 15 000 Kč</w:t>
            </w:r>
          </w:p>
        </w:tc>
      </w:tr>
      <w:tr w:rsidR="005025DA" w:rsidRPr="003F1BDD" w:rsidTr="008022EF">
        <w:trPr>
          <w:trHeight w:val="31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5025DA" w:rsidRPr="003F1BDD" w:rsidRDefault="005025DA" w:rsidP="008022EF">
            <w:pPr>
              <w:spacing w:before="120" w:after="120"/>
              <w:rPr>
                <w:color w:val="000000"/>
                <w:sz w:val="22"/>
              </w:rPr>
            </w:pPr>
            <w:r w:rsidRPr="003F1BDD">
              <w:rPr>
                <w:color w:val="000000"/>
                <w:sz w:val="22"/>
              </w:rPr>
              <w:t>Osobní náklady</w:t>
            </w:r>
            <w:r w:rsidRPr="003F1BDD">
              <w:rPr>
                <w:color w:val="000000"/>
                <w:sz w:val="22"/>
              </w:rPr>
              <w:br/>
            </w:r>
          </w:p>
          <w:p w:rsidR="005025DA" w:rsidRPr="003F1BDD" w:rsidRDefault="005025DA" w:rsidP="008022EF">
            <w:pPr>
              <w:spacing w:before="120" w:after="120"/>
              <w:rPr>
                <w:color w:val="000000"/>
                <w:sz w:val="22"/>
              </w:rPr>
            </w:pPr>
          </w:p>
          <w:p w:rsidR="005025DA" w:rsidRPr="003F1BDD" w:rsidRDefault="005025DA" w:rsidP="008022EF">
            <w:pPr>
              <w:spacing w:before="120" w:after="120"/>
              <w:rPr>
                <w:color w:val="000000"/>
                <w:sz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5025DA" w:rsidRPr="003F1BDD" w:rsidRDefault="005025DA" w:rsidP="008022EF">
            <w:pPr>
              <w:spacing w:before="120" w:after="120"/>
              <w:jc w:val="center"/>
              <w:rPr>
                <w:color w:val="000000"/>
                <w:sz w:val="22"/>
              </w:rPr>
            </w:pPr>
            <w:r w:rsidRPr="003F1BDD">
              <w:rPr>
                <w:color w:val="000000"/>
                <w:sz w:val="22"/>
              </w:rPr>
              <w:t>2 150 000</w:t>
            </w:r>
            <w:r w:rsidRPr="003F1BDD">
              <w:rPr>
                <w:color w:val="000000"/>
                <w:sz w:val="22"/>
              </w:rPr>
              <w:br/>
            </w:r>
          </w:p>
          <w:p w:rsidR="005025DA" w:rsidRPr="003F1BDD" w:rsidRDefault="005025DA" w:rsidP="008022EF">
            <w:pPr>
              <w:spacing w:before="120" w:after="120"/>
              <w:jc w:val="center"/>
              <w:rPr>
                <w:color w:val="000000"/>
                <w:sz w:val="22"/>
              </w:rPr>
            </w:pPr>
          </w:p>
          <w:p w:rsidR="005025DA" w:rsidRPr="003F1BDD" w:rsidRDefault="005025DA" w:rsidP="008022EF">
            <w:pPr>
              <w:spacing w:before="120" w:after="120"/>
              <w:jc w:val="center"/>
              <w:rPr>
                <w:color w:val="000000"/>
                <w:sz w:val="22"/>
              </w:rPr>
            </w:pPr>
          </w:p>
        </w:tc>
        <w:tc>
          <w:tcPr>
            <w:tcW w:w="4110" w:type="dxa"/>
            <w:tcBorders>
              <w:top w:val="nil"/>
              <w:left w:val="nil"/>
              <w:bottom w:val="single" w:sz="4" w:space="0" w:color="auto"/>
              <w:right w:val="single" w:sz="4" w:space="0" w:color="auto"/>
            </w:tcBorders>
            <w:shd w:val="clear" w:color="auto" w:fill="auto"/>
            <w:noWrap/>
            <w:vAlign w:val="bottom"/>
            <w:hideMark/>
          </w:tcPr>
          <w:p w:rsidR="005025DA" w:rsidRPr="003F1BDD" w:rsidRDefault="005025DA" w:rsidP="008022EF">
            <w:pPr>
              <w:spacing w:before="120" w:after="120"/>
              <w:rPr>
                <w:color w:val="000000"/>
                <w:sz w:val="22"/>
              </w:rPr>
            </w:pPr>
            <w:r w:rsidRPr="003F1BDD">
              <w:rPr>
                <w:color w:val="000000"/>
                <w:sz w:val="22"/>
              </w:rPr>
              <w:t>DPČ zdravotních sester v lůžkových zařízeních, DPČ dalších pracovníků nutných k pilotáži, částečná refundace mzdových nákladů PM a FM</w:t>
            </w:r>
          </w:p>
        </w:tc>
      </w:tr>
      <w:tr w:rsidR="005025DA" w:rsidRPr="003F1BDD" w:rsidTr="008022EF">
        <w:trPr>
          <w:trHeight w:val="315"/>
        </w:trPr>
        <w:tc>
          <w:tcPr>
            <w:tcW w:w="3261" w:type="dxa"/>
            <w:tcBorders>
              <w:top w:val="nil"/>
              <w:left w:val="single" w:sz="4" w:space="0" w:color="auto"/>
              <w:bottom w:val="single" w:sz="4" w:space="0" w:color="auto"/>
              <w:right w:val="single" w:sz="4" w:space="0" w:color="auto"/>
            </w:tcBorders>
            <w:shd w:val="clear" w:color="auto" w:fill="auto"/>
            <w:noWrap/>
            <w:vAlign w:val="bottom"/>
          </w:tcPr>
          <w:p w:rsidR="005025DA" w:rsidRPr="003F1BDD" w:rsidRDefault="005025DA" w:rsidP="008022EF">
            <w:pPr>
              <w:spacing w:before="120" w:after="120"/>
              <w:rPr>
                <w:bCs/>
                <w:color w:val="000000"/>
                <w:sz w:val="22"/>
              </w:rPr>
            </w:pPr>
            <w:r w:rsidRPr="003F1BDD">
              <w:rPr>
                <w:bCs/>
                <w:color w:val="000000"/>
                <w:sz w:val="22"/>
              </w:rPr>
              <w:t>Cestovní náhrady</w:t>
            </w:r>
          </w:p>
          <w:p w:rsidR="005025DA" w:rsidRPr="003F1BDD" w:rsidRDefault="005025DA" w:rsidP="008022EF">
            <w:pPr>
              <w:spacing w:before="120" w:after="120"/>
              <w:rPr>
                <w:bCs/>
                <w:color w:val="000000"/>
                <w:sz w:val="22"/>
              </w:rPr>
            </w:pPr>
          </w:p>
        </w:tc>
        <w:tc>
          <w:tcPr>
            <w:tcW w:w="1701" w:type="dxa"/>
            <w:tcBorders>
              <w:top w:val="nil"/>
              <w:left w:val="nil"/>
              <w:bottom w:val="single" w:sz="4" w:space="0" w:color="auto"/>
              <w:right w:val="single" w:sz="4" w:space="0" w:color="auto"/>
            </w:tcBorders>
            <w:shd w:val="clear" w:color="auto" w:fill="auto"/>
            <w:noWrap/>
            <w:vAlign w:val="bottom"/>
          </w:tcPr>
          <w:p w:rsidR="005025DA" w:rsidRPr="003F1BDD" w:rsidRDefault="005025DA" w:rsidP="008022EF">
            <w:pPr>
              <w:spacing w:before="120" w:after="120"/>
              <w:jc w:val="center"/>
              <w:rPr>
                <w:bCs/>
                <w:color w:val="000000"/>
                <w:sz w:val="22"/>
              </w:rPr>
            </w:pPr>
            <w:r w:rsidRPr="003F1BDD">
              <w:rPr>
                <w:bCs/>
                <w:color w:val="000000"/>
                <w:sz w:val="22"/>
              </w:rPr>
              <w:t xml:space="preserve">980 000 </w:t>
            </w:r>
          </w:p>
          <w:p w:rsidR="005025DA" w:rsidRPr="003F1BDD" w:rsidRDefault="005025DA" w:rsidP="008022EF">
            <w:pPr>
              <w:spacing w:before="120" w:after="120"/>
              <w:jc w:val="center"/>
              <w:rPr>
                <w:bCs/>
                <w:color w:val="000000"/>
                <w:sz w:val="22"/>
              </w:rPr>
            </w:pPr>
          </w:p>
        </w:tc>
        <w:tc>
          <w:tcPr>
            <w:tcW w:w="4110" w:type="dxa"/>
            <w:tcBorders>
              <w:top w:val="nil"/>
              <w:left w:val="nil"/>
              <w:bottom w:val="single" w:sz="4" w:space="0" w:color="auto"/>
              <w:right w:val="single" w:sz="4" w:space="0" w:color="auto"/>
            </w:tcBorders>
            <w:shd w:val="clear" w:color="auto" w:fill="auto"/>
            <w:vAlign w:val="bottom"/>
          </w:tcPr>
          <w:p w:rsidR="005025DA" w:rsidRPr="003F1BDD" w:rsidRDefault="005025DA" w:rsidP="008022EF">
            <w:pPr>
              <w:spacing w:before="120" w:after="120"/>
              <w:rPr>
                <w:bCs/>
                <w:color w:val="000000"/>
                <w:sz w:val="22"/>
              </w:rPr>
            </w:pPr>
            <w:r w:rsidRPr="003F1BDD">
              <w:rPr>
                <w:bCs/>
                <w:color w:val="000000"/>
                <w:sz w:val="22"/>
              </w:rPr>
              <w:t>zahraniční i domácí cesty projektového týmu a odborných pracovníků</w:t>
            </w:r>
          </w:p>
        </w:tc>
      </w:tr>
      <w:tr w:rsidR="005025DA" w:rsidRPr="003F1BDD" w:rsidTr="008022EF">
        <w:trPr>
          <w:trHeight w:val="315"/>
        </w:trPr>
        <w:tc>
          <w:tcPr>
            <w:tcW w:w="3261" w:type="dxa"/>
            <w:tcBorders>
              <w:top w:val="nil"/>
              <w:left w:val="single" w:sz="4" w:space="0" w:color="auto"/>
              <w:bottom w:val="single" w:sz="4" w:space="0" w:color="auto"/>
              <w:right w:val="single" w:sz="4" w:space="0" w:color="auto"/>
            </w:tcBorders>
            <w:shd w:val="clear" w:color="auto" w:fill="auto"/>
            <w:noWrap/>
            <w:vAlign w:val="bottom"/>
          </w:tcPr>
          <w:p w:rsidR="005025DA" w:rsidRPr="003F1BDD" w:rsidRDefault="005025DA" w:rsidP="008022EF">
            <w:pPr>
              <w:spacing w:before="120" w:after="120"/>
              <w:rPr>
                <w:bCs/>
                <w:color w:val="000000"/>
                <w:sz w:val="22"/>
              </w:rPr>
            </w:pPr>
            <w:r w:rsidRPr="003F1BDD">
              <w:rPr>
                <w:bCs/>
                <w:color w:val="000000"/>
                <w:sz w:val="22"/>
              </w:rPr>
              <w:t xml:space="preserve">Konference </w:t>
            </w:r>
            <w:r w:rsidRPr="003F1BDD">
              <w:rPr>
                <w:bCs/>
                <w:color w:val="000000"/>
                <w:sz w:val="22"/>
              </w:rPr>
              <w:br/>
            </w:r>
          </w:p>
        </w:tc>
        <w:tc>
          <w:tcPr>
            <w:tcW w:w="1701" w:type="dxa"/>
            <w:tcBorders>
              <w:top w:val="nil"/>
              <w:left w:val="nil"/>
              <w:bottom w:val="single" w:sz="4" w:space="0" w:color="auto"/>
              <w:right w:val="single" w:sz="4" w:space="0" w:color="auto"/>
            </w:tcBorders>
            <w:shd w:val="clear" w:color="auto" w:fill="auto"/>
            <w:noWrap/>
            <w:vAlign w:val="bottom"/>
          </w:tcPr>
          <w:p w:rsidR="005025DA" w:rsidRPr="003F1BDD" w:rsidRDefault="005025DA" w:rsidP="008022EF">
            <w:pPr>
              <w:spacing w:before="120" w:after="120"/>
              <w:jc w:val="center"/>
              <w:rPr>
                <w:bCs/>
                <w:color w:val="000000"/>
                <w:sz w:val="22"/>
              </w:rPr>
            </w:pPr>
            <w:r w:rsidRPr="003F1BDD">
              <w:rPr>
                <w:bCs/>
                <w:color w:val="000000"/>
                <w:sz w:val="22"/>
              </w:rPr>
              <w:t>320 000</w:t>
            </w:r>
            <w:r w:rsidRPr="003F1BDD">
              <w:rPr>
                <w:bCs/>
                <w:color w:val="000000"/>
                <w:sz w:val="22"/>
              </w:rPr>
              <w:br/>
            </w:r>
          </w:p>
        </w:tc>
        <w:tc>
          <w:tcPr>
            <w:tcW w:w="4110" w:type="dxa"/>
            <w:tcBorders>
              <w:top w:val="nil"/>
              <w:left w:val="nil"/>
              <w:bottom w:val="single" w:sz="4" w:space="0" w:color="auto"/>
              <w:right w:val="single" w:sz="4" w:space="0" w:color="auto"/>
            </w:tcBorders>
            <w:shd w:val="clear" w:color="auto" w:fill="auto"/>
            <w:vAlign w:val="bottom"/>
          </w:tcPr>
          <w:p w:rsidR="005025DA" w:rsidRPr="003F1BDD" w:rsidRDefault="005025DA" w:rsidP="008022EF">
            <w:pPr>
              <w:spacing w:before="120" w:after="120"/>
              <w:rPr>
                <w:bCs/>
                <w:color w:val="000000"/>
                <w:sz w:val="22"/>
              </w:rPr>
            </w:pPr>
            <w:r w:rsidRPr="003F1BDD">
              <w:rPr>
                <w:bCs/>
                <w:color w:val="000000"/>
                <w:sz w:val="22"/>
              </w:rPr>
              <w:t>prostory, technika, tlumočení, catering apod.</w:t>
            </w:r>
          </w:p>
        </w:tc>
      </w:tr>
      <w:tr w:rsidR="005025DA" w:rsidRPr="003F1BDD" w:rsidTr="008022EF">
        <w:trPr>
          <w:trHeight w:val="315"/>
        </w:trPr>
        <w:tc>
          <w:tcPr>
            <w:tcW w:w="3261" w:type="dxa"/>
            <w:tcBorders>
              <w:top w:val="nil"/>
              <w:left w:val="single" w:sz="4" w:space="0" w:color="auto"/>
              <w:bottom w:val="single" w:sz="4" w:space="0" w:color="auto"/>
              <w:right w:val="single" w:sz="4" w:space="0" w:color="auto"/>
            </w:tcBorders>
            <w:shd w:val="clear" w:color="auto" w:fill="auto"/>
            <w:noWrap/>
            <w:vAlign w:val="bottom"/>
          </w:tcPr>
          <w:p w:rsidR="005025DA" w:rsidRPr="003F1BDD" w:rsidRDefault="005025DA" w:rsidP="008022EF">
            <w:pPr>
              <w:spacing w:before="120" w:after="120"/>
              <w:rPr>
                <w:bCs/>
                <w:color w:val="000000"/>
                <w:sz w:val="22"/>
              </w:rPr>
            </w:pPr>
            <w:r w:rsidRPr="003F1BDD">
              <w:rPr>
                <w:bCs/>
                <w:color w:val="000000"/>
                <w:sz w:val="22"/>
              </w:rPr>
              <w:t>Propagace vč. propagačního shotu, katalog produktů, překlady, vedení účtu v EUR</w:t>
            </w:r>
          </w:p>
        </w:tc>
        <w:tc>
          <w:tcPr>
            <w:tcW w:w="1701" w:type="dxa"/>
            <w:tcBorders>
              <w:top w:val="nil"/>
              <w:left w:val="nil"/>
              <w:bottom w:val="single" w:sz="4" w:space="0" w:color="auto"/>
              <w:right w:val="single" w:sz="4" w:space="0" w:color="auto"/>
            </w:tcBorders>
            <w:shd w:val="clear" w:color="auto" w:fill="auto"/>
            <w:noWrap/>
            <w:vAlign w:val="bottom"/>
          </w:tcPr>
          <w:p w:rsidR="005025DA" w:rsidRPr="003F1BDD" w:rsidRDefault="005025DA" w:rsidP="008022EF">
            <w:pPr>
              <w:spacing w:before="120" w:after="120"/>
              <w:jc w:val="center"/>
              <w:rPr>
                <w:bCs/>
                <w:color w:val="000000"/>
                <w:sz w:val="22"/>
              </w:rPr>
            </w:pPr>
            <w:r w:rsidRPr="003F1BDD">
              <w:rPr>
                <w:bCs/>
                <w:color w:val="000000"/>
                <w:sz w:val="22"/>
              </w:rPr>
              <w:t>400 000</w:t>
            </w:r>
            <w:r w:rsidRPr="003F1BDD">
              <w:rPr>
                <w:bCs/>
                <w:color w:val="000000"/>
                <w:sz w:val="22"/>
              </w:rPr>
              <w:br/>
            </w:r>
          </w:p>
          <w:p w:rsidR="005025DA" w:rsidRPr="003F1BDD" w:rsidRDefault="005025DA" w:rsidP="008022EF">
            <w:pPr>
              <w:spacing w:before="120" w:after="120"/>
              <w:jc w:val="center"/>
              <w:rPr>
                <w:bCs/>
                <w:color w:val="000000"/>
                <w:sz w:val="22"/>
              </w:rPr>
            </w:pPr>
          </w:p>
          <w:p w:rsidR="005025DA" w:rsidRPr="003F1BDD" w:rsidRDefault="005025DA" w:rsidP="008022EF">
            <w:pPr>
              <w:spacing w:before="120" w:after="120"/>
              <w:jc w:val="center"/>
              <w:rPr>
                <w:bCs/>
                <w:color w:val="000000"/>
                <w:sz w:val="22"/>
              </w:rPr>
            </w:pPr>
          </w:p>
        </w:tc>
        <w:tc>
          <w:tcPr>
            <w:tcW w:w="4110" w:type="dxa"/>
            <w:tcBorders>
              <w:top w:val="nil"/>
              <w:left w:val="nil"/>
              <w:bottom w:val="single" w:sz="4" w:space="0" w:color="auto"/>
              <w:right w:val="single" w:sz="4" w:space="0" w:color="auto"/>
            </w:tcBorders>
            <w:shd w:val="clear" w:color="auto" w:fill="auto"/>
            <w:vAlign w:val="bottom"/>
          </w:tcPr>
          <w:p w:rsidR="005025DA" w:rsidRPr="003F1BDD" w:rsidRDefault="005025DA" w:rsidP="008022EF">
            <w:pPr>
              <w:spacing w:before="120" w:after="120"/>
              <w:rPr>
                <w:bCs/>
                <w:color w:val="000000"/>
                <w:sz w:val="22"/>
              </w:rPr>
            </w:pPr>
          </w:p>
        </w:tc>
      </w:tr>
      <w:tr w:rsidR="005025DA" w:rsidRPr="003F1BDD" w:rsidTr="008022EF">
        <w:trPr>
          <w:trHeight w:val="31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5025DA" w:rsidRPr="003F1BDD" w:rsidRDefault="005025DA" w:rsidP="008022EF">
            <w:pPr>
              <w:spacing w:before="120" w:after="120"/>
              <w:rPr>
                <w:b/>
                <w:bCs/>
                <w:color w:val="000000"/>
                <w:sz w:val="22"/>
              </w:rPr>
            </w:pPr>
            <w:r w:rsidRPr="003F1BDD">
              <w:rPr>
                <w:b/>
                <w:bCs/>
                <w:color w:val="000000"/>
                <w:sz w:val="22"/>
              </w:rPr>
              <w:t>Celkem</w:t>
            </w:r>
          </w:p>
        </w:tc>
        <w:tc>
          <w:tcPr>
            <w:tcW w:w="1701" w:type="dxa"/>
            <w:tcBorders>
              <w:top w:val="nil"/>
              <w:left w:val="nil"/>
              <w:bottom w:val="single" w:sz="4" w:space="0" w:color="auto"/>
              <w:right w:val="single" w:sz="4" w:space="0" w:color="auto"/>
            </w:tcBorders>
            <w:shd w:val="clear" w:color="auto" w:fill="auto"/>
            <w:noWrap/>
            <w:vAlign w:val="bottom"/>
            <w:hideMark/>
          </w:tcPr>
          <w:p w:rsidR="005025DA" w:rsidRPr="003F1BDD" w:rsidRDefault="005025DA" w:rsidP="008022EF">
            <w:pPr>
              <w:spacing w:before="120" w:after="120"/>
              <w:jc w:val="center"/>
              <w:rPr>
                <w:color w:val="000000"/>
                <w:sz w:val="22"/>
              </w:rPr>
            </w:pPr>
            <w:r w:rsidRPr="003F1BDD">
              <w:rPr>
                <w:b/>
                <w:bCs/>
                <w:color w:val="000000"/>
                <w:sz w:val="22"/>
              </w:rPr>
              <w:t>10 000 000</w:t>
            </w:r>
          </w:p>
        </w:tc>
        <w:tc>
          <w:tcPr>
            <w:tcW w:w="4110" w:type="dxa"/>
            <w:tcBorders>
              <w:top w:val="nil"/>
              <w:left w:val="nil"/>
              <w:bottom w:val="single" w:sz="4" w:space="0" w:color="auto"/>
              <w:right w:val="single" w:sz="4" w:space="0" w:color="auto"/>
            </w:tcBorders>
            <w:shd w:val="clear" w:color="auto" w:fill="auto"/>
            <w:vAlign w:val="bottom"/>
          </w:tcPr>
          <w:p w:rsidR="005025DA" w:rsidRPr="003F1BDD" w:rsidRDefault="005025DA" w:rsidP="008022EF">
            <w:pPr>
              <w:spacing w:before="120" w:after="120"/>
              <w:jc w:val="right"/>
              <w:rPr>
                <w:color w:val="000000"/>
                <w:sz w:val="22"/>
              </w:rPr>
            </w:pPr>
          </w:p>
        </w:tc>
      </w:tr>
    </w:tbl>
    <w:p w:rsidR="00F32642" w:rsidRDefault="00F32642" w:rsidP="00172410">
      <w:pPr>
        <w:jc w:val="both"/>
      </w:pPr>
    </w:p>
    <w:p w:rsidR="00BE3712" w:rsidRDefault="00BE3712" w:rsidP="00964F1B">
      <w:pPr>
        <w:spacing w:before="120"/>
      </w:pPr>
    </w:p>
    <w:p w:rsidR="00D77E58" w:rsidRPr="00024A1A" w:rsidRDefault="00D77E58" w:rsidP="00D77E58">
      <w:pPr>
        <w:jc w:val="both"/>
      </w:pPr>
      <w:r w:rsidRPr="00024A1A">
        <w:t>Za Olomoucký kraj pro podání žádosti musíme doložit následující:</w:t>
      </w:r>
    </w:p>
    <w:p w:rsidR="00D77E58" w:rsidRPr="00024A1A" w:rsidRDefault="00D77E58" w:rsidP="00D77E58">
      <w:pPr>
        <w:pStyle w:val="Odstavecseseznamem"/>
        <w:numPr>
          <w:ilvl w:val="0"/>
          <w:numId w:val="14"/>
        </w:numPr>
        <w:spacing w:after="200"/>
        <w:jc w:val="both"/>
      </w:pPr>
      <w:r w:rsidRPr="00024A1A">
        <w:t>Celkové náklady části projektu, která bude realizována Olomouckým krajem</w:t>
      </w:r>
    </w:p>
    <w:p w:rsidR="00D77E58" w:rsidRPr="00024A1A" w:rsidRDefault="00D77E58" w:rsidP="00D77E58">
      <w:pPr>
        <w:pStyle w:val="Odstavecseseznamem"/>
        <w:numPr>
          <w:ilvl w:val="0"/>
          <w:numId w:val="14"/>
        </w:numPr>
        <w:spacing w:after="200"/>
        <w:jc w:val="both"/>
      </w:pPr>
      <w:r w:rsidRPr="00024A1A">
        <w:t>Obecný popis zapojení (zpracovává souhrnně NTCM)</w:t>
      </w:r>
    </w:p>
    <w:p w:rsidR="00E04397" w:rsidRDefault="00E04397" w:rsidP="00E04397">
      <w:pPr>
        <w:pStyle w:val="Odstavecseseznamem"/>
        <w:numPr>
          <w:ilvl w:val="0"/>
          <w:numId w:val="14"/>
        </w:numPr>
        <w:spacing w:before="120" w:after="200"/>
        <w:jc w:val="both"/>
      </w:pPr>
      <w:r w:rsidRPr="003E7010">
        <w:t xml:space="preserve">Project partner and State aid declarations </w:t>
      </w:r>
      <w:r w:rsidRPr="00024A1A">
        <w:t>(Prohlášení partnera projektu</w:t>
      </w:r>
      <w:r>
        <w:t xml:space="preserve"> a o státní podpoře</w:t>
      </w:r>
      <w:r w:rsidRPr="00024A1A">
        <w:t>) podepsané statutárním zástupcem kraje</w:t>
      </w:r>
      <w:r>
        <w:t xml:space="preserve">. </w:t>
      </w:r>
      <w:r w:rsidRPr="00675A17">
        <w:t>Project partner and State aid declarations</w:t>
      </w:r>
      <w:r w:rsidRPr="00024A1A">
        <w:t xml:space="preserve"> v anglické verzi a česk</w:t>
      </w:r>
      <w:r>
        <w:t>é</w:t>
      </w:r>
      <w:r w:rsidRPr="00024A1A">
        <w:t xml:space="preserve"> </w:t>
      </w:r>
      <w:r>
        <w:t>verzi</w:t>
      </w:r>
      <w:r w:rsidRPr="00024A1A">
        <w:t xml:space="preserve"> je uveden v příloze č. 1.</w:t>
      </w:r>
      <w:r>
        <w:t xml:space="preserve"> </w:t>
      </w:r>
    </w:p>
    <w:p w:rsidR="008D5443" w:rsidRDefault="008D5443" w:rsidP="008D5443">
      <w:pPr>
        <w:spacing w:after="200"/>
        <w:jc w:val="both"/>
        <w:rPr>
          <w:b/>
        </w:rPr>
      </w:pPr>
    </w:p>
    <w:p w:rsidR="008D5443" w:rsidRPr="008D5443" w:rsidRDefault="008D5443" w:rsidP="008D5443">
      <w:pPr>
        <w:spacing w:after="200"/>
        <w:jc w:val="both"/>
        <w:rPr>
          <w:b/>
        </w:rPr>
      </w:pPr>
    </w:p>
    <w:p w:rsidR="00B77590" w:rsidRPr="00436AF4" w:rsidRDefault="00B77590" w:rsidP="00B77590">
      <w:pPr>
        <w:spacing w:before="120" w:after="120"/>
        <w:rPr>
          <w:b/>
          <w:u w:val="single"/>
        </w:rPr>
      </w:pPr>
      <w:r w:rsidRPr="00436AF4">
        <w:rPr>
          <w:b/>
          <w:u w:val="single"/>
        </w:rPr>
        <w:lastRenderedPageBreak/>
        <w:t>Časový harmonogram projektu</w:t>
      </w:r>
    </w:p>
    <w:p w:rsidR="00B77590" w:rsidRPr="00436AF4" w:rsidRDefault="00B77590" w:rsidP="00B77590">
      <w:pPr>
        <w:tabs>
          <w:tab w:val="right" w:pos="9072"/>
        </w:tabs>
        <w:spacing w:before="120" w:after="120"/>
        <w:jc w:val="both"/>
      </w:pPr>
      <w:r w:rsidRPr="00436AF4">
        <w:t xml:space="preserve">Podání žádosti o finanční podporu (zajišťuje vedoucí partner): </w:t>
      </w:r>
      <w:r w:rsidRPr="00436AF4">
        <w:tab/>
        <w:t>do 23. 6. 2016</w:t>
      </w:r>
    </w:p>
    <w:p w:rsidR="00B77590" w:rsidRPr="00436AF4" w:rsidRDefault="00B77590" w:rsidP="00B77590">
      <w:pPr>
        <w:tabs>
          <w:tab w:val="right" w:pos="9072"/>
        </w:tabs>
        <w:spacing w:before="120" w:after="120"/>
        <w:jc w:val="both"/>
      </w:pPr>
      <w:r w:rsidRPr="00436AF4">
        <w:t xml:space="preserve">Předpoklad schválení žádosti: </w:t>
      </w:r>
      <w:r w:rsidRPr="00436AF4">
        <w:tab/>
        <w:t>1. pololetí 2017</w:t>
      </w:r>
    </w:p>
    <w:p w:rsidR="00B77590" w:rsidRPr="00436AF4" w:rsidRDefault="00B77590" w:rsidP="00B77590">
      <w:pPr>
        <w:spacing w:before="120" w:after="120"/>
        <w:jc w:val="both"/>
      </w:pPr>
      <w:r w:rsidRPr="00436AF4">
        <w:t>Po schválení žádosti o finanční podporu bude Radě Olomouckého kraje předložena k odsouhlasení partnerská smlouva.</w:t>
      </w:r>
    </w:p>
    <w:p w:rsidR="00B77590" w:rsidRPr="00436AF4" w:rsidRDefault="00B77590" w:rsidP="00B77590">
      <w:pPr>
        <w:tabs>
          <w:tab w:val="left" w:pos="6946"/>
          <w:tab w:val="right" w:pos="9072"/>
        </w:tabs>
        <w:spacing w:before="120" w:after="120"/>
        <w:jc w:val="both"/>
      </w:pPr>
      <w:r w:rsidRPr="00436AF4">
        <w:t>Předpokládané zahájení realizace:</w:t>
      </w:r>
      <w:r w:rsidRPr="00436AF4">
        <w:tab/>
      </w:r>
      <w:r w:rsidRPr="00436AF4">
        <w:tab/>
        <w:t xml:space="preserve">   2. pololetí 2017</w:t>
      </w:r>
    </w:p>
    <w:p w:rsidR="00B77590" w:rsidRPr="00436AF4" w:rsidRDefault="00B77590" w:rsidP="00B77590">
      <w:pPr>
        <w:spacing w:before="120" w:after="120"/>
        <w:jc w:val="both"/>
      </w:pPr>
      <w:r w:rsidRPr="00436AF4">
        <w:t>Předpokládané ukončení realizace:</w:t>
      </w:r>
      <w:r w:rsidRPr="00436AF4">
        <w:tab/>
      </w:r>
      <w:r w:rsidRPr="00436AF4">
        <w:tab/>
      </w:r>
      <w:r w:rsidRPr="00436AF4">
        <w:tab/>
      </w:r>
      <w:r w:rsidRPr="00436AF4">
        <w:tab/>
      </w:r>
      <w:r w:rsidRPr="00436AF4">
        <w:tab/>
        <w:t xml:space="preserve">     1. pololetí 2020</w:t>
      </w:r>
    </w:p>
    <w:p w:rsidR="00B77590" w:rsidRPr="00024A1A" w:rsidRDefault="00B77590" w:rsidP="00B77590">
      <w:pPr>
        <w:spacing w:before="480"/>
        <w:jc w:val="both"/>
        <w:rPr>
          <w:b/>
        </w:rPr>
      </w:pPr>
      <w:r w:rsidRPr="00024A1A">
        <w:rPr>
          <w:b/>
        </w:rPr>
        <w:t xml:space="preserve">Rada Olomouckého kraje doporučuje Zastupitelstvu Olomouckého kraje schválit </w:t>
      </w:r>
      <w:r>
        <w:rPr>
          <w:b/>
        </w:rPr>
        <w:t>předfinancování a spolu</w:t>
      </w:r>
      <w:r w:rsidRPr="00024A1A">
        <w:rPr>
          <w:b/>
          <w:snapToGrid w:val="0"/>
        </w:rPr>
        <w:t xml:space="preserve">financování projektu </w:t>
      </w:r>
      <w:r w:rsidRPr="00024A1A">
        <w:rPr>
          <w:b/>
        </w:rPr>
        <w:t>„</w:t>
      </w:r>
      <w:r>
        <w:rPr>
          <w:b/>
        </w:rPr>
        <w:t>Fall prevention project DOREEN</w:t>
      </w:r>
      <w:r w:rsidRPr="00024A1A">
        <w:rPr>
          <w:b/>
        </w:rPr>
        <w:t>“</w:t>
      </w:r>
      <w:r w:rsidRPr="00024A1A">
        <w:rPr>
          <w:b/>
          <w:snapToGrid w:val="0"/>
        </w:rPr>
        <w:t xml:space="preserve"> v případě získání dotace</w:t>
      </w:r>
      <w:r w:rsidR="00FD499C">
        <w:rPr>
          <w:b/>
          <w:snapToGrid w:val="0"/>
        </w:rPr>
        <w:t xml:space="preserve"> a uložit podpis Project partner and State aid declarations</w:t>
      </w:r>
      <w:r w:rsidRPr="00024A1A">
        <w:rPr>
          <w:b/>
          <w:snapToGrid w:val="0"/>
        </w:rPr>
        <w:t xml:space="preserve">. </w:t>
      </w:r>
    </w:p>
    <w:p w:rsidR="00B77590" w:rsidRDefault="00B77590" w:rsidP="00B77590">
      <w:pPr>
        <w:spacing w:before="120"/>
      </w:pPr>
    </w:p>
    <w:p w:rsidR="00B77590" w:rsidRDefault="00B77590" w:rsidP="00B77590">
      <w:pPr>
        <w:jc w:val="both"/>
      </w:pPr>
    </w:p>
    <w:p w:rsidR="00B77590" w:rsidRPr="00024A1A" w:rsidRDefault="00B77590" w:rsidP="00B77590">
      <w:pPr>
        <w:jc w:val="both"/>
      </w:pPr>
      <w:r w:rsidRPr="00024A1A">
        <w:t>Přílohy</w:t>
      </w:r>
    </w:p>
    <w:p w:rsidR="00B77590" w:rsidRDefault="00B77590" w:rsidP="00B77590">
      <w:pPr>
        <w:jc w:val="both"/>
      </w:pPr>
      <w:r w:rsidRPr="00024A1A">
        <w:t xml:space="preserve">Příloha č. 1 – </w:t>
      </w:r>
      <w:r>
        <w:t xml:space="preserve">Vzor </w:t>
      </w:r>
      <w:r w:rsidR="000C4D5D" w:rsidRPr="003E7010">
        <w:t xml:space="preserve">Project partner and State aid declarations </w:t>
      </w:r>
      <w:r w:rsidRPr="00024A1A">
        <w:t>v</w:t>
      </w:r>
      <w:r>
        <w:t> </w:t>
      </w:r>
      <w:r w:rsidRPr="00024A1A">
        <w:t>anglické</w:t>
      </w:r>
      <w:r>
        <w:t xml:space="preserve"> a</w:t>
      </w:r>
      <w:r w:rsidRPr="00024A1A">
        <w:t xml:space="preserve"> česk</w:t>
      </w:r>
      <w:r>
        <w:t>é</w:t>
      </w:r>
      <w:r w:rsidRPr="00024A1A">
        <w:t xml:space="preserve"> </w:t>
      </w:r>
      <w:r>
        <w:t>verzi</w:t>
      </w:r>
      <w:r w:rsidRPr="00024A1A">
        <w:t xml:space="preserve"> (strana </w:t>
      </w:r>
      <w:r>
        <w:t>5</w:t>
      </w:r>
      <w:r w:rsidRPr="00024A1A">
        <w:t xml:space="preserve"> – </w:t>
      </w:r>
      <w:r w:rsidR="000C4D5D">
        <w:t>2</w:t>
      </w:r>
      <w:r>
        <w:t>6</w:t>
      </w:r>
      <w:r w:rsidRPr="00024A1A">
        <w:t>)</w:t>
      </w:r>
    </w:p>
    <w:p w:rsidR="005355CE" w:rsidRPr="00024A1A" w:rsidRDefault="005355CE" w:rsidP="00E04397">
      <w:pPr>
        <w:jc w:val="both"/>
        <w:rPr>
          <w:b/>
        </w:rPr>
      </w:pPr>
      <w:r>
        <w:t xml:space="preserve"> </w:t>
      </w:r>
    </w:p>
    <w:sectPr w:rsidR="005355CE" w:rsidRPr="00024A1A" w:rsidSect="00B7759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C70" w:rsidRDefault="00BF3C70" w:rsidP="00BA3D1E">
      <w:r>
        <w:separator/>
      </w:r>
    </w:p>
  </w:endnote>
  <w:endnote w:type="continuationSeparator" w:id="0">
    <w:p w:rsidR="00BF3C70" w:rsidRDefault="00BF3C70" w:rsidP="00BA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590" w:rsidRPr="000E64BD" w:rsidRDefault="00B77590" w:rsidP="00BA3D1E">
    <w:pPr>
      <w:pStyle w:val="Zpat"/>
      <w:pBdr>
        <w:top w:val="single" w:sz="4" w:space="1" w:color="auto"/>
      </w:pBdr>
      <w:jc w:val="both"/>
      <w:rPr>
        <w:i/>
        <w:noProof/>
        <w:sz w:val="20"/>
        <w:szCs w:val="20"/>
      </w:rPr>
    </w:pPr>
    <w:r>
      <w:rPr>
        <w:i/>
        <w:sz w:val="20"/>
        <w:szCs w:val="20"/>
      </w:rPr>
      <w:t>Zastupitelstvo Olomouckého kraje 29. 4. 2016</w:t>
    </w:r>
    <w:r w:rsidRPr="000E64BD">
      <w:rPr>
        <w:i/>
        <w:noProof/>
        <w:sz w:val="20"/>
        <w:szCs w:val="20"/>
      </w:rPr>
      <w:tab/>
    </w:r>
    <w:r w:rsidRPr="000E64BD">
      <w:rPr>
        <w:i/>
        <w:noProof/>
        <w:sz w:val="20"/>
        <w:szCs w:val="20"/>
      </w:rPr>
      <w:tab/>
      <w:t xml:space="preserve">Strana </w:t>
    </w:r>
    <w:r w:rsidRPr="000E64BD">
      <w:rPr>
        <w:i/>
        <w:noProof/>
        <w:sz w:val="20"/>
        <w:szCs w:val="20"/>
      </w:rPr>
      <w:fldChar w:fldCharType="begin"/>
    </w:r>
    <w:r w:rsidRPr="000E64BD">
      <w:rPr>
        <w:i/>
        <w:noProof/>
        <w:sz w:val="20"/>
        <w:szCs w:val="20"/>
      </w:rPr>
      <w:instrText xml:space="preserve"> PAGE </w:instrText>
    </w:r>
    <w:r w:rsidRPr="000E64BD">
      <w:rPr>
        <w:i/>
        <w:noProof/>
        <w:sz w:val="20"/>
        <w:szCs w:val="20"/>
      </w:rPr>
      <w:fldChar w:fldCharType="separate"/>
    </w:r>
    <w:r w:rsidR="00934D62">
      <w:rPr>
        <w:i/>
        <w:noProof/>
        <w:sz w:val="20"/>
        <w:szCs w:val="20"/>
      </w:rPr>
      <w:t>4</w:t>
    </w:r>
    <w:r w:rsidRPr="000E64BD">
      <w:rPr>
        <w:i/>
        <w:noProof/>
        <w:sz w:val="20"/>
        <w:szCs w:val="20"/>
      </w:rPr>
      <w:fldChar w:fldCharType="end"/>
    </w:r>
    <w:r w:rsidRPr="000E64BD">
      <w:rPr>
        <w:i/>
        <w:noProof/>
        <w:sz w:val="20"/>
        <w:szCs w:val="20"/>
      </w:rPr>
      <w:t xml:space="preserve"> (celkem </w:t>
    </w:r>
    <w:r w:rsidR="000C4D5D">
      <w:rPr>
        <w:i/>
        <w:noProof/>
        <w:sz w:val="20"/>
        <w:szCs w:val="20"/>
      </w:rPr>
      <w:t>26</w:t>
    </w:r>
    <w:r w:rsidRPr="000E64BD">
      <w:rPr>
        <w:i/>
        <w:noProof/>
        <w:sz w:val="20"/>
        <w:szCs w:val="20"/>
      </w:rPr>
      <w:t>)</w:t>
    </w:r>
  </w:p>
  <w:p w:rsidR="00B77590" w:rsidRDefault="000C4D5D" w:rsidP="009E2BFE">
    <w:pPr>
      <w:pStyle w:val="Zpat"/>
      <w:pBdr>
        <w:top w:val="single" w:sz="4" w:space="1" w:color="auto"/>
      </w:pBdr>
      <w:jc w:val="both"/>
      <w:rPr>
        <w:i/>
        <w:sz w:val="20"/>
        <w:szCs w:val="20"/>
      </w:rPr>
    </w:pPr>
    <w:r>
      <w:rPr>
        <w:i/>
        <w:sz w:val="20"/>
        <w:szCs w:val="20"/>
      </w:rPr>
      <w:t>50</w:t>
    </w:r>
    <w:r w:rsidR="00B77590">
      <w:rPr>
        <w:i/>
        <w:sz w:val="20"/>
        <w:szCs w:val="20"/>
      </w:rPr>
      <w:t xml:space="preserve">. </w:t>
    </w:r>
    <w:r w:rsidR="00B77590" w:rsidRPr="00B77590">
      <w:rPr>
        <w:i/>
        <w:sz w:val="20"/>
        <w:szCs w:val="20"/>
      </w:rPr>
      <w:t>Účast Olomouckého kraje v nadnárodním projektu „Fall prevention project DOREEN“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C70" w:rsidRDefault="00BF3C70" w:rsidP="00BA3D1E">
      <w:r>
        <w:separator/>
      </w:r>
    </w:p>
  </w:footnote>
  <w:footnote w:type="continuationSeparator" w:id="0">
    <w:p w:rsidR="00BF3C70" w:rsidRDefault="00BF3C70" w:rsidP="00BA3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D70"/>
    <w:multiLevelType w:val="hybridMultilevel"/>
    <w:tmpl w:val="BC56B34E"/>
    <w:lvl w:ilvl="0" w:tplc="C0AE6192">
      <w:start w:val="1"/>
      <w:numFmt w:val="lowerLetter"/>
      <w:lvlText w:val="%1)"/>
      <w:lvlJc w:val="left"/>
      <w:pPr>
        <w:ind w:left="1068" w:hanging="360"/>
      </w:pPr>
      <w:rPr>
        <w:rFonts w:hint="default"/>
      </w:rPr>
    </w:lvl>
    <w:lvl w:ilvl="1" w:tplc="0405001B">
      <w:start w:val="1"/>
      <w:numFmt w:val="low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C215F2"/>
    <w:multiLevelType w:val="hybridMultilevel"/>
    <w:tmpl w:val="49CA46B8"/>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3472D35"/>
    <w:multiLevelType w:val="hybridMultilevel"/>
    <w:tmpl w:val="1FAC6B8E"/>
    <w:lvl w:ilvl="0" w:tplc="04050017">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096A88"/>
    <w:multiLevelType w:val="hybridMultilevel"/>
    <w:tmpl w:val="723A9B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351409"/>
    <w:multiLevelType w:val="hybridMultilevel"/>
    <w:tmpl w:val="000E5450"/>
    <w:lvl w:ilvl="0" w:tplc="5F467B6E">
      <w:start w:val="1"/>
      <w:numFmt w:val="lowerLetter"/>
      <w:lvlText w:val="%1)"/>
      <w:lvlJc w:val="left"/>
      <w:pPr>
        <w:ind w:left="1068" w:hanging="360"/>
      </w:pPr>
      <w:rPr>
        <w:rFonts w:hint="default"/>
      </w:rPr>
    </w:lvl>
    <w:lvl w:ilvl="1" w:tplc="0405001B">
      <w:start w:val="1"/>
      <w:numFmt w:val="lowerRoman"/>
      <w:lvlText w:val="%2."/>
      <w:lvlJc w:val="right"/>
      <w:pPr>
        <w:ind w:left="1788" w:hanging="360"/>
      </w:pPr>
    </w:lvl>
    <w:lvl w:ilvl="2" w:tplc="0405001B">
      <w:start w:val="1"/>
      <w:numFmt w:val="lowerRoman"/>
      <w:lvlText w:val="%3."/>
      <w:lvlJc w:val="right"/>
      <w:pPr>
        <w:ind w:left="2508" w:hanging="180"/>
      </w:pPr>
    </w:lvl>
    <w:lvl w:ilvl="3" w:tplc="0405001B">
      <w:start w:val="1"/>
      <w:numFmt w:val="lowerRoman"/>
      <w:lvlText w:val="%4."/>
      <w:lvlJc w:val="right"/>
      <w:pPr>
        <w:ind w:left="3228" w:hanging="360"/>
      </w:pPr>
      <w:rPr>
        <w:rFonts w:hint="default"/>
      </w:r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331A3922"/>
    <w:multiLevelType w:val="hybridMultilevel"/>
    <w:tmpl w:val="92FEAB1E"/>
    <w:lvl w:ilvl="0" w:tplc="A8D2133E">
      <w:start w:val="9"/>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AF33A35"/>
    <w:multiLevelType w:val="hybridMultilevel"/>
    <w:tmpl w:val="77824C46"/>
    <w:lvl w:ilvl="0" w:tplc="C0AE6192">
      <w:start w:val="1"/>
      <w:numFmt w:val="lowerLetter"/>
      <w:lvlText w:val="%1)"/>
      <w:lvlJc w:val="left"/>
      <w:pPr>
        <w:ind w:left="1068"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5DA791F"/>
    <w:multiLevelType w:val="hybridMultilevel"/>
    <w:tmpl w:val="24FAF1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AB1246A"/>
    <w:multiLevelType w:val="hybridMultilevel"/>
    <w:tmpl w:val="7B6658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4F2201DF"/>
    <w:multiLevelType w:val="hybridMultilevel"/>
    <w:tmpl w:val="6DA822D8"/>
    <w:lvl w:ilvl="0" w:tplc="AF583ED8">
      <w:start w:val="21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50115E7B"/>
    <w:multiLevelType w:val="hybridMultilevel"/>
    <w:tmpl w:val="E3024028"/>
    <w:lvl w:ilvl="0" w:tplc="447810E0">
      <w:start w:val="1"/>
      <w:numFmt w:val="decimal"/>
      <w:lvlText w:val="%1."/>
      <w:lvlJc w:val="left"/>
      <w:pPr>
        <w:ind w:left="720" w:hanging="360"/>
      </w:pPr>
      <w:rPr>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3A64470">
      <w:start w:val="3"/>
      <w:numFmt w:val="bullet"/>
      <w:lvlText w:val="-"/>
      <w:lvlJc w:val="left"/>
      <w:pPr>
        <w:ind w:left="2880" w:hanging="360"/>
      </w:pPr>
      <w:rPr>
        <w:rFonts w:ascii="Arial" w:eastAsia="Times New Roman" w:hAnsi="Arial" w:cs="Arial" w:hint="default"/>
      </w:rPr>
    </w:lvl>
    <w:lvl w:ilvl="4" w:tplc="91C82C1E">
      <w:start w:val="3"/>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44C3D7A"/>
    <w:multiLevelType w:val="hybridMultilevel"/>
    <w:tmpl w:val="50B485E0"/>
    <w:lvl w:ilvl="0" w:tplc="04050001">
      <w:start w:val="1"/>
      <w:numFmt w:val="bullet"/>
      <w:lvlText w:val=""/>
      <w:lvlJc w:val="left"/>
      <w:pPr>
        <w:ind w:left="1428" w:hanging="360"/>
      </w:pPr>
      <w:rPr>
        <w:rFonts w:ascii="Symbol" w:hAnsi="Symbol" w:hint="default"/>
      </w:r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nsid w:val="5C503207"/>
    <w:multiLevelType w:val="hybridMultilevel"/>
    <w:tmpl w:val="F8B274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D892137"/>
    <w:multiLevelType w:val="hybridMultilevel"/>
    <w:tmpl w:val="A38494A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6329645B"/>
    <w:multiLevelType w:val="hybridMultilevel"/>
    <w:tmpl w:val="9056982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4"/>
  </w:num>
  <w:num w:numId="3">
    <w:abstractNumId w:val="10"/>
  </w:num>
  <w:num w:numId="4">
    <w:abstractNumId w:val="8"/>
  </w:num>
  <w:num w:numId="5">
    <w:abstractNumId w:val="9"/>
  </w:num>
  <w:num w:numId="6">
    <w:abstractNumId w:val="3"/>
  </w:num>
  <w:num w:numId="7">
    <w:abstractNumId w:val="11"/>
  </w:num>
  <w:num w:numId="8">
    <w:abstractNumId w:val="7"/>
  </w:num>
  <w:num w:numId="9">
    <w:abstractNumId w:val="6"/>
  </w:num>
  <w:num w:numId="10">
    <w:abstractNumId w:val="0"/>
  </w:num>
  <w:num w:numId="11">
    <w:abstractNumId w:val="1"/>
  </w:num>
  <w:num w:numId="12">
    <w:abstractNumId w:val="2"/>
  </w:num>
  <w:num w:numId="13">
    <w:abstractNumId w:val="1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35"/>
    <w:rsid w:val="000067C4"/>
    <w:rsid w:val="00013BBF"/>
    <w:rsid w:val="00015368"/>
    <w:rsid w:val="000168FB"/>
    <w:rsid w:val="00022131"/>
    <w:rsid w:val="00065680"/>
    <w:rsid w:val="00065D2F"/>
    <w:rsid w:val="00076411"/>
    <w:rsid w:val="00077FB7"/>
    <w:rsid w:val="00083CEF"/>
    <w:rsid w:val="000862B9"/>
    <w:rsid w:val="000A5048"/>
    <w:rsid w:val="000A603B"/>
    <w:rsid w:val="000B2C37"/>
    <w:rsid w:val="000B4E78"/>
    <w:rsid w:val="000B6FAB"/>
    <w:rsid w:val="000C0CDA"/>
    <w:rsid w:val="000C0D66"/>
    <w:rsid w:val="000C2D89"/>
    <w:rsid w:val="000C4D5D"/>
    <w:rsid w:val="000C5E51"/>
    <w:rsid w:val="000C7403"/>
    <w:rsid w:val="000D0468"/>
    <w:rsid w:val="000E6B2C"/>
    <w:rsid w:val="000E6D23"/>
    <w:rsid w:val="000E6DD6"/>
    <w:rsid w:val="000E6F8B"/>
    <w:rsid w:val="000F06AE"/>
    <w:rsid w:val="000F5E8B"/>
    <w:rsid w:val="00102B37"/>
    <w:rsid w:val="00104A73"/>
    <w:rsid w:val="00106822"/>
    <w:rsid w:val="001166C6"/>
    <w:rsid w:val="00116C1B"/>
    <w:rsid w:val="00152E63"/>
    <w:rsid w:val="0016194D"/>
    <w:rsid w:val="001671B7"/>
    <w:rsid w:val="00172410"/>
    <w:rsid w:val="00173B08"/>
    <w:rsid w:val="001843E5"/>
    <w:rsid w:val="001858CD"/>
    <w:rsid w:val="00191135"/>
    <w:rsid w:val="001B1CC3"/>
    <w:rsid w:val="001B5C75"/>
    <w:rsid w:val="001C1F90"/>
    <w:rsid w:val="001C3C00"/>
    <w:rsid w:val="001E19DB"/>
    <w:rsid w:val="001E3F34"/>
    <w:rsid w:val="002006A6"/>
    <w:rsid w:val="00200E84"/>
    <w:rsid w:val="0021377A"/>
    <w:rsid w:val="00213A27"/>
    <w:rsid w:val="0021488B"/>
    <w:rsid w:val="00217D76"/>
    <w:rsid w:val="00224812"/>
    <w:rsid w:val="00226F29"/>
    <w:rsid w:val="00230EF6"/>
    <w:rsid w:val="00236246"/>
    <w:rsid w:val="00236340"/>
    <w:rsid w:val="00246262"/>
    <w:rsid w:val="00255022"/>
    <w:rsid w:val="00266190"/>
    <w:rsid w:val="0026782D"/>
    <w:rsid w:val="0027091B"/>
    <w:rsid w:val="00273188"/>
    <w:rsid w:val="002743B5"/>
    <w:rsid w:val="0028125B"/>
    <w:rsid w:val="0028301E"/>
    <w:rsid w:val="002867CF"/>
    <w:rsid w:val="002A2DEA"/>
    <w:rsid w:val="002A3BE6"/>
    <w:rsid w:val="002A47DD"/>
    <w:rsid w:val="002B1970"/>
    <w:rsid w:val="002E1CB6"/>
    <w:rsid w:val="002E60AE"/>
    <w:rsid w:val="002F258C"/>
    <w:rsid w:val="002F6D67"/>
    <w:rsid w:val="00301C5B"/>
    <w:rsid w:val="00301D54"/>
    <w:rsid w:val="0031509C"/>
    <w:rsid w:val="00325332"/>
    <w:rsid w:val="00333DD5"/>
    <w:rsid w:val="00343F5E"/>
    <w:rsid w:val="00346CCE"/>
    <w:rsid w:val="003477ED"/>
    <w:rsid w:val="00365994"/>
    <w:rsid w:val="00373A83"/>
    <w:rsid w:val="003918CE"/>
    <w:rsid w:val="003A1B44"/>
    <w:rsid w:val="003A4FCA"/>
    <w:rsid w:val="003B28F7"/>
    <w:rsid w:val="003B2C9B"/>
    <w:rsid w:val="003B48DB"/>
    <w:rsid w:val="003C1647"/>
    <w:rsid w:val="003C267D"/>
    <w:rsid w:val="003C4DBC"/>
    <w:rsid w:val="003C521C"/>
    <w:rsid w:val="003C6C9A"/>
    <w:rsid w:val="003D3DED"/>
    <w:rsid w:val="003E1E61"/>
    <w:rsid w:val="003E7CAF"/>
    <w:rsid w:val="003F3076"/>
    <w:rsid w:val="003F3120"/>
    <w:rsid w:val="00402A0D"/>
    <w:rsid w:val="004043A5"/>
    <w:rsid w:val="00404DBD"/>
    <w:rsid w:val="00412C05"/>
    <w:rsid w:val="00413206"/>
    <w:rsid w:val="004308F3"/>
    <w:rsid w:val="00445078"/>
    <w:rsid w:val="00455539"/>
    <w:rsid w:val="00460859"/>
    <w:rsid w:val="00474572"/>
    <w:rsid w:val="00484C95"/>
    <w:rsid w:val="004859D2"/>
    <w:rsid w:val="004916DC"/>
    <w:rsid w:val="004A453B"/>
    <w:rsid w:val="004A7984"/>
    <w:rsid w:val="004B3467"/>
    <w:rsid w:val="004B3D11"/>
    <w:rsid w:val="004C194F"/>
    <w:rsid w:val="004C2C21"/>
    <w:rsid w:val="004C3BCD"/>
    <w:rsid w:val="004F5C15"/>
    <w:rsid w:val="00500406"/>
    <w:rsid w:val="005004FA"/>
    <w:rsid w:val="005025DA"/>
    <w:rsid w:val="00515E4C"/>
    <w:rsid w:val="005355CE"/>
    <w:rsid w:val="005507E0"/>
    <w:rsid w:val="005536D5"/>
    <w:rsid w:val="00553DD8"/>
    <w:rsid w:val="00554345"/>
    <w:rsid w:val="005543B5"/>
    <w:rsid w:val="005567E5"/>
    <w:rsid w:val="00562490"/>
    <w:rsid w:val="005726AF"/>
    <w:rsid w:val="0057507C"/>
    <w:rsid w:val="00576C68"/>
    <w:rsid w:val="00583751"/>
    <w:rsid w:val="005842D9"/>
    <w:rsid w:val="005864A7"/>
    <w:rsid w:val="00591D38"/>
    <w:rsid w:val="005A1F81"/>
    <w:rsid w:val="005A3E88"/>
    <w:rsid w:val="005A47A7"/>
    <w:rsid w:val="005A63F7"/>
    <w:rsid w:val="005A65F9"/>
    <w:rsid w:val="005C4173"/>
    <w:rsid w:val="005D0EE2"/>
    <w:rsid w:val="005D25D9"/>
    <w:rsid w:val="006022FE"/>
    <w:rsid w:val="006034CF"/>
    <w:rsid w:val="0061055B"/>
    <w:rsid w:val="0061487A"/>
    <w:rsid w:val="00643B76"/>
    <w:rsid w:val="00655045"/>
    <w:rsid w:val="0066086D"/>
    <w:rsid w:val="006756AC"/>
    <w:rsid w:val="00677A7F"/>
    <w:rsid w:val="00680D22"/>
    <w:rsid w:val="00693A9D"/>
    <w:rsid w:val="00696991"/>
    <w:rsid w:val="006A50F1"/>
    <w:rsid w:val="006A6AD8"/>
    <w:rsid w:val="006C39C5"/>
    <w:rsid w:val="006D2FD7"/>
    <w:rsid w:val="006E6F83"/>
    <w:rsid w:val="006F35D9"/>
    <w:rsid w:val="006F4714"/>
    <w:rsid w:val="006F64F5"/>
    <w:rsid w:val="007123A4"/>
    <w:rsid w:val="00733515"/>
    <w:rsid w:val="00751D72"/>
    <w:rsid w:val="00756089"/>
    <w:rsid w:val="00757A68"/>
    <w:rsid w:val="0078309F"/>
    <w:rsid w:val="007908D9"/>
    <w:rsid w:val="007A0CBD"/>
    <w:rsid w:val="007A111B"/>
    <w:rsid w:val="007A2FEA"/>
    <w:rsid w:val="007A3245"/>
    <w:rsid w:val="007B3C14"/>
    <w:rsid w:val="007C5FF8"/>
    <w:rsid w:val="007C780C"/>
    <w:rsid w:val="007D303E"/>
    <w:rsid w:val="007F25F2"/>
    <w:rsid w:val="008071A0"/>
    <w:rsid w:val="0081077C"/>
    <w:rsid w:val="0082253D"/>
    <w:rsid w:val="00824003"/>
    <w:rsid w:val="00835EBD"/>
    <w:rsid w:val="0084199E"/>
    <w:rsid w:val="008660D7"/>
    <w:rsid w:val="008678F8"/>
    <w:rsid w:val="008713BF"/>
    <w:rsid w:val="0087456B"/>
    <w:rsid w:val="00882584"/>
    <w:rsid w:val="00884120"/>
    <w:rsid w:val="008A0642"/>
    <w:rsid w:val="008A278A"/>
    <w:rsid w:val="008B2709"/>
    <w:rsid w:val="008D5443"/>
    <w:rsid w:val="008D6E6A"/>
    <w:rsid w:val="00905041"/>
    <w:rsid w:val="0092210A"/>
    <w:rsid w:val="0093109C"/>
    <w:rsid w:val="00934D62"/>
    <w:rsid w:val="009467B4"/>
    <w:rsid w:val="009557A0"/>
    <w:rsid w:val="009574E2"/>
    <w:rsid w:val="0095799A"/>
    <w:rsid w:val="00964097"/>
    <w:rsid w:val="009647E8"/>
    <w:rsid w:val="00964F1B"/>
    <w:rsid w:val="00965072"/>
    <w:rsid w:val="00965200"/>
    <w:rsid w:val="00976245"/>
    <w:rsid w:val="009837E1"/>
    <w:rsid w:val="00983C54"/>
    <w:rsid w:val="0098589E"/>
    <w:rsid w:val="00997B8A"/>
    <w:rsid w:val="009B44F3"/>
    <w:rsid w:val="009C6CB6"/>
    <w:rsid w:val="009D3B8D"/>
    <w:rsid w:val="009D6A18"/>
    <w:rsid w:val="009E2BFE"/>
    <w:rsid w:val="009E41F4"/>
    <w:rsid w:val="009F4D65"/>
    <w:rsid w:val="00A12F73"/>
    <w:rsid w:val="00A24748"/>
    <w:rsid w:val="00A26A2E"/>
    <w:rsid w:val="00A3755D"/>
    <w:rsid w:val="00A4298D"/>
    <w:rsid w:val="00A51E42"/>
    <w:rsid w:val="00A66647"/>
    <w:rsid w:val="00A75B19"/>
    <w:rsid w:val="00A90763"/>
    <w:rsid w:val="00AA1BE8"/>
    <w:rsid w:val="00AA7FC3"/>
    <w:rsid w:val="00AE6EE4"/>
    <w:rsid w:val="00AE7885"/>
    <w:rsid w:val="00AF0A26"/>
    <w:rsid w:val="00AF3DAF"/>
    <w:rsid w:val="00AF5DFE"/>
    <w:rsid w:val="00AF79AF"/>
    <w:rsid w:val="00AF7ED2"/>
    <w:rsid w:val="00B12274"/>
    <w:rsid w:val="00B15761"/>
    <w:rsid w:val="00B225DC"/>
    <w:rsid w:val="00B23D04"/>
    <w:rsid w:val="00B247FB"/>
    <w:rsid w:val="00B2529C"/>
    <w:rsid w:val="00B35326"/>
    <w:rsid w:val="00B42F38"/>
    <w:rsid w:val="00B43BFE"/>
    <w:rsid w:val="00B57E13"/>
    <w:rsid w:val="00B62E7A"/>
    <w:rsid w:val="00B737B4"/>
    <w:rsid w:val="00B77590"/>
    <w:rsid w:val="00BA3D1E"/>
    <w:rsid w:val="00BA55A9"/>
    <w:rsid w:val="00BC619D"/>
    <w:rsid w:val="00BE0E81"/>
    <w:rsid w:val="00BE3712"/>
    <w:rsid w:val="00BE4D49"/>
    <w:rsid w:val="00BF1DEB"/>
    <w:rsid w:val="00BF3C70"/>
    <w:rsid w:val="00BF7C95"/>
    <w:rsid w:val="00C01748"/>
    <w:rsid w:val="00C145AE"/>
    <w:rsid w:val="00C25639"/>
    <w:rsid w:val="00C2611A"/>
    <w:rsid w:val="00C468ED"/>
    <w:rsid w:val="00C54BD7"/>
    <w:rsid w:val="00C56A0B"/>
    <w:rsid w:val="00C65746"/>
    <w:rsid w:val="00C74D75"/>
    <w:rsid w:val="00C86AC6"/>
    <w:rsid w:val="00C9771E"/>
    <w:rsid w:val="00CA2865"/>
    <w:rsid w:val="00CA6E43"/>
    <w:rsid w:val="00CB4D44"/>
    <w:rsid w:val="00CB55EA"/>
    <w:rsid w:val="00CB7AB5"/>
    <w:rsid w:val="00CC0C35"/>
    <w:rsid w:val="00CC5268"/>
    <w:rsid w:val="00CC6BD6"/>
    <w:rsid w:val="00CE0B28"/>
    <w:rsid w:val="00CE48A3"/>
    <w:rsid w:val="00CF04EC"/>
    <w:rsid w:val="00CF711C"/>
    <w:rsid w:val="00D03145"/>
    <w:rsid w:val="00D05DFB"/>
    <w:rsid w:val="00D10ED5"/>
    <w:rsid w:val="00D14C5A"/>
    <w:rsid w:val="00D26623"/>
    <w:rsid w:val="00D276B5"/>
    <w:rsid w:val="00D34298"/>
    <w:rsid w:val="00D44588"/>
    <w:rsid w:val="00D51188"/>
    <w:rsid w:val="00D5350E"/>
    <w:rsid w:val="00D62C26"/>
    <w:rsid w:val="00D67646"/>
    <w:rsid w:val="00D77E58"/>
    <w:rsid w:val="00D92C67"/>
    <w:rsid w:val="00D9672E"/>
    <w:rsid w:val="00DA1BBC"/>
    <w:rsid w:val="00DA6D53"/>
    <w:rsid w:val="00DC24E8"/>
    <w:rsid w:val="00DC44F4"/>
    <w:rsid w:val="00DE390B"/>
    <w:rsid w:val="00DE52CF"/>
    <w:rsid w:val="00E012C9"/>
    <w:rsid w:val="00E04397"/>
    <w:rsid w:val="00E04550"/>
    <w:rsid w:val="00E110EF"/>
    <w:rsid w:val="00E11480"/>
    <w:rsid w:val="00E11A2A"/>
    <w:rsid w:val="00E14D26"/>
    <w:rsid w:val="00E22123"/>
    <w:rsid w:val="00E25F8D"/>
    <w:rsid w:val="00E3111E"/>
    <w:rsid w:val="00E327E2"/>
    <w:rsid w:val="00E4099C"/>
    <w:rsid w:val="00E417E9"/>
    <w:rsid w:val="00E45369"/>
    <w:rsid w:val="00E614D2"/>
    <w:rsid w:val="00E636B9"/>
    <w:rsid w:val="00E7028F"/>
    <w:rsid w:val="00E710D8"/>
    <w:rsid w:val="00E7299D"/>
    <w:rsid w:val="00E84936"/>
    <w:rsid w:val="00E86696"/>
    <w:rsid w:val="00EA0E2D"/>
    <w:rsid w:val="00EA5E93"/>
    <w:rsid w:val="00EA5EEA"/>
    <w:rsid w:val="00EA6527"/>
    <w:rsid w:val="00EB02B0"/>
    <w:rsid w:val="00EB503E"/>
    <w:rsid w:val="00ED2197"/>
    <w:rsid w:val="00ED2262"/>
    <w:rsid w:val="00ED40CD"/>
    <w:rsid w:val="00ED4465"/>
    <w:rsid w:val="00ED4AE2"/>
    <w:rsid w:val="00ED7643"/>
    <w:rsid w:val="00EE0A08"/>
    <w:rsid w:val="00F0155D"/>
    <w:rsid w:val="00F02DAA"/>
    <w:rsid w:val="00F06567"/>
    <w:rsid w:val="00F07D54"/>
    <w:rsid w:val="00F10E27"/>
    <w:rsid w:val="00F146FA"/>
    <w:rsid w:val="00F1618E"/>
    <w:rsid w:val="00F20BFB"/>
    <w:rsid w:val="00F2249C"/>
    <w:rsid w:val="00F2528E"/>
    <w:rsid w:val="00F317C1"/>
    <w:rsid w:val="00F32642"/>
    <w:rsid w:val="00F56CF0"/>
    <w:rsid w:val="00F60A06"/>
    <w:rsid w:val="00F82EBC"/>
    <w:rsid w:val="00F870B2"/>
    <w:rsid w:val="00F91BC8"/>
    <w:rsid w:val="00F92155"/>
    <w:rsid w:val="00F9702C"/>
    <w:rsid w:val="00FA798A"/>
    <w:rsid w:val="00FA7D5E"/>
    <w:rsid w:val="00FB3CCA"/>
    <w:rsid w:val="00FB735B"/>
    <w:rsid w:val="00FD0800"/>
    <w:rsid w:val="00FD1477"/>
    <w:rsid w:val="00FD499C"/>
    <w:rsid w:val="00FD72DC"/>
    <w:rsid w:val="00FD791F"/>
    <w:rsid w:val="00FE29A1"/>
    <w:rsid w:val="00FE6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2BFE"/>
    <w:pPr>
      <w:spacing w:after="0" w:line="240" w:lineRule="auto"/>
    </w:pPr>
    <w:rPr>
      <w:rFonts w:ascii="Arial" w:eastAsia="Times New Roman" w:hAnsi="Arial" w:cs="Arial"/>
      <w:sz w:val="24"/>
      <w:szCs w:val="24"/>
      <w:lang w:eastAsia="cs-CZ"/>
    </w:rPr>
  </w:style>
  <w:style w:type="paragraph" w:styleId="Nadpis1">
    <w:name w:val="heading 1"/>
    <w:basedOn w:val="Normln"/>
    <w:next w:val="Normln"/>
    <w:link w:val="Nadpis1Char"/>
    <w:uiPriority w:val="9"/>
    <w:qFormat/>
    <w:rsid w:val="00CC5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2213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3D1E"/>
    <w:pPr>
      <w:tabs>
        <w:tab w:val="center" w:pos="4536"/>
        <w:tab w:val="right" w:pos="9072"/>
      </w:tabs>
    </w:pPr>
  </w:style>
  <w:style w:type="character" w:customStyle="1" w:styleId="ZhlavChar">
    <w:name w:val="Záhlaví Char"/>
    <w:basedOn w:val="Standardnpsmoodstavce"/>
    <w:link w:val="Zhlav"/>
    <w:uiPriority w:val="99"/>
    <w:rsid w:val="00BA3D1E"/>
  </w:style>
  <w:style w:type="paragraph" w:styleId="Zpat">
    <w:name w:val="footer"/>
    <w:basedOn w:val="Normln"/>
    <w:link w:val="ZpatChar"/>
    <w:unhideWhenUsed/>
    <w:rsid w:val="00BA3D1E"/>
    <w:pPr>
      <w:tabs>
        <w:tab w:val="center" w:pos="4536"/>
        <w:tab w:val="right" w:pos="9072"/>
      </w:tabs>
    </w:pPr>
  </w:style>
  <w:style w:type="character" w:customStyle="1" w:styleId="ZpatChar">
    <w:name w:val="Zápatí Char"/>
    <w:basedOn w:val="Standardnpsmoodstavce"/>
    <w:link w:val="Zpat"/>
    <w:uiPriority w:val="99"/>
    <w:rsid w:val="00BA3D1E"/>
  </w:style>
  <w:style w:type="paragraph" w:styleId="Odstavecseseznamem">
    <w:name w:val="List Paragraph"/>
    <w:basedOn w:val="Normln"/>
    <w:uiPriority w:val="34"/>
    <w:qFormat/>
    <w:rsid w:val="00964F1B"/>
    <w:pPr>
      <w:ind w:left="720"/>
      <w:contextualSpacing/>
    </w:pPr>
  </w:style>
  <w:style w:type="paragraph" w:customStyle="1" w:styleId="Tabulkatuntext16nasted">
    <w:name w:val="Tabulka tučný text_16 na střed"/>
    <w:basedOn w:val="Normln"/>
    <w:rsid w:val="00F07D54"/>
    <w:pPr>
      <w:widowControl w:val="0"/>
      <w:spacing w:before="120" w:after="120"/>
      <w:jc w:val="center"/>
    </w:pPr>
    <w:rPr>
      <w:b/>
      <w:noProof/>
      <w:sz w:val="32"/>
      <w:szCs w:val="32"/>
    </w:rPr>
  </w:style>
  <w:style w:type="paragraph" w:customStyle="1" w:styleId="Tabulkatuntextnasted">
    <w:name w:val="Tabulka tučný text na střed"/>
    <w:basedOn w:val="Normln"/>
    <w:rsid w:val="00F07D54"/>
    <w:pPr>
      <w:widowControl w:val="0"/>
      <w:spacing w:before="40" w:after="40"/>
      <w:jc w:val="center"/>
    </w:pPr>
    <w:rPr>
      <w:rFonts w:cs="Times New Roman"/>
      <w:b/>
      <w:noProof/>
      <w:szCs w:val="20"/>
    </w:rPr>
  </w:style>
  <w:style w:type="paragraph" w:customStyle="1" w:styleId="Tabulkazkladntext">
    <w:name w:val="Tabulka základní text"/>
    <w:basedOn w:val="Normln"/>
    <w:link w:val="TabulkazkladntextChar"/>
    <w:rsid w:val="00F07D54"/>
    <w:pPr>
      <w:widowControl w:val="0"/>
      <w:spacing w:before="40" w:after="40"/>
    </w:pPr>
    <w:rPr>
      <w:noProof/>
      <w:szCs w:val="20"/>
    </w:rPr>
  </w:style>
  <w:style w:type="paragraph" w:customStyle="1" w:styleId="Tabulkazkladntextnasted">
    <w:name w:val="Tabulka základní text na střed"/>
    <w:basedOn w:val="Normln"/>
    <w:rsid w:val="00F07D54"/>
    <w:pPr>
      <w:widowControl w:val="0"/>
      <w:spacing w:before="40" w:after="40"/>
      <w:jc w:val="center"/>
    </w:pPr>
    <w:rPr>
      <w:rFonts w:cs="Times New Roman"/>
      <w:noProof/>
      <w:szCs w:val="20"/>
    </w:rPr>
  </w:style>
  <w:style w:type="character" w:customStyle="1" w:styleId="TabulkazkladntextChar">
    <w:name w:val="Tabulka základní text Char"/>
    <w:link w:val="Tabulkazkladntext"/>
    <w:rsid w:val="00F07D54"/>
    <w:rPr>
      <w:rFonts w:ascii="Arial" w:eastAsia="Times New Roman" w:hAnsi="Arial" w:cs="Arial"/>
      <w:noProof/>
      <w:sz w:val="24"/>
      <w:szCs w:val="20"/>
      <w:lang w:eastAsia="cs-CZ"/>
    </w:rPr>
  </w:style>
  <w:style w:type="character" w:customStyle="1" w:styleId="Nadpis1Char">
    <w:name w:val="Nadpis 1 Char"/>
    <w:basedOn w:val="Standardnpsmoodstavce"/>
    <w:link w:val="Nadpis1"/>
    <w:uiPriority w:val="9"/>
    <w:rsid w:val="00CC5268"/>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5864A7"/>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Nadpis2Char">
    <w:name w:val="Nadpis 2 Char"/>
    <w:basedOn w:val="Standardnpsmoodstavce"/>
    <w:link w:val="Nadpis2"/>
    <w:uiPriority w:val="9"/>
    <w:rsid w:val="00022131"/>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59"/>
    <w:rsid w:val="00236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1488B"/>
    <w:rPr>
      <w:rFonts w:ascii="Tahoma" w:hAnsi="Tahoma" w:cs="Tahoma"/>
      <w:sz w:val="16"/>
      <w:szCs w:val="16"/>
    </w:rPr>
  </w:style>
  <w:style w:type="character" w:customStyle="1" w:styleId="TextbublinyChar">
    <w:name w:val="Text bubliny Char"/>
    <w:basedOn w:val="Standardnpsmoodstavce"/>
    <w:link w:val="Textbubliny"/>
    <w:uiPriority w:val="99"/>
    <w:semiHidden/>
    <w:rsid w:val="0021488B"/>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2BFE"/>
    <w:pPr>
      <w:spacing w:after="0" w:line="240" w:lineRule="auto"/>
    </w:pPr>
    <w:rPr>
      <w:rFonts w:ascii="Arial" w:eastAsia="Times New Roman" w:hAnsi="Arial" w:cs="Arial"/>
      <w:sz w:val="24"/>
      <w:szCs w:val="24"/>
      <w:lang w:eastAsia="cs-CZ"/>
    </w:rPr>
  </w:style>
  <w:style w:type="paragraph" w:styleId="Nadpis1">
    <w:name w:val="heading 1"/>
    <w:basedOn w:val="Normln"/>
    <w:next w:val="Normln"/>
    <w:link w:val="Nadpis1Char"/>
    <w:uiPriority w:val="9"/>
    <w:qFormat/>
    <w:rsid w:val="00CC5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2213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3D1E"/>
    <w:pPr>
      <w:tabs>
        <w:tab w:val="center" w:pos="4536"/>
        <w:tab w:val="right" w:pos="9072"/>
      </w:tabs>
    </w:pPr>
  </w:style>
  <w:style w:type="character" w:customStyle="1" w:styleId="ZhlavChar">
    <w:name w:val="Záhlaví Char"/>
    <w:basedOn w:val="Standardnpsmoodstavce"/>
    <w:link w:val="Zhlav"/>
    <w:uiPriority w:val="99"/>
    <w:rsid w:val="00BA3D1E"/>
  </w:style>
  <w:style w:type="paragraph" w:styleId="Zpat">
    <w:name w:val="footer"/>
    <w:basedOn w:val="Normln"/>
    <w:link w:val="ZpatChar"/>
    <w:unhideWhenUsed/>
    <w:rsid w:val="00BA3D1E"/>
    <w:pPr>
      <w:tabs>
        <w:tab w:val="center" w:pos="4536"/>
        <w:tab w:val="right" w:pos="9072"/>
      </w:tabs>
    </w:pPr>
  </w:style>
  <w:style w:type="character" w:customStyle="1" w:styleId="ZpatChar">
    <w:name w:val="Zápatí Char"/>
    <w:basedOn w:val="Standardnpsmoodstavce"/>
    <w:link w:val="Zpat"/>
    <w:uiPriority w:val="99"/>
    <w:rsid w:val="00BA3D1E"/>
  </w:style>
  <w:style w:type="paragraph" w:styleId="Odstavecseseznamem">
    <w:name w:val="List Paragraph"/>
    <w:basedOn w:val="Normln"/>
    <w:uiPriority w:val="34"/>
    <w:qFormat/>
    <w:rsid w:val="00964F1B"/>
    <w:pPr>
      <w:ind w:left="720"/>
      <w:contextualSpacing/>
    </w:pPr>
  </w:style>
  <w:style w:type="paragraph" w:customStyle="1" w:styleId="Tabulkatuntext16nasted">
    <w:name w:val="Tabulka tučný text_16 na střed"/>
    <w:basedOn w:val="Normln"/>
    <w:rsid w:val="00F07D54"/>
    <w:pPr>
      <w:widowControl w:val="0"/>
      <w:spacing w:before="120" w:after="120"/>
      <w:jc w:val="center"/>
    </w:pPr>
    <w:rPr>
      <w:b/>
      <w:noProof/>
      <w:sz w:val="32"/>
      <w:szCs w:val="32"/>
    </w:rPr>
  </w:style>
  <w:style w:type="paragraph" w:customStyle="1" w:styleId="Tabulkatuntextnasted">
    <w:name w:val="Tabulka tučný text na střed"/>
    <w:basedOn w:val="Normln"/>
    <w:rsid w:val="00F07D54"/>
    <w:pPr>
      <w:widowControl w:val="0"/>
      <w:spacing w:before="40" w:after="40"/>
      <w:jc w:val="center"/>
    </w:pPr>
    <w:rPr>
      <w:rFonts w:cs="Times New Roman"/>
      <w:b/>
      <w:noProof/>
      <w:szCs w:val="20"/>
    </w:rPr>
  </w:style>
  <w:style w:type="paragraph" w:customStyle="1" w:styleId="Tabulkazkladntext">
    <w:name w:val="Tabulka základní text"/>
    <w:basedOn w:val="Normln"/>
    <w:link w:val="TabulkazkladntextChar"/>
    <w:rsid w:val="00F07D54"/>
    <w:pPr>
      <w:widowControl w:val="0"/>
      <w:spacing w:before="40" w:after="40"/>
    </w:pPr>
    <w:rPr>
      <w:noProof/>
      <w:szCs w:val="20"/>
    </w:rPr>
  </w:style>
  <w:style w:type="paragraph" w:customStyle="1" w:styleId="Tabulkazkladntextnasted">
    <w:name w:val="Tabulka základní text na střed"/>
    <w:basedOn w:val="Normln"/>
    <w:rsid w:val="00F07D54"/>
    <w:pPr>
      <w:widowControl w:val="0"/>
      <w:spacing w:before="40" w:after="40"/>
      <w:jc w:val="center"/>
    </w:pPr>
    <w:rPr>
      <w:rFonts w:cs="Times New Roman"/>
      <w:noProof/>
      <w:szCs w:val="20"/>
    </w:rPr>
  </w:style>
  <w:style w:type="character" w:customStyle="1" w:styleId="TabulkazkladntextChar">
    <w:name w:val="Tabulka základní text Char"/>
    <w:link w:val="Tabulkazkladntext"/>
    <w:rsid w:val="00F07D54"/>
    <w:rPr>
      <w:rFonts w:ascii="Arial" w:eastAsia="Times New Roman" w:hAnsi="Arial" w:cs="Arial"/>
      <w:noProof/>
      <w:sz w:val="24"/>
      <w:szCs w:val="20"/>
      <w:lang w:eastAsia="cs-CZ"/>
    </w:rPr>
  </w:style>
  <w:style w:type="character" w:customStyle="1" w:styleId="Nadpis1Char">
    <w:name w:val="Nadpis 1 Char"/>
    <w:basedOn w:val="Standardnpsmoodstavce"/>
    <w:link w:val="Nadpis1"/>
    <w:uiPriority w:val="9"/>
    <w:rsid w:val="00CC5268"/>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5864A7"/>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Nadpis2Char">
    <w:name w:val="Nadpis 2 Char"/>
    <w:basedOn w:val="Standardnpsmoodstavce"/>
    <w:link w:val="Nadpis2"/>
    <w:uiPriority w:val="9"/>
    <w:rsid w:val="00022131"/>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59"/>
    <w:rsid w:val="00236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1488B"/>
    <w:rPr>
      <w:rFonts w:ascii="Tahoma" w:hAnsi="Tahoma" w:cs="Tahoma"/>
      <w:sz w:val="16"/>
      <w:szCs w:val="16"/>
    </w:rPr>
  </w:style>
  <w:style w:type="character" w:customStyle="1" w:styleId="TextbublinyChar">
    <w:name w:val="Text bubliny Char"/>
    <w:basedOn w:val="Standardnpsmoodstavce"/>
    <w:link w:val="Textbubliny"/>
    <w:uiPriority w:val="99"/>
    <w:semiHidden/>
    <w:rsid w:val="0021488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1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6978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Procházková Jana</dc:creator>
  <cp:lastModifiedBy>Procházková Jana</cp:lastModifiedBy>
  <cp:revision>2</cp:revision>
  <cp:lastPrinted>2016-04-27T11:51:00Z</cp:lastPrinted>
  <dcterms:created xsi:type="dcterms:W3CDTF">2016-04-27T13:35:00Z</dcterms:created>
  <dcterms:modified xsi:type="dcterms:W3CDTF">2016-04-27T13:35:00Z</dcterms:modified>
</cp:coreProperties>
</file>