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Mgr. Yvonou Kubjátovou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4228330207/0100, Komerční banka, a.</w:t>
      </w:r>
      <w:r w:rsidR="00BF0C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BF0C5D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F0C5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A673A0" w:rsidRPr="00BF0C5D" w:rsidRDefault="00BF0C5D" w:rsidP="00C02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0C5D">
        <w:rPr>
          <w:rStyle w:val="preformatted"/>
          <w:rFonts w:ascii="Arial" w:hAnsi="Arial" w:cs="Arial"/>
          <w:b/>
          <w:sz w:val="24"/>
          <w:szCs w:val="24"/>
        </w:rPr>
        <w:t>Prime Communications, s.r.o.</w:t>
      </w:r>
      <w:r w:rsidRPr="00BF0C5D">
        <w:rPr>
          <w:rFonts w:ascii="Arial" w:hAnsi="Arial" w:cs="Arial"/>
          <w:b/>
          <w:sz w:val="24"/>
          <w:szCs w:val="24"/>
        </w:rPr>
        <w:t xml:space="preserve"> </w:t>
      </w:r>
    </w:p>
    <w:p w:rsidR="00BF0C5D" w:rsidRPr="00BF0C5D" w:rsidRDefault="00BF0C5D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F0C5D">
        <w:rPr>
          <w:rFonts w:ascii="Arial" w:hAnsi="Arial" w:cs="Arial"/>
          <w:sz w:val="24"/>
          <w:szCs w:val="24"/>
        </w:rPr>
        <w:t>Jinonická 80/804, 158 00 Praha 5</w:t>
      </w:r>
    </w:p>
    <w:p w:rsidR="00C02788" w:rsidRDefault="00C02788" w:rsidP="00C02788">
      <w:pPr>
        <w:spacing w:after="120" w:line="240" w:lineRule="auto"/>
        <w:jc w:val="both"/>
        <w:rPr>
          <w:rStyle w:val="nowrap"/>
          <w:rFonts w:ascii="Arial" w:hAnsi="Arial" w:cs="Arial"/>
          <w:sz w:val="24"/>
          <w:szCs w:val="24"/>
        </w:rPr>
      </w:pPr>
      <w:r w:rsidRPr="00BF0C5D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BF0C5D" w:rsidRPr="00BF0C5D">
        <w:rPr>
          <w:rStyle w:val="nowrap"/>
          <w:rFonts w:ascii="Arial" w:hAnsi="Arial" w:cs="Arial"/>
          <w:sz w:val="24"/>
          <w:szCs w:val="24"/>
        </w:rPr>
        <w:t>28274288</w:t>
      </w:r>
    </w:p>
    <w:p w:rsidR="004C0C4C" w:rsidRPr="00BF0C5D" w:rsidRDefault="004C0C4C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Style w:val="nowrap"/>
          <w:rFonts w:ascii="Arial" w:hAnsi="Arial" w:cs="Arial"/>
          <w:sz w:val="24"/>
          <w:szCs w:val="24"/>
        </w:rPr>
        <w:t>DIČ: CZ</w:t>
      </w:r>
      <w:r w:rsidRPr="00BF0C5D">
        <w:rPr>
          <w:rStyle w:val="nowrap"/>
          <w:rFonts w:ascii="Arial" w:hAnsi="Arial" w:cs="Arial"/>
          <w:sz w:val="24"/>
          <w:szCs w:val="24"/>
        </w:rPr>
        <w:t>28274288</w:t>
      </w:r>
    </w:p>
    <w:p w:rsidR="00A673A0" w:rsidRPr="004C0C4C" w:rsidRDefault="00BF0C5D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Obchodní</w:t>
      </w:r>
      <w:r w:rsidR="00C02788" w:rsidRPr="00A673A0">
        <w:rPr>
          <w:rFonts w:ascii="Arial" w:eastAsia="Times New Roman" w:hAnsi="Arial" w:cs="Arial"/>
          <w:sz w:val="24"/>
          <w:szCs w:val="24"/>
          <w:lang w:eastAsia="cs-CZ"/>
        </w:rPr>
        <w:t xml:space="preserve"> rejstřík</w:t>
      </w:r>
      <w:r w:rsidR="00A673A0" w:rsidRPr="00A673A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673A0" w:rsidRPr="00A673A0">
        <w:rPr>
          <w:rFonts w:ascii="Arial" w:hAnsi="Arial" w:cs="Arial"/>
          <w:sz w:val="24"/>
          <w:szCs w:val="24"/>
        </w:rPr>
        <w:t xml:space="preserve"> </w:t>
      </w:r>
      <w:r w:rsidRPr="004C0C4C">
        <w:rPr>
          <w:rFonts w:ascii="Arial" w:hAnsi="Arial" w:cs="Arial"/>
          <w:sz w:val="24"/>
          <w:szCs w:val="24"/>
        </w:rPr>
        <w:t xml:space="preserve">Městský soudu v Praze, C 156250  </w:t>
      </w:r>
      <w:r w:rsidR="00A673A0" w:rsidRPr="004C0C4C">
        <w:rPr>
          <w:rFonts w:ascii="Arial" w:hAnsi="Arial" w:cs="Arial"/>
          <w:sz w:val="24"/>
          <w:szCs w:val="24"/>
        </w:rPr>
        <w:t xml:space="preserve"> </w:t>
      </w:r>
    </w:p>
    <w:p w:rsidR="00C02788" w:rsidRPr="00A673A0" w:rsidRDefault="00BF0C5D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</w:t>
      </w:r>
      <w:r w:rsidR="00C02788" w:rsidRPr="00A673A0">
        <w:rPr>
          <w:rFonts w:ascii="Arial" w:eastAsia="Times New Roman" w:hAnsi="Arial" w:cs="Arial"/>
          <w:sz w:val="24"/>
          <w:szCs w:val="24"/>
          <w:lang w:eastAsia="cs-CZ"/>
        </w:rPr>
        <w:t>: </w:t>
      </w:r>
      <w:r>
        <w:rPr>
          <w:rFonts w:ascii="Arial" w:eastAsia="Times New Roman" w:hAnsi="Arial" w:cs="Arial"/>
          <w:sz w:val="24"/>
          <w:szCs w:val="24"/>
          <w:lang w:eastAsia="cs-CZ"/>
        </w:rPr>
        <w:t>Denisou Kalivodovou, jednatelkou</w:t>
      </w:r>
    </w:p>
    <w:p w:rsidR="00A673A0" w:rsidRPr="008501CC" w:rsidRDefault="00BF0C5D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43 – 1546710287/0100</w:t>
      </w:r>
      <w:r w:rsidR="004C0C4C">
        <w:rPr>
          <w:rFonts w:ascii="Arial" w:eastAsia="Times New Roman" w:hAnsi="Arial" w:cs="Arial"/>
          <w:sz w:val="24"/>
          <w:szCs w:val="24"/>
          <w:lang w:eastAsia="cs-CZ"/>
        </w:rPr>
        <w:t>, Komerční banka, a.s.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4C0C4C" w:rsidRPr="004C0C4C">
        <w:rPr>
          <w:rFonts w:ascii="Arial" w:eastAsia="Times New Roman" w:hAnsi="Arial" w:cs="Arial"/>
          <w:b/>
          <w:sz w:val="24"/>
          <w:szCs w:val="24"/>
          <w:lang w:eastAsia="cs-CZ"/>
        </w:rPr>
        <w:t>400 000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4C0C4C">
        <w:rPr>
          <w:rFonts w:ascii="Arial" w:eastAsia="Times New Roman" w:hAnsi="Arial" w:cs="Arial"/>
          <w:sz w:val="24"/>
          <w:szCs w:val="24"/>
          <w:lang w:eastAsia="cs-CZ"/>
        </w:rPr>
        <w:t>čtyřistatisíc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C02788" w:rsidRPr="00B66B9B" w:rsidRDefault="00C02788" w:rsidP="00B66B9B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C02788">
        <w:rPr>
          <w:rFonts w:ascii="Arial" w:hAnsi="Arial" w:cs="Arial"/>
        </w:rPr>
        <w:t xml:space="preserve">Účelem poskytnutí dotace je </w:t>
      </w:r>
      <w:r w:rsidR="00985C8D">
        <w:rPr>
          <w:rFonts w:ascii="Arial" w:hAnsi="Arial" w:cs="Arial"/>
        </w:rPr>
        <w:t xml:space="preserve">částečná </w:t>
      </w:r>
      <w:r w:rsidRPr="005020F4">
        <w:rPr>
          <w:rFonts w:ascii="Arial" w:hAnsi="Arial" w:cs="Arial"/>
        </w:rPr>
        <w:t xml:space="preserve">úhrada nákladů </w:t>
      </w:r>
      <w:r w:rsidR="00071647" w:rsidRPr="005020F4">
        <w:rPr>
          <w:rFonts w:ascii="Arial" w:hAnsi="Arial" w:cs="Arial"/>
        </w:rPr>
        <w:t xml:space="preserve">na projekt </w:t>
      </w:r>
      <w:r w:rsidR="00071647">
        <w:rPr>
          <w:rFonts w:ascii="Arial" w:hAnsi="Arial" w:cs="Arial"/>
        </w:rPr>
        <w:t>„</w:t>
      </w:r>
      <w:r w:rsidR="004C0C4C" w:rsidRPr="004C0C4C">
        <w:rPr>
          <w:rFonts w:ascii="Arial" w:hAnsi="Arial" w:cs="Arial"/>
          <w:b/>
        </w:rPr>
        <w:t>Žena regionu, 7. ročník</w:t>
      </w:r>
      <w:r w:rsidR="00071647">
        <w:rPr>
          <w:rFonts w:ascii="Arial" w:hAnsi="Arial" w:cs="Arial"/>
        </w:rPr>
        <w:t>“</w:t>
      </w:r>
      <w:r w:rsidR="00B66B9B">
        <w:rPr>
          <w:rFonts w:ascii="Arial" w:hAnsi="Arial" w:cs="Arial"/>
        </w:rPr>
        <w:t xml:space="preserve">, jehož cílem je </w:t>
      </w:r>
      <w:r w:rsidR="004C0C4C">
        <w:rPr>
          <w:rFonts w:ascii="Arial" w:hAnsi="Arial" w:cs="Arial"/>
        </w:rPr>
        <w:t xml:space="preserve">uspořádání slavnostního galavečera </w:t>
      </w:r>
      <w:r w:rsidR="008F2B9E">
        <w:rPr>
          <w:rFonts w:ascii="Arial" w:hAnsi="Arial" w:cs="Arial"/>
        </w:rPr>
        <w:br/>
        <w:t>u příležitosti</w:t>
      </w:r>
      <w:r w:rsidR="004C0C4C">
        <w:rPr>
          <w:rFonts w:ascii="Arial" w:hAnsi="Arial" w:cs="Arial"/>
        </w:rPr>
        <w:t xml:space="preserve"> předání ocenění 7. </w:t>
      </w:r>
      <w:r w:rsidR="008F2B9E">
        <w:rPr>
          <w:rFonts w:ascii="Arial" w:hAnsi="Arial" w:cs="Arial"/>
        </w:rPr>
        <w:t>r</w:t>
      </w:r>
      <w:r w:rsidR="004C0C4C">
        <w:rPr>
          <w:rFonts w:ascii="Arial" w:hAnsi="Arial" w:cs="Arial"/>
        </w:rPr>
        <w:t xml:space="preserve">očníku celostátní soutěže Žena regionu </w:t>
      </w:r>
      <w:r w:rsidR="008F2B9E">
        <w:rPr>
          <w:rFonts w:ascii="Arial" w:hAnsi="Arial" w:cs="Arial"/>
        </w:rPr>
        <w:br/>
      </w:r>
      <w:r w:rsidR="004C0C4C">
        <w:rPr>
          <w:rFonts w:ascii="Arial" w:hAnsi="Arial" w:cs="Arial"/>
        </w:rPr>
        <w:t>za Olomoucký kraj</w:t>
      </w:r>
      <w:r w:rsidR="008F2B9E">
        <w:rPr>
          <w:rFonts w:ascii="Arial" w:hAnsi="Arial" w:cs="Arial"/>
        </w:rPr>
        <w:t>. Akce proběhne dne 31. 5. 2016 v Olomouci a budou na ní oceněny ženy, které se kromě své profese a péče o rodinu aktivně podílejí i na veřejném životě, pomáhají dětem, nemocným osobám, seniorům, podílejí se na rozvoji regionu</w:t>
      </w:r>
      <w:r w:rsidR="00B66B9B">
        <w:rPr>
          <w:rFonts w:ascii="Arial" w:hAnsi="Arial" w:cs="Arial"/>
        </w:rPr>
        <w:t xml:space="preserve"> </w:t>
      </w:r>
      <w:r w:rsidR="00B66B9B" w:rsidRPr="00C02788">
        <w:rPr>
          <w:rFonts w:ascii="Arial" w:hAnsi="Arial" w:cs="Arial"/>
        </w:rPr>
        <w:t>(dále t</w:t>
      </w:r>
      <w:r w:rsidR="00B66B9B">
        <w:rPr>
          <w:rFonts w:ascii="Arial" w:hAnsi="Arial" w:cs="Arial"/>
        </w:rPr>
        <w:t>aké „</w:t>
      </w:r>
      <w:r w:rsidR="00985C8D">
        <w:rPr>
          <w:rFonts w:ascii="Arial" w:hAnsi="Arial" w:cs="Arial"/>
        </w:rPr>
        <w:t>akce</w:t>
      </w:r>
      <w:r w:rsidR="00B66B9B">
        <w:rPr>
          <w:rFonts w:ascii="Arial" w:hAnsi="Arial" w:cs="Arial"/>
        </w:rPr>
        <w:t>“</w:t>
      </w:r>
      <w:r w:rsidR="00985C8D">
        <w:rPr>
          <w:rFonts w:ascii="Arial" w:hAnsi="Arial" w:cs="Arial"/>
        </w:rPr>
        <w:t xml:space="preserve"> či „projekt“</w:t>
      </w:r>
      <w:r w:rsidR="00B66B9B">
        <w:rPr>
          <w:rFonts w:ascii="Arial" w:hAnsi="Arial" w:cs="Arial"/>
        </w:rPr>
        <w:t xml:space="preserve">).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785A21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neinvestiční.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785A21" w:rsidRDefault="00C02788" w:rsidP="00C027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>usnesením Zastupitelstva Olomouckého kraje č. UZ/</w:t>
      </w:r>
      <w:r w:rsidR="00C62132">
        <w:rPr>
          <w:rFonts w:ascii="Arial" w:hAnsi="Arial" w:cs="Arial"/>
          <w:iCs/>
          <w:sz w:val="24"/>
          <w:szCs w:val="24"/>
        </w:rPr>
        <w:t>….</w:t>
      </w:r>
      <w:r w:rsidR="002907B6" w:rsidRPr="005020F4">
        <w:rPr>
          <w:rFonts w:ascii="Arial" w:hAnsi="Arial" w:cs="Arial"/>
          <w:iCs/>
          <w:sz w:val="24"/>
          <w:szCs w:val="24"/>
        </w:rPr>
        <w:t>/</w:t>
      </w:r>
      <w:r w:rsidR="00C62132">
        <w:rPr>
          <w:rFonts w:ascii="Arial" w:hAnsi="Arial" w:cs="Arial"/>
          <w:iCs/>
          <w:sz w:val="24"/>
          <w:szCs w:val="24"/>
        </w:rPr>
        <w:t>…..</w:t>
      </w:r>
      <w:r w:rsidR="002907B6" w:rsidRPr="005020F4">
        <w:rPr>
          <w:rFonts w:ascii="Arial" w:hAnsi="Arial" w:cs="Arial"/>
          <w:iCs/>
          <w:sz w:val="24"/>
          <w:szCs w:val="24"/>
        </w:rPr>
        <w:t>/2016 ze dne 29. 4.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6A3E5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6A3E57" w:rsidRPr="006A3E57">
        <w:rPr>
          <w:rFonts w:ascii="Arial" w:hAnsi="Arial" w:cs="Arial"/>
          <w:sz w:val="24"/>
          <w:szCs w:val="24"/>
        </w:rPr>
        <w:t>ronájem prostor, technické zajištění akce, honoráře účinkujícím, catering, mediální pokrytí akce</w:t>
      </w:r>
      <w:r w:rsidRPr="006A3E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8F2B9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785A21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 31. </w:t>
      </w:r>
      <w:r w:rsidR="00245614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. 2016.</w:t>
      </w:r>
    </w:p>
    <w:p w:rsidR="00C02788" w:rsidRPr="00785A21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785A21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8F2B9E" w:rsidRPr="00785A2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C02788" w:rsidRPr="00785A21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785A21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45614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245614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C02788" w:rsidRPr="00785A21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84158" w:rsidRDefault="00E84158" w:rsidP="00785A21">
      <w:pPr>
        <w:spacing w:after="120" w:line="240" w:lineRule="auto"/>
        <w:ind w:left="1287" w:hanging="72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785A21">
        <w:rPr>
          <w:rFonts w:ascii="Arial" w:hAnsi="Arial" w:cs="Arial"/>
          <w:sz w:val="24"/>
          <w:szCs w:val="24"/>
        </w:rPr>
        <w:t>4.1.</w:t>
      </w:r>
      <w:r w:rsidRPr="00785A21">
        <w:rPr>
          <w:rFonts w:ascii="Arial" w:hAnsi="Arial" w:cs="Arial"/>
        </w:rPr>
        <w:t xml:space="preserve">    </w:t>
      </w:r>
      <w:r w:rsidRPr="00785A21">
        <w:rPr>
          <w:rFonts w:ascii="Arial" w:hAnsi="Arial" w:cs="Arial"/>
          <w:sz w:val="24"/>
          <w:szCs w:val="24"/>
        </w:rPr>
        <w:t>soupis všech příjmů, k</w:t>
      </w:r>
      <w:r w:rsidRPr="00E84158">
        <w:rPr>
          <w:rFonts w:ascii="Arial" w:hAnsi="Arial" w:cs="Arial"/>
          <w:sz w:val="24"/>
          <w:szCs w:val="24"/>
        </w:rPr>
        <w:t xml:space="preserve">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 poskytnuté v roce 2016“. </w:t>
      </w:r>
      <w:r w:rsidRPr="00E84158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E84158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https://www.kr-olomoucky.cz/vyuctovani-prispevku-dotace-cl-3424.html</w:t>
        </w:r>
      </w:hyperlink>
      <w:r w:rsidRPr="00E84158">
        <w:rPr>
          <w:rFonts w:ascii="Arial" w:hAnsi="Arial" w:cs="Arial"/>
          <w:sz w:val="24"/>
          <w:szCs w:val="24"/>
        </w:rPr>
        <w:t>. Soupis příjmů a výdajů dle tohoto ustanovení doloží příjemce čestným prohlášením, že celkové příjmy a celkové uskutečněné výdaje uvedené v soupisu jsou pravdivé a úplné.</w:t>
      </w:r>
      <w:r w:rsidRPr="00E84158">
        <w:rPr>
          <w:rFonts w:ascii="Arial" w:hAnsi="Arial" w:cs="Arial"/>
          <w:iCs/>
          <w:sz w:val="24"/>
          <w:szCs w:val="24"/>
        </w:rPr>
        <w:t xml:space="preserve"> 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E84158">
        <w:rPr>
          <w:rFonts w:ascii="Arial" w:hAnsi="Arial" w:cs="Arial"/>
          <w:sz w:val="24"/>
          <w:szCs w:val="24"/>
        </w:rPr>
        <w:t xml:space="preserve">.  </w:t>
      </w:r>
    </w:p>
    <w:p w:rsidR="00E84158" w:rsidRPr="00E84158" w:rsidRDefault="00E84158" w:rsidP="00785A21">
      <w:pPr>
        <w:spacing w:after="120" w:line="240" w:lineRule="auto"/>
        <w:ind w:left="1287" w:hanging="720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4.2.</w:t>
      </w:r>
      <w:r w:rsidRPr="00E84158">
        <w:rPr>
          <w:rFonts w:ascii="Arial" w:hAnsi="Arial" w:cs="Arial"/>
          <w:sz w:val="24"/>
          <w:szCs w:val="24"/>
        </w:rPr>
        <w:tab/>
        <w:t>soupis výdajů hrazených z poskytnuté dotace na akci, na jejíž realizaci byla poskytnuta dotace dle této smlouvy, a to v rozsahu uvedeném v příloze č. 1 „Finanční vyúčtování dotace poskytnuté v roce 2016“</w:t>
      </w:r>
      <w:r>
        <w:rPr>
          <w:rFonts w:ascii="Arial" w:hAnsi="Arial" w:cs="Arial"/>
          <w:sz w:val="24"/>
          <w:szCs w:val="24"/>
        </w:rPr>
        <w:t>,</w:t>
      </w:r>
      <w:r w:rsidRPr="00E84158">
        <w:rPr>
          <w:rFonts w:ascii="Arial" w:hAnsi="Arial" w:cs="Arial"/>
          <w:sz w:val="24"/>
          <w:szCs w:val="24"/>
        </w:rPr>
        <w:t xml:space="preserve"> doložený:</w:t>
      </w:r>
    </w:p>
    <w:p w:rsidR="00E84158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:rsidR="00E84158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E84158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EF55C5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785A21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85A21" w:rsidRDefault="00785A21" w:rsidP="00785A21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85A21" w:rsidRPr="00C02788" w:rsidRDefault="00785A21" w:rsidP="00785A21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C02788" w:rsidRPr="00551C8D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51C8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551C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E84158" w:rsidRPr="00785A21" w:rsidRDefault="00E84158" w:rsidP="00785A21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85A21">
        <w:rPr>
          <w:rFonts w:ascii="Arial" w:hAnsi="Arial" w:cs="Arial"/>
          <w:sz w:val="24"/>
          <w:szCs w:val="24"/>
        </w:rPr>
        <w:t xml:space="preserve">Příjemce je povinen označit </w:t>
      </w:r>
      <w:r w:rsidRPr="00785A21">
        <w:rPr>
          <w:rFonts w:ascii="Arial" w:hAnsi="Arial" w:cs="Arial"/>
          <w:iCs/>
          <w:sz w:val="24"/>
          <w:szCs w:val="24"/>
        </w:rPr>
        <w:t xml:space="preserve">propagační materiály </w:t>
      </w:r>
      <w:r w:rsidR="00785A21">
        <w:rPr>
          <w:rFonts w:ascii="Arial" w:hAnsi="Arial" w:cs="Arial"/>
          <w:iCs/>
          <w:sz w:val="24"/>
          <w:szCs w:val="24"/>
        </w:rPr>
        <w:t xml:space="preserve">k akci </w:t>
      </w:r>
      <w:r w:rsidRPr="00785A21">
        <w:rPr>
          <w:rFonts w:ascii="Arial" w:hAnsi="Arial" w:cs="Arial"/>
          <w:sz w:val="24"/>
          <w:szCs w:val="24"/>
        </w:rPr>
        <w:t xml:space="preserve">logem Olomouckého kraje a umístit po  dobu </w:t>
      </w:r>
      <w:r w:rsidR="00785A21" w:rsidRPr="00785A21">
        <w:rPr>
          <w:rFonts w:ascii="Arial" w:hAnsi="Arial" w:cs="Arial"/>
          <w:sz w:val="24"/>
          <w:szCs w:val="24"/>
        </w:rPr>
        <w:t xml:space="preserve">a v místě konání akce </w:t>
      </w:r>
      <w:r w:rsidRPr="00785A21">
        <w:rPr>
          <w:rFonts w:ascii="Arial" w:hAnsi="Arial" w:cs="Arial"/>
          <w:iCs/>
          <w:sz w:val="24"/>
          <w:szCs w:val="24"/>
        </w:rPr>
        <w:t xml:space="preserve">reklamní </w:t>
      </w:r>
      <w:r w:rsidR="00785A21" w:rsidRPr="00785A21">
        <w:rPr>
          <w:rFonts w:ascii="Arial" w:hAnsi="Arial" w:cs="Arial"/>
          <w:iCs/>
          <w:sz w:val="24"/>
          <w:szCs w:val="24"/>
        </w:rPr>
        <w:t>panel s logem Olomouckého kraje</w:t>
      </w:r>
      <w:r w:rsidRPr="00785A21">
        <w:rPr>
          <w:rFonts w:ascii="Arial" w:hAnsi="Arial" w:cs="Arial"/>
          <w:iCs/>
          <w:sz w:val="24"/>
          <w:szCs w:val="24"/>
        </w:rPr>
        <w:t xml:space="preserve">. </w:t>
      </w:r>
    </w:p>
    <w:p w:rsidR="00785A21" w:rsidRPr="00785A21" w:rsidRDefault="00E84158" w:rsidP="00785A21">
      <w:pPr>
        <w:spacing w:after="120" w:line="24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785A21">
        <w:rPr>
          <w:rFonts w:ascii="Arial" w:hAnsi="Arial" w:cs="Arial"/>
          <w:sz w:val="24"/>
          <w:szCs w:val="24"/>
        </w:rPr>
        <w:t xml:space="preserve">Současně je příjemce povinen na </w:t>
      </w:r>
      <w:r w:rsidR="00785A21" w:rsidRPr="00785A21">
        <w:rPr>
          <w:rFonts w:ascii="Arial" w:hAnsi="Arial" w:cs="Arial"/>
          <w:sz w:val="24"/>
          <w:szCs w:val="24"/>
        </w:rPr>
        <w:t>těchto propagačních materiálech</w:t>
      </w:r>
      <w:r w:rsidRPr="00785A21">
        <w:rPr>
          <w:rFonts w:ascii="Arial" w:hAnsi="Arial" w:cs="Arial"/>
          <w:sz w:val="24"/>
          <w:szCs w:val="24"/>
        </w:rPr>
        <w:t xml:space="preserve"> uvést, že se akce koná za finanční spoluúčasti</w:t>
      </w:r>
      <w:r w:rsidR="00785A21">
        <w:rPr>
          <w:rFonts w:ascii="Arial" w:hAnsi="Arial" w:cs="Arial"/>
          <w:sz w:val="24"/>
          <w:szCs w:val="24"/>
        </w:rPr>
        <w:t xml:space="preserve"> </w:t>
      </w:r>
      <w:r w:rsidR="00785A21" w:rsidRPr="00785A21">
        <w:rPr>
          <w:rFonts w:ascii="Arial" w:hAnsi="Arial" w:cs="Arial"/>
          <w:sz w:val="24"/>
          <w:szCs w:val="24"/>
        </w:rPr>
        <w:t>poskytovatele</w:t>
      </w:r>
      <w:r w:rsidR="00785A21" w:rsidRPr="00785A21">
        <w:rPr>
          <w:rFonts w:ascii="Arial" w:hAnsi="Arial" w:cs="Arial"/>
          <w:iCs/>
          <w:sz w:val="24"/>
          <w:szCs w:val="24"/>
        </w:rPr>
        <w:t>.</w:t>
      </w:r>
      <w:r w:rsidRPr="00785A21">
        <w:rPr>
          <w:rFonts w:ascii="Arial" w:hAnsi="Arial" w:cs="Arial"/>
          <w:iCs/>
          <w:sz w:val="24"/>
          <w:szCs w:val="24"/>
        </w:rPr>
        <w:t xml:space="preserve"> Totéž je příjemce povinen uvádět po dobu </w:t>
      </w:r>
      <w:r w:rsidR="00785A21">
        <w:rPr>
          <w:rFonts w:ascii="Arial" w:hAnsi="Arial" w:cs="Arial"/>
          <w:iCs/>
          <w:sz w:val="24"/>
          <w:szCs w:val="24"/>
        </w:rPr>
        <w:t xml:space="preserve">konání akce </w:t>
      </w:r>
      <w:r w:rsidRPr="00785A21">
        <w:rPr>
          <w:rFonts w:ascii="Arial" w:hAnsi="Arial" w:cs="Arial"/>
          <w:sz w:val="24"/>
          <w:szCs w:val="24"/>
        </w:rPr>
        <w:t xml:space="preserve">při kontaktu s médii, na svých případných webových stránkách a při propagaci svých aktivit.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nezbytné zveřejnit postupem dle § 10d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zákona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č. 250/2000 Sb., o rozpočtových pravidlech územních rozpočtů, ve znění pozdějších právních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E72DDE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E72DDE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29. 4. 2016.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C02788" w:rsidRPr="00C02788" w:rsidRDefault="00C02788" w:rsidP="00785A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785A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FF6F55" w:rsidRPr="00C02788" w:rsidRDefault="00FF6F55" w:rsidP="00785A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785A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F306D5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EF55C5" w:rsidP="00F306D5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Mgr. Yvona Kubjátová</w:t>
            </w:r>
          </w:p>
          <w:p w:rsidR="00C02788" w:rsidRPr="00C02788" w:rsidRDefault="00EF55C5" w:rsidP="00F306D5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náměstkyně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F306D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85C8D" w:rsidRDefault="00EF55C5" w:rsidP="00F306D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 w:rsidR="00985C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Denisa Kalivodová</w:t>
            </w:r>
          </w:p>
          <w:p w:rsidR="00785A21" w:rsidRPr="00C02788" w:rsidRDefault="00985C8D" w:rsidP="00F306D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jednatelka</w:t>
            </w:r>
          </w:p>
        </w:tc>
      </w:tr>
    </w:tbl>
    <w:p w:rsidR="001E57A7" w:rsidRDefault="001E57A7" w:rsidP="00245614">
      <w:pPr>
        <w:spacing w:after="0" w:line="240" w:lineRule="auto"/>
        <w:outlineLvl w:val="0"/>
      </w:pPr>
    </w:p>
    <w:sectPr w:rsidR="001E57A7" w:rsidSect="001D6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418" w:bottom="147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57" w:rsidRDefault="004347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BF0C5D" w:rsidRDefault="005A7E9C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0E8E" w:rsidRPr="00BF0C5D">
      <w:rPr>
        <w:rFonts w:ascii="Arial" w:hAnsi="Arial" w:cs="Arial"/>
        <w:i/>
        <w:sz w:val="20"/>
        <w:szCs w:val="20"/>
      </w:rPr>
      <w:t xml:space="preserve"> Olomouckého kraje </w:t>
    </w:r>
    <w:r w:rsidR="00E72DDE" w:rsidRPr="00BF0C5D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1B40A4" w:rsidRPr="00BF0C5D">
      <w:rPr>
        <w:rFonts w:ascii="Arial" w:hAnsi="Arial" w:cs="Arial"/>
        <w:i/>
        <w:sz w:val="20"/>
        <w:szCs w:val="20"/>
      </w:rPr>
      <w:t xml:space="preserve">. 4. </w:t>
    </w:r>
    <w:r w:rsidR="007A0E8E" w:rsidRPr="00BF0C5D">
      <w:rPr>
        <w:rFonts w:ascii="Arial" w:hAnsi="Arial" w:cs="Arial"/>
        <w:i/>
        <w:sz w:val="20"/>
        <w:szCs w:val="20"/>
      </w:rPr>
      <w:t>2016</w:t>
    </w:r>
    <w:r w:rsidR="007A0E8E" w:rsidRPr="00BF0C5D">
      <w:rPr>
        <w:rFonts w:ascii="Arial" w:hAnsi="Arial" w:cs="Arial"/>
        <w:i/>
        <w:sz w:val="20"/>
        <w:szCs w:val="20"/>
      </w:rPr>
      <w:tab/>
    </w:r>
    <w:r w:rsidR="007A0E8E" w:rsidRPr="00BF0C5D">
      <w:rPr>
        <w:rFonts w:ascii="Arial" w:hAnsi="Arial" w:cs="Arial"/>
        <w:i/>
        <w:sz w:val="20"/>
        <w:szCs w:val="20"/>
      </w:rPr>
      <w:tab/>
      <w:t xml:space="preserve"> Strana </w:t>
    </w:r>
    <w:r w:rsidR="007A0E8E" w:rsidRPr="00BF0C5D">
      <w:rPr>
        <w:rFonts w:ascii="Arial" w:hAnsi="Arial" w:cs="Arial"/>
        <w:i/>
        <w:sz w:val="20"/>
        <w:szCs w:val="20"/>
      </w:rPr>
      <w:fldChar w:fldCharType="begin"/>
    </w:r>
    <w:r w:rsidR="007A0E8E" w:rsidRPr="00BF0C5D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0E8E" w:rsidRPr="00BF0C5D">
      <w:rPr>
        <w:rFonts w:ascii="Arial" w:hAnsi="Arial" w:cs="Arial"/>
        <w:i/>
        <w:sz w:val="20"/>
        <w:szCs w:val="20"/>
      </w:rPr>
      <w:fldChar w:fldCharType="separate"/>
    </w:r>
    <w:r w:rsidR="00A66310">
      <w:rPr>
        <w:rFonts w:ascii="Arial" w:hAnsi="Arial" w:cs="Arial"/>
        <w:i/>
        <w:noProof/>
        <w:sz w:val="20"/>
        <w:szCs w:val="20"/>
      </w:rPr>
      <w:t>3</w:t>
    </w:r>
    <w:r w:rsidR="007A0E8E" w:rsidRPr="00BF0C5D">
      <w:rPr>
        <w:rFonts w:ascii="Arial" w:hAnsi="Arial" w:cs="Arial"/>
        <w:i/>
        <w:sz w:val="20"/>
        <w:szCs w:val="20"/>
      </w:rPr>
      <w:fldChar w:fldCharType="end"/>
    </w:r>
    <w:r w:rsidR="007A0E8E" w:rsidRPr="00BF0C5D">
      <w:rPr>
        <w:rFonts w:ascii="Arial" w:hAnsi="Arial" w:cs="Arial"/>
        <w:i/>
        <w:sz w:val="20"/>
        <w:szCs w:val="20"/>
      </w:rPr>
      <w:t xml:space="preserve"> (celkem </w:t>
    </w:r>
    <w:r w:rsidR="001D6EFF" w:rsidRPr="00BF0C5D">
      <w:rPr>
        <w:rFonts w:ascii="Arial" w:hAnsi="Arial" w:cs="Arial"/>
        <w:i/>
        <w:sz w:val="20"/>
        <w:szCs w:val="20"/>
      </w:rPr>
      <w:t>8</w:t>
    </w:r>
    <w:r w:rsidR="007A0E8E" w:rsidRPr="00BF0C5D">
      <w:rPr>
        <w:rFonts w:ascii="Arial" w:hAnsi="Arial" w:cs="Arial"/>
        <w:i/>
        <w:sz w:val="20"/>
        <w:szCs w:val="20"/>
      </w:rPr>
      <w:t>)</w:t>
    </w:r>
  </w:p>
  <w:p w:rsidR="00F60230" w:rsidRPr="00BF0C5D" w:rsidRDefault="005A7E9C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26</w:t>
    </w:r>
    <w:r w:rsidR="007A0E8E" w:rsidRPr="00BF0C5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</w:t>
    </w:r>
    <w:r w:rsidR="007A0E8E" w:rsidRPr="00BF0C5D">
      <w:rPr>
        <w:rFonts w:ascii="Arial" w:hAnsi="Arial" w:cs="Arial"/>
        <w:i/>
        <w:sz w:val="20"/>
        <w:szCs w:val="20"/>
      </w:rPr>
      <w:t>. – Žádost</w:t>
    </w:r>
    <w:r w:rsidR="00A66310">
      <w:rPr>
        <w:rFonts w:ascii="Arial" w:hAnsi="Arial" w:cs="Arial"/>
        <w:i/>
        <w:sz w:val="20"/>
        <w:szCs w:val="20"/>
      </w:rPr>
      <w:t>i</w:t>
    </w:r>
    <w:bookmarkStart w:id="0" w:name="_GoBack"/>
    <w:bookmarkEnd w:id="0"/>
    <w:r w:rsidR="007A0E8E" w:rsidRPr="00BF0C5D">
      <w:rPr>
        <w:rFonts w:ascii="Arial" w:hAnsi="Arial" w:cs="Arial"/>
        <w:i/>
        <w:sz w:val="20"/>
        <w:szCs w:val="20"/>
      </w:rPr>
      <w:t xml:space="preserve"> o poskytnutí individuální</w:t>
    </w:r>
    <w:r w:rsidR="005020F4" w:rsidRPr="00BF0C5D">
      <w:rPr>
        <w:rFonts w:ascii="Arial" w:hAnsi="Arial" w:cs="Arial"/>
        <w:i/>
        <w:sz w:val="20"/>
        <w:szCs w:val="20"/>
      </w:rPr>
      <w:t xml:space="preserve"> </w:t>
    </w:r>
    <w:r w:rsidR="002068C4" w:rsidRPr="00BF0C5D">
      <w:rPr>
        <w:rFonts w:ascii="Arial" w:hAnsi="Arial" w:cs="Arial"/>
        <w:i/>
        <w:sz w:val="20"/>
        <w:szCs w:val="20"/>
      </w:rPr>
      <w:t>dotace</w:t>
    </w:r>
    <w:r w:rsidR="007A0E8E" w:rsidRPr="00BF0C5D">
      <w:rPr>
        <w:rFonts w:ascii="Arial" w:hAnsi="Arial" w:cs="Arial"/>
        <w:i/>
        <w:sz w:val="20"/>
        <w:szCs w:val="20"/>
      </w:rPr>
      <w:t xml:space="preserve"> v</w:t>
    </w:r>
    <w:r w:rsidR="002068C4" w:rsidRPr="00BF0C5D">
      <w:rPr>
        <w:rFonts w:ascii="Arial" w:hAnsi="Arial" w:cs="Arial"/>
        <w:i/>
        <w:sz w:val="20"/>
        <w:szCs w:val="20"/>
      </w:rPr>
      <w:t> </w:t>
    </w:r>
    <w:r w:rsidR="007A0E8E" w:rsidRPr="00BF0C5D">
      <w:rPr>
        <w:rFonts w:ascii="Arial" w:hAnsi="Arial" w:cs="Arial"/>
        <w:i/>
        <w:sz w:val="20"/>
        <w:szCs w:val="20"/>
      </w:rPr>
      <w:t>oblasti</w:t>
    </w:r>
    <w:r w:rsidR="002068C4" w:rsidRPr="00BF0C5D">
      <w:rPr>
        <w:rFonts w:ascii="Arial" w:hAnsi="Arial" w:cs="Arial"/>
        <w:i/>
        <w:sz w:val="20"/>
        <w:szCs w:val="20"/>
      </w:rPr>
      <w:t xml:space="preserve"> sociální</w:t>
    </w:r>
    <w:r w:rsidR="00434757">
      <w:rPr>
        <w:rFonts w:ascii="Arial" w:hAnsi="Arial" w:cs="Arial"/>
        <w:i/>
        <w:sz w:val="20"/>
        <w:szCs w:val="20"/>
      </w:rPr>
      <w:t xml:space="preserve"> - DODATEK</w:t>
    </w:r>
  </w:p>
  <w:p w:rsidR="00F60230" w:rsidRPr="00BF0C5D" w:rsidRDefault="007A0E8E" w:rsidP="00BF0C5D">
    <w:pPr>
      <w:tabs>
        <w:tab w:val="center" w:pos="4536"/>
        <w:tab w:val="right" w:pos="9072"/>
      </w:tabs>
      <w:ind w:left="1843" w:hanging="1843"/>
      <w:jc w:val="both"/>
      <w:rPr>
        <w:i/>
        <w:sz w:val="20"/>
        <w:szCs w:val="20"/>
      </w:rPr>
    </w:pPr>
    <w:r w:rsidRPr="00BF0C5D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2068C4" w:rsidRPr="00BF0C5D">
      <w:rPr>
        <w:rStyle w:val="slostrnky"/>
        <w:rFonts w:ascii="Arial" w:hAnsi="Arial" w:cs="Arial"/>
        <w:i/>
        <w:sz w:val="20"/>
        <w:szCs w:val="20"/>
      </w:rPr>
      <w:t>1</w:t>
    </w:r>
    <w:r w:rsidRPr="00BF0C5D">
      <w:rPr>
        <w:rStyle w:val="slostrnky"/>
        <w:rFonts w:ascii="Arial" w:hAnsi="Arial" w:cs="Arial"/>
        <w:i/>
        <w:sz w:val="20"/>
        <w:szCs w:val="20"/>
      </w:rPr>
      <w:t xml:space="preserve"> - Smlouva o poskytnutí dotace </w:t>
    </w:r>
    <w:r w:rsidR="002068C4" w:rsidRPr="00BF0C5D">
      <w:rPr>
        <w:rFonts w:ascii="Arial" w:hAnsi="Arial"/>
        <w:i/>
        <w:sz w:val="20"/>
        <w:szCs w:val="20"/>
      </w:rPr>
      <w:t xml:space="preserve">mezi Olomouckým krajem a </w:t>
    </w:r>
    <w:r w:rsidR="00BF0C5D" w:rsidRPr="00BF0C5D">
      <w:rPr>
        <w:rFonts w:ascii="Arial" w:hAnsi="Arial"/>
        <w:i/>
        <w:sz w:val="20"/>
        <w:szCs w:val="20"/>
      </w:rPr>
      <w:t>Prime Communications,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57" w:rsidRDefault="004347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57" w:rsidRDefault="004347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2068C4" w:rsidRDefault="007A0E8E" w:rsidP="00BF0C5D">
    <w:pPr>
      <w:tabs>
        <w:tab w:val="center" w:pos="4536"/>
        <w:tab w:val="right" w:pos="9072"/>
      </w:tabs>
      <w:ind w:left="1843" w:hanging="1843"/>
      <w:jc w:val="both"/>
      <w:rPr>
        <w:rFonts w:ascii="Arial" w:hAnsi="Arial" w:cs="Arial"/>
      </w:rPr>
    </w:pPr>
    <w:r w:rsidRPr="002068C4">
      <w:rPr>
        <w:rFonts w:ascii="Arial" w:hAnsi="Arial"/>
      </w:rPr>
      <w:t xml:space="preserve">Příloha č. </w:t>
    </w:r>
    <w:r w:rsidR="002068C4">
      <w:rPr>
        <w:rFonts w:ascii="Arial" w:hAnsi="Arial"/>
      </w:rPr>
      <w:t>1</w:t>
    </w:r>
    <w:r w:rsidRPr="002068C4">
      <w:rPr>
        <w:rFonts w:ascii="Arial" w:hAnsi="Arial"/>
      </w:rPr>
      <w:t xml:space="preserve"> - Smlouva o poskytnutí dotace mezi Olomouckým krajem a</w:t>
    </w:r>
    <w:r w:rsidR="002068C4">
      <w:rPr>
        <w:rFonts w:ascii="Arial" w:hAnsi="Arial"/>
      </w:rPr>
      <w:t xml:space="preserve"> </w:t>
    </w:r>
    <w:r w:rsidR="00BF0C5D">
      <w:rPr>
        <w:rFonts w:ascii="Arial" w:hAnsi="Arial"/>
      </w:rPr>
      <w:t xml:space="preserve">Prime Communications, s.r.o.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57" w:rsidRDefault="004347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71647"/>
    <w:rsid w:val="000C148A"/>
    <w:rsid w:val="00162F18"/>
    <w:rsid w:val="00170437"/>
    <w:rsid w:val="001A13A2"/>
    <w:rsid w:val="001A5AFE"/>
    <w:rsid w:val="001B40A4"/>
    <w:rsid w:val="001D6EFF"/>
    <w:rsid w:val="001E57A7"/>
    <w:rsid w:val="001F1660"/>
    <w:rsid w:val="002068C4"/>
    <w:rsid w:val="00245614"/>
    <w:rsid w:val="002907B6"/>
    <w:rsid w:val="002E3771"/>
    <w:rsid w:val="00343E83"/>
    <w:rsid w:val="00376FEF"/>
    <w:rsid w:val="004007E2"/>
    <w:rsid w:val="00434757"/>
    <w:rsid w:val="004C0C4C"/>
    <w:rsid w:val="005020F4"/>
    <w:rsid w:val="00551C8D"/>
    <w:rsid w:val="00572E41"/>
    <w:rsid w:val="005A7E9C"/>
    <w:rsid w:val="005B23EE"/>
    <w:rsid w:val="005B707E"/>
    <w:rsid w:val="005C5481"/>
    <w:rsid w:val="00645671"/>
    <w:rsid w:val="006A3E57"/>
    <w:rsid w:val="00785A21"/>
    <w:rsid w:val="007A0E8E"/>
    <w:rsid w:val="007D2B15"/>
    <w:rsid w:val="007D4F02"/>
    <w:rsid w:val="008501CC"/>
    <w:rsid w:val="00865959"/>
    <w:rsid w:val="008F2B9E"/>
    <w:rsid w:val="00985C8D"/>
    <w:rsid w:val="00993E02"/>
    <w:rsid w:val="009E5FA8"/>
    <w:rsid w:val="00A54E08"/>
    <w:rsid w:val="00A66310"/>
    <w:rsid w:val="00A673A0"/>
    <w:rsid w:val="00A93FE6"/>
    <w:rsid w:val="00AC0FC0"/>
    <w:rsid w:val="00AF7E2C"/>
    <w:rsid w:val="00B66B9B"/>
    <w:rsid w:val="00BF0C5D"/>
    <w:rsid w:val="00BF31E8"/>
    <w:rsid w:val="00C02788"/>
    <w:rsid w:val="00C4426A"/>
    <w:rsid w:val="00C62132"/>
    <w:rsid w:val="00C7202C"/>
    <w:rsid w:val="00C877B3"/>
    <w:rsid w:val="00CF7FA9"/>
    <w:rsid w:val="00D06226"/>
    <w:rsid w:val="00D55E91"/>
    <w:rsid w:val="00DA0E80"/>
    <w:rsid w:val="00E72DDE"/>
    <w:rsid w:val="00E84158"/>
    <w:rsid w:val="00EB5318"/>
    <w:rsid w:val="00EC5E92"/>
    <w:rsid w:val="00ED441B"/>
    <w:rsid w:val="00EF55C5"/>
    <w:rsid w:val="00F306D5"/>
    <w:rsid w:val="00FC187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character" w:styleId="Odkaznakoment">
    <w:name w:val="annotation reference"/>
    <w:semiHidden/>
    <w:rsid w:val="00E84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841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character" w:styleId="Odkaznakoment">
    <w:name w:val="annotation reference"/>
    <w:semiHidden/>
    <w:rsid w:val="00E84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841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2175</Words>
  <Characters>12835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Bernátová Martina</cp:lastModifiedBy>
  <cp:revision>9</cp:revision>
  <cp:lastPrinted>2016-02-25T10:01:00Z</cp:lastPrinted>
  <dcterms:created xsi:type="dcterms:W3CDTF">2016-04-15T06:07:00Z</dcterms:created>
  <dcterms:modified xsi:type="dcterms:W3CDTF">2016-04-22T06:25:00Z</dcterms:modified>
</cp:coreProperties>
</file>