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A8395" w14:textId="77777777" w:rsidR="000554A3" w:rsidRPr="00B70986" w:rsidRDefault="000554A3" w:rsidP="00161BFF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1F8DEEE3" w14:textId="689CE5BD" w:rsidR="00600971" w:rsidRPr="001E72BC" w:rsidRDefault="00600971" w:rsidP="000554A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Pro </w:t>
      </w:r>
      <w:r w:rsidR="00BD2920"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>dotační titul podpora prorodinných aktivit</w:t>
      </w:r>
    </w:p>
    <w:p w14:paraId="5A06C843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13DAA13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70986">
        <w:rPr>
          <w:rFonts w:ascii="Arial" w:eastAsia="Times New Roman" w:hAnsi="Arial" w:cs="Arial"/>
          <w:i/>
          <w:lang w:eastAsia="cs-CZ"/>
        </w:rPr>
        <w:t xml:space="preserve"> </w:t>
      </w:r>
    </w:p>
    <w:p w14:paraId="6BB69D5D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7BFE967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869EE8E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2F1AB22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5C3F0068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7FF7370" w14:textId="7DE059A1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E114A3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E114A3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E114A3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1DFC91D7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7D73AC36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70986">
        <w:rPr>
          <w:rFonts w:ascii="Arial" w:hAnsi="Arial" w:cs="Arial"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sz w:val="24"/>
          <w:szCs w:val="24"/>
        </w:rPr>
        <w:t>.:</w:t>
      </w:r>
      <w:proofErr w:type="gramEnd"/>
      <w:r w:rsidRPr="00B70986">
        <w:rPr>
          <w:rFonts w:ascii="Arial" w:hAnsi="Arial" w:cs="Arial"/>
          <w:sz w:val="24"/>
          <w:szCs w:val="24"/>
        </w:rPr>
        <w:t xml:space="preserve"> 27 – 4228330207/0100</w:t>
      </w:r>
    </w:p>
    <w:p w14:paraId="59A27BEB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978BA37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8CB3A3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BD43E05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085C1C70" w14:textId="3D58BE8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50BBA743" w14:textId="1091910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3B750FBC" w14:textId="14E96B80" w:rsidR="00917DFA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4A0CA67B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625BA129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704291FC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44E7668F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7C565915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7A4725E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B7098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bCs/>
          <w:sz w:val="24"/>
          <w:szCs w:val="24"/>
        </w:rPr>
        <w:t>.:</w:t>
      </w:r>
      <w:proofErr w:type="gramEnd"/>
      <w:r w:rsidRPr="00B70986">
        <w:rPr>
          <w:rFonts w:ascii="Arial" w:hAnsi="Arial" w:cs="Arial"/>
          <w:bCs/>
          <w:sz w:val="24"/>
          <w:szCs w:val="24"/>
        </w:rPr>
        <w:t xml:space="preserve"> </w:t>
      </w:r>
    </w:p>
    <w:p w14:paraId="1AC43DD1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844135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C676A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71C1D96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4BD1E74" w14:textId="77777777" w:rsidR="000554A3" w:rsidRPr="00B70986" w:rsidRDefault="000554A3" w:rsidP="000554A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646153E" w14:textId="70655FB8" w:rsidR="000554A3" w:rsidRPr="00B70986" w:rsidRDefault="000554A3" w:rsidP="000554A3">
      <w:pPr>
        <w:pStyle w:val="Odstavecseseznamem"/>
        <w:autoSpaceDE w:val="0"/>
        <w:autoSpaceDN w:val="0"/>
        <w:adjustRightInd w:val="0"/>
        <w:spacing w:before="120" w:after="120"/>
        <w:ind w:left="567" w:hanging="425"/>
        <w:contextualSpacing w:val="0"/>
        <w:rPr>
          <w:rFonts w:ascii="Arial" w:hAnsi="Arial" w:cs="Arial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1.  Poskytovatel se na základě této smlouvy zavazuje poskytnout příjemci dotaci ve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„dotace“), za účelem </w:t>
      </w:r>
      <w:r w:rsidRPr="007F7C7E">
        <w:rPr>
          <w:rFonts w:ascii="Arial" w:hAnsi="Arial" w:cs="Arial"/>
          <w:sz w:val="24"/>
          <w:szCs w:val="24"/>
        </w:rPr>
        <w:t>podpory akce/projektu z oblasti prorodinné politiky</w:t>
      </w:r>
      <w:r w:rsidRPr="00B70986">
        <w:rPr>
          <w:rFonts w:ascii="Arial" w:hAnsi="Arial" w:cs="Arial"/>
        </w:rPr>
        <w:t xml:space="preserve">, </w:t>
      </w:r>
      <w:r w:rsidRPr="00E5002E">
        <w:rPr>
          <w:rFonts w:ascii="Arial" w:hAnsi="Arial" w:cs="Arial"/>
          <w:sz w:val="24"/>
          <w:szCs w:val="24"/>
        </w:rPr>
        <w:t>dle</w:t>
      </w:r>
      <w:r w:rsidRPr="00B70986">
        <w:rPr>
          <w:rFonts w:ascii="Arial" w:hAnsi="Arial" w:cs="Arial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a dotačního titulu </w:t>
      </w:r>
      <w:r w:rsidRPr="00E5002E">
        <w:rPr>
          <w:rFonts w:ascii="Arial" w:hAnsi="Arial" w:cs="Arial"/>
          <w:sz w:val="24"/>
          <w:szCs w:val="24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A9C1D7" w14:textId="61EA70C9" w:rsidR="000554A3" w:rsidRPr="00B3479B" w:rsidRDefault="000554A3" w:rsidP="000554A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akci/projekt ......... (dále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6152592D" w14:textId="77777777" w:rsidR="00B3479B" w:rsidRPr="00B70986" w:rsidRDefault="00B3479B" w:rsidP="00B3479B">
      <w:pPr>
        <w:pStyle w:val="Odstavecseseznamem"/>
        <w:spacing w:before="120" w:after="120"/>
        <w:ind w:left="491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607E3889" w14:textId="0737E60F" w:rsidR="000554A3" w:rsidRPr="00B70986" w:rsidRDefault="000554A3" w:rsidP="000554A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54BBB08" w14:textId="737C455A" w:rsidR="000554A3" w:rsidRPr="00B70986" w:rsidRDefault="000554A3" w:rsidP="000554A3">
      <w:pPr>
        <w:numPr>
          <w:ilvl w:val="0"/>
          <w:numId w:val="37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CEF5047" w14:textId="77777777" w:rsidR="000554A3" w:rsidRPr="00B70986" w:rsidRDefault="000554A3" w:rsidP="00321B59">
      <w:pPr>
        <w:spacing w:after="120"/>
        <w:ind w:left="532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3E7AF81" w14:textId="77777777" w:rsidR="000554A3" w:rsidRPr="00B70986" w:rsidRDefault="000554A3" w:rsidP="00321B59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6A449724" w14:textId="77777777" w:rsidR="000554A3" w:rsidRPr="00B70986" w:rsidRDefault="000554A3" w:rsidP="00321B59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4673185" w14:textId="77777777" w:rsidR="000554A3" w:rsidRPr="00B70986" w:rsidRDefault="000554A3" w:rsidP="0077539B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5E3954E" w14:textId="06816F8C" w:rsidR="000554A3" w:rsidRPr="00B70986" w:rsidRDefault="00536CD6" w:rsidP="0077539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6E3B0F1" w14:textId="77777777" w:rsidR="000554A3" w:rsidRPr="00B70986" w:rsidRDefault="000554A3" w:rsidP="0077539B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8080510" w14:textId="77777777" w:rsidR="000554A3" w:rsidRPr="00B70986" w:rsidRDefault="000554A3" w:rsidP="000554A3">
      <w:pPr>
        <w:numPr>
          <w:ilvl w:val="0"/>
          <w:numId w:val="3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 xml:space="preserve">usnesením Zastupitelstva Olomouckého kraje č. UZ///2016 ze </w:t>
      </w:r>
      <w:proofErr w:type="gramStart"/>
      <w:r w:rsidRPr="00B70986">
        <w:rPr>
          <w:rFonts w:ascii="Arial" w:hAnsi="Arial" w:cs="Arial"/>
          <w:sz w:val="24"/>
          <w:szCs w:val="24"/>
        </w:rPr>
        <w:t>dne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musí být použita hospodárně. Příjemce je oprávněn dotaci použít pouze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proofErr w:type="gramEnd"/>
    </w:p>
    <w:p w14:paraId="76B705C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6665DB17" w14:textId="77777777" w:rsidR="000554A3" w:rsidRPr="00F13E22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6C92F0EC" w14:textId="77777777" w:rsidR="000554A3" w:rsidRPr="00F13E22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C317954" w14:textId="77777777" w:rsidR="000554A3" w:rsidRPr="00F13E22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EF36E60" w14:textId="03C982FE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BDE59A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6C2324FA" w14:textId="77777777" w:rsidR="000554A3" w:rsidRPr="00B70986" w:rsidRDefault="000554A3" w:rsidP="000554A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1B4E7093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2B4184A8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0B8ADEED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6996DEEB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5BF2DFBF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0F7E7E54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02C10B20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2D47D5A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CD9BE69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786AB562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30BD5887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</w:t>
      </w:r>
      <w:proofErr w:type="gramStart"/>
      <w:r w:rsidRPr="00B70986">
        <w:rPr>
          <w:rFonts w:ascii="Arial" w:hAnsi="Arial" w:cs="Arial"/>
          <w:bCs/>
          <w:sz w:val="24"/>
        </w:rPr>
        <w:t>zákona</w:t>
      </w:r>
      <w:proofErr w:type="gramEnd"/>
      <w:r w:rsidRPr="00B70986">
        <w:rPr>
          <w:rFonts w:ascii="Arial" w:hAnsi="Arial" w:cs="Arial"/>
          <w:bCs/>
          <w:sz w:val="24"/>
        </w:rPr>
        <w:t xml:space="preserve">. </w:t>
      </w:r>
    </w:p>
    <w:p w14:paraId="6AFA0A7B" w14:textId="77777777" w:rsidR="000554A3" w:rsidRDefault="000554A3" w:rsidP="00D5160E">
      <w:pPr>
        <w:ind w:left="0" w:firstLine="0"/>
        <w:rPr>
          <w:rFonts w:ascii="Arial" w:hAnsi="Arial" w:cs="Arial"/>
          <w:bCs/>
        </w:rPr>
      </w:pPr>
    </w:p>
    <w:p w14:paraId="15710FE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D7C47F8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3E1C545" w14:textId="77777777" w:rsidR="000554A3" w:rsidRPr="00B70986" w:rsidRDefault="000554A3" w:rsidP="000554A3">
      <w:pPr>
        <w:numPr>
          <w:ilvl w:val="0"/>
          <w:numId w:val="38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25BC1DA2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05B899AA" w14:textId="7C855FA0" w:rsidR="000554A3" w:rsidRPr="00F13E22" w:rsidRDefault="000554A3" w:rsidP="000554A3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….. korun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českých). Příjemce je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povinen na tento účel vynaložit </w:t>
      </w:r>
      <w:proofErr w:type="gramStart"/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vždy </w:t>
      </w:r>
      <w:r w:rsidR="00917DFA" w:rsidRPr="00F13E22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>% z vlastních</w:t>
      </w:r>
      <w:proofErr w:type="gramEnd"/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a jiných zdrojů. V případě, že </w:t>
      </w:r>
      <w:r w:rsidR="00ED6AF0" w:rsidRPr="00F13E22">
        <w:rPr>
          <w:rFonts w:ascii="Arial" w:eastAsia="Times New Roman" w:hAnsi="Arial" w:cs="Arial"/>
          <w:sz w:val="24"/>
          <w:szCs w:val="24"/>
          <w:lang w:eastAsia="cs-CZ"/>
        </w:rPr>
        <w:t>celkové skutečné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AF0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náklady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vynaložené na účel uvedený v čl. I. odst. 2 a 4 této smlouvy budou nižší než celkové předpokládané náklady, </w:t>
      </w:r>
      <w:r w:rsidR="00F56460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vzniklý </w:t>
      </w:r>
      <w:r w:rsidR="00F56460" w:rsidRPr="00F13E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rozdíl v rámci vyúčtování dotace vrátit poskytovateli v souladu s </w:t>
      </w:r>
      <w:proofErr w:type="spellStart"/>
      <w:r w:rsidR="00F56460" w:rsidRPr="00F13E2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F56460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. čl. II odst. 2 tak, aby výše dotace </w:t>
      </w:r>
      <w:proofErr w:type="gramStart"/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odpovídala </w:t>
      </w:r>
      <w:r w:rsidR="00917DFA" w:rsidRPr="00F13E22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% </w:t>
      </w:r>
      <w:r w:rsidR="00544FCB" w:rsidRPr="00F13E22">
        <w:rPr>
          <w:rFonts w:ascii="Arial" w:eastAsia="Times New Roman" w:hAnsi="Arial" w:cs="Arial"/>
          <w:sz w:val="24"/>
          <w:szCs w:val="24"/>
          <w:lang w:eastAsia="cs-CZ"/>
        </w:rPr>
        <w:t>z celkových</w:t>
      </w:r>
      <w:proofErr w:type="gramEnd"/>
      <w:r w:rsidR="00544FCB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>skutečn</w:t>
      </w:r>
      <w:r w:rsidR="00544FCB" w:rsidRPr="00F13E22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nákladů </w:t>
      </w:r>
      <w:r w:rsidR="00544FCB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vynaložených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>na účel dle čl. I. odst. 2 a 4 této smlouvy</w:t>
      </w:r>
      <w:r w:rsidR="00F13E22" w:rsidRPr="00F13E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8260F" w:rsidRPr="00F13E22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</w:t>
      </w:r>
      <w:r w:rsidR="00A8628E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na účel, na nějž se poskytuje dotace dle této smlouvy.</w:t>
      </w:r>
    </w:p>
    <w:p w14:paraId="15EBC4EF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0EEC4D1" w14:textId="3154AF83" w:rsidR="000554A3" w:rsidRPr="00F13E22" w:rsidRDefault="007A6F94" w:rsidP="00F13E22">
      <w:pPr>
        <w:pStyle w:val="Odstavecseseznamem"/>
        <w:numPr>
          <w:ilvl w:val="0"/>
          <w:numId w:val="38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E22">
        <w:rPr>
          <w:rFonts w:ascii="Arial" w:hAnsi="Arial" w:cs="Arial"/>
          <w:sz w:val="24"/>
          <w:szCs w:val="24"/>
        </w:rPr>
        <w:t xml:space="preserve">Příjemce je povinen nejpozději do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Pr="00F13E22">
        <w:rPr>
          <w:rFonts w:ascii="Arial" w:hAnsi="Arial" w:cs="Arial"/>
          <w:sz w:val="24"/>
          <w:szCs w:val="24"/>
        </w:rPr>
        <w:t>zpracovat vyúčtování poskytnuté</w:t>
      </w:r>
      <w:r w:rsidRPr="00F13E22">
        <w:rPr>
          <w:rFonts w:ascii="Arial" w:hAnsi="Arial" w:cs="Arial"/>
          <w:strike/>
          <w:sz w:val="24"/>
          <w:szCs w:val="24"/>
        </w:rPr>
        <w:t xml:space="preserve"> </w:t>
      </w:r>
      <w:r w:rsidRPr="00F13E22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</w:t>
      </w:r>
      <w:r w:rsidR="000554A3"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3013E0C" w14:textId="75F6DDEB" w:rsidR="000554A3" w:rsidRPr="00F13E22" w:rsidRDefault="000554A3" w:rsidP="000554A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1B62E12" w14:textId="2B8014A2" w:rsidR="000554A3" w:rsidRPr="00B70986" w:rsidRDefault="000554A3" w:rsidP="000554A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soupis celkových uskutečněných výdajů na akci, na jejíž realizaci byla poskytnuta dotace dle této smlouvy, v rozsahu uvedeném v příloze č. 1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503A69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A8628E" w:rsidRPr="00F13E22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 Soupis </w:t>
      </w:r>
      <w:r w:rsidRPr="001540A4">
        <w:rPr>
          <w:rFonts w:ascii="Arial" w:eastAsia="Times New Roman" w:hAnsi="Arial" w:cs="Arial"/>
          <w:sz w:val="24"/>
          <w:szCs w:val="24"/>
          <w:lang w:eastAsia="cs-CZ"/>
        </w:rPr>
        <w:t xml:space="preserve">výdajů dle tohoto ustanovení doloží příjemce čestným prohlášením, že </w:t>
      </w:r>
      <w:r w:rsidRPr="00110B3D">
        <w:rPr>
          <w:rFonts w:ascii="Arial" w:eastAsia="Times New Roman" w:hAnsi="Arial" w:cs="Arial"/>
          <w:sz w:val="24"/>
          <w:szCs w:val="24"/>
          <w:lang w:eastAsia="cs-CZ"/>
        </w:rPr>
        <w:t>celkové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uskutečněné výdaje uvedené v soupisu jsou pravdivé a úplné.</w:t>
      </w:r>
    </w:p>
    <w:p w14:paraId="55124EF7" w14:textId="1A78C5D7" w:rsidR="000554A3" w:rsidRPr="00B70986" w:rsidRDefault="000554A3" w:rsidP="000554A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</w:t>
      </w:r>
      <w:r w:rsidR="00503A69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A6C3F2F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5C0C5AA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F6BF190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B1EDCE1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E8D6DA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</w:t>
      </w:r>
      <w:r w:rsidRPr="00B70986">
        <w:rPr>
          <w:rFonts w:ascii="Arial" w:hAnsi="Arial" w:cs="Arial"/>
          <w:sz w:val="24"/>
          <w:szCs w:val="24"/>
        </w:rPr>
        <w:lastRenderedPageBreak/>
        <w:t>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432D502" w14:textId="4F9C6660" w:rsidR="00ED7646" w:rsidRPr="00F13E22" w:rsidRDefault="00ED7646" w:rsidP="00F13E22">
      <w:pPr>
        <w:pStyle w:val="Odstavecseseznamem"/>
        <w:numPr>
          <w:ilvl w:val="0"/>
          <w:numId w:val="38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13E22"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</w:t>
      </w:r>
      <w:proofErr w:type="gramStart"/>
      <w:r w:rsidRPr="00F13E22">
        <w:rPr>
          <w:rFonts w:ascii="Arial" w:hAnsi="Arial" w:cs="Arial"/>
          <w:sz w:val="24"/>
          <w:szCs w:val="24"/>
          <w:lang w:eastAsia="cs-CZ"/>
        </w:rPr>
        <w:t>korun</w:t>
      </w:r>
      <w:proofErr w:type="gramEnd"/>
      <w:r w:rsidRPr="00F13E22">
        <w:rPr>
          <w:rFonts w:ascii="Arial" w:hAnsi="Arial" w:cs="Arial"/>
          <w:sz w:val="24"/>
          <w:szCs w:val="24"/>
          <w:lang w:eastAsia="cs-CZ"/>
        </w:rPr>
        <w:t xml:space="preserve">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F13E22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F13E22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6382977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39B85FB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70986" w:rsidRPr="00B70986" w14:paraId="7AB049D4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E087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5590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2072E0D7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4605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1F56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7E7CFF74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4D3A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A1F5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B70986" w:rsidRPr="00B70986" w14:paraId="1140D9A2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01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789C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3032736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D0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D858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74F455B6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CCB4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E065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54A3" w:rsidRPr="00B70986" w14:paraId="7F37A7A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0AD8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F7AF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15286D0B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EC06B4" w14:textId="183B888C" w:rsidR="000554A3" w:rsidRPr="00F13E22" w:rsidRDefault="00110B3D" w:rsidP="00F13E22">
      <w:pPr>
        <w:pStyle w:val="Odstavecseseznamem"/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F13E22">
        <w:rPr>
          <w:rFonts w:ascii="Arial" w:hAnsi="Arial" w:cs="Arial"/>
          <w:sz w:val="24"/>
          <w:szCs w:val="24"/>
        </w:rPr>
        <w:t>27 – 4228330207/0100</w:t>
      </w:r>
      <w:r w:rsidR="00EB0369" w:rsidRPr="00F13E22">
        <w:rPr>
          <w:rFonts w:ascii="Arial" w:hAnsi="Arial" w:cs="Arial"/>
          <w:sz w:val="24"/>
          <w:szCs w:val="24"/>
        </w:rPr>
        <w:t xml:space="preserve">. V případě, </w:t>
      </w:r>
      <w:r w:rsidRPr="00F13E22">
        <w:rPr>
          <w:rFonts w:ascii="Arial" w:hAnsi="Arial" w:cs="Arial"/>
          <w:sz w:val="24"/>
          <w:szCs w:val="24"/>
        </w:rPr>
        <w:t>že je vratka realizována v roce 2017</w:t>
      </w:r>
      <w:r w:rsidR="00EB0369" w:rsidRPr="00F13E22">
        <w:rPr>
          <w:rFonts w:ascii="Arial" w:hAnsi="Arial" w:cs="Arial"/>
          <w:sz w:val="24"/>
          <w:szCs w:val="24"/>
        </w:rPr>
        <w:t>,</w:t>
      </w:r>
      <w:r w:rsidRPr="00F13E22">
        <w:rPr>
          <w:rFonts w:ascii="Arial" w:hAnsi="Arial" w:cs="Arial"/>
          <w:sz w:val="24"/>
          <w:szCs w:val="24"/>
        </w:rPr>
        <w:t xml:space="preserve"> </w:t>
      </w:r>
      <w:r w:rsidR="00EB0369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F13E22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5BC9FAB6" w14:textId="77777777" w:rsidR="000554A3" w:rsidRPr="00F76C57" w:rsidRDefault="000554A3" w:rsidP="000554A3">
      <w:pPr>
        <w:numPr>
          <w:ilvl w:val="0"/>
          <w:numId w:val="38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F92EEC1" w14:textId="732CB4A8" w:rsidR="00F76C57" w:rsidRPr="00B3479B" w:rsidRDefault="00F76C57" w:rsidP="00B3479B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F76C5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F76C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F76C57">
        <w:rPr>
          <w:rFonts w:ascii="Arial" w:hAnsi="Arial" w:cs="Arial"/>
          <w:bCs/>
          <w:sz w:val="24"/>
        </w:rPr>
        <w:t>bude po dobu minimálně 2 let</w:t>
      </w:r>
      <w:r w:rsidRPr="00F76C57">
        <w:rPr>
          <w:rFonts w:ascii="Arial" w:hAnsi="Arial" w:cs="Arial"/>
          <w:i/>
          <w:sz w:val="24"/>
        </w:rPr>
        <w:t xml:space="preserve"> </w:t>
      </w:r>
      <w:r w:rsidRPr="00F76C57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F76C57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F76C57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226F16B6" w14:textId="77777777" w:rsidR="000554A3" w:rsidRPr="00B70986" w:rsidRDefault="000554A3" w:rsidP="00B3479B">
      <w:pPr>
        <w:numPr>
          <w:ilvl w:val="0"/>
          <w:numId w:val="3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(např.</w:t>
      </w:r>
      <w:proofErr w:type="gramEnd"/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1AC7184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62FA9B81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(kde</w:t>
      </w:r>
      <w:proofErr w:type="gramEnd"/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432C838C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1DBF69FA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535166AC" w14:textId="7CB16A5A" w:rsidR="000554A3" w:rsidRPr="00503A69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veřejných zakázkách, je povinen při její realizaci postupovat dle tohoto zákona.</w:t>
      </w:r>
    </w:p>
    <w:p w14:paraId="4B93DAFE" w14:textId="2B7D0212" w:rsidR="00503A69" w:rsidRPr="00F13E22" w:rsidRDefault="00503A69" w:rsidP="00503A69">
      <w:pPr>
        <w:pStyle w:val="Odstavecseseznamem"/>
        <w:numPr>
          <w:ilvl w:val="0"/>
          <w:numId w:val="38"/>
        </w:numPr>
        <w:spacing w:after="120"/>
        <w:rPr>
          <w:rFonts w:ascii="Arial" w:hAnsi="Arial" w:cs="Arial"/>
          <w:sz w:val="24"/>
          <w:szCs w:val="24"/>
        </w:rPr>
      </w:pPr>
      <w:r w:rsidRPr="00F13E22">
        <w:rPr>
          <w:rFonts w:ascii="Arial" w:hAnsi="Arial" w:cs="Arial"/>
          <w:sz w:val="24"/>
          <w:szCs w:val="24"/>
        </w:rPr>
        <w:lastRenderedPageBreak/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F13E22">
        <w:rPr>
          <w:rFonts w:ascii="Arial" w:hAnsi="Arial" w:cs="Arial"/>
          <w:sz w:val="24"/>
          <w:szCs w:val="24"/>
        </w:rPr>
        <w:t>ust</w:t>
      </w:r>
      <w:proofErr w:type="spellEnd"/>
      <w:r w:rsidRPr="00F13E22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74DCBFEE" w14:textId="77777777" w:rsidR="000554A3" w:rsidRPr="00B70986" w:rsidRDefault="000554A3" w:rsidP="000554A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3BBF96F" w14:textId="3D49E8A5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6D53C88F" w14:textId="77777777" w:rsidR="00ED7646" w:rsidRPr="00B70986" w:rsidRDefault="00ED7646" w:rsidP="00ED76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42420944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70986">
        <w:rPr>
          <w:rFonts w:ascii="Arial" w:hAnsi="Arial" w:cs="Arial"/>
          <w:sz w:val="24"/>
          <w:szCs w:val="24"/>
        </w:rPr>
        <w:t>minimis</w:t>
      </w:r>
      <w:proofErr w:type="spellEnd"/>
      <w:r w:rsidRPr="00B70986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7A6A3E2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58DF772C" w14:textId="2A66220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B70986">
        <w:rPr>
          <w:rFonts w:ascii="Arial" w:hAnsi="Arial" w:cs="Arial"/>
          <w:sz w:val="24"/>
          <w:szCs w:val="24"/>
        </w:rPr>
        <w:t>minimis</w:t>
      </w:r>
      <w:proofErr w:type="spellEnd"/>
      <w:r w:rsidRPr="00B70986">
        <w:rPr>
          <w:rFonts w:ascii="Arial" w:hAnsi="Arial" w:cs="Arial"/>
          <w:sz w:val="24"/>
          <w:szCs w:val="24"/>
        </w:rPr>
        <w:t xml:space="preserve"> (uveřejněno v úředním vě</w:t>
      </w:r>
      <w:r w:rsidR="00503A69">
        <w:rPr>
          <w:rFonts w:ascii="Arial" w:hAnsi="Arial" w:cs="Arial"/>
          <w:sz w:val="24"/>
          <w:szCs w:val="24"/>
        </w:rPr>
        <w:t>s</w:t>
      </w:r>
      <w:r w:rsidRPr="00B70986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0FEBA98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B70986">
        <w:rPr>
          <w:rFonts w:ascii="Arial" w:hAnsi="Arial" w:cs="Arial"/>
          <w:sz w:val="24"/>
          <w:szCs w:val="24"/>
        </w:rPr>
        <w:t>minimis</w:t>
      </w:r>
      <w:proofErr w:type="spellEnd"/>
      <w:r w:rsidRPr="00B70986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6D5CE76C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2026FABF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26E2311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6440710" w14:textId="219DB285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B3479B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1ACFBA05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2E20170D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0212145" w14:textId="77777777" w:rsidR="000554A3" w:rsidRPr="00B70986" w:rsidRDefault="000554A3" w:rsidP="006A60F3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32061BD9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2F672E1F" w14:textId="77777777" w:rsidR="000554A3" w:rsidRPr="00B70986" w:rsidRDefault="000554A3" w:rsidP="00B847E5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4EDABEF8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13062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A35D856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91EAD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70986" w:rsidRPr="00B70986" w14:paraId="0C57B07C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D0E21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8490B65" w14:textId="77777777" w:rsidR="00E114A3" w:rsidRDefault="00E114A3" w:rsidP="00E11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5F6EF667" w14:textId="61F4C43A" w:rsidR="00773F7B" w:rsidRPr="00B70986" w:rsidRDefault="00E114A3" w:rsidP="00E114A3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FB0A0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DD69A6C" w14:textId="4C0F4229" w:rsidR="004224D5" w:rsidRPr="00B70986" w:rsidRDefault="004224D5" w:rsidP="00F13E22">
      <w:pPr>
        <w:ind w:left="0" w:firstLine="0"/>
        <w:rPr>
          <w:rFonts w:ascii="Arial" w:hAnsi="Arial" w:cs="Arial"/>
          <w:bCs/>
        </w:rPr>
      </w:pPr>
    </w:p>
    <w:sectPr w:rsidR="004224D5" w:rsidRPr="00B70986" w:rsidSect="00E231D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CD8C5" w14:textId="77777777" w:rsidR="00867F8E" w:rsidRDefault="00867F8E" w:rsidP="00D40C40">
      <w:r>
        <w:separator/>
      </w:r>
    </w:p>
  </w:endnote>
  <w:endnote w:type="continuationSeparator" w:id="0">
    <w:p w14:paraId="5473092D" w14:textId="77777777" w:rsidR="00867F8E" w:rsidRDefault="00867F8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30876" w14:textId="014BA1F9" w:rsidR="002F7EA7" w:rsidRPr="00BE64C3" w:rsidRDefault="002D7B04" w:rsidP="002F7EA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2F7EA7" w:rsidRPr="00BE64C3">
      <w:rPr>
        <w:rFonts w:ascii="Arial" w:hAnsi="Arial" w:cs="Arial"/>
        <w:i/>
        <w:sz w:val="20"/>
        <w:szCs w:val="20"/>
      </w:rPr>
      <w:tab/>
    </w:r>
    <w:r w:rsidR="002F7EA7" w:rsidRPr="00BE64C3">
      <w:rPr>
        <w:rFonts w:ascii="Arial" w:hAnsi="Arial" w:cs="Arial"/>
        <w:i/>
        <w:sz w:val="20"/>
        <w:szCs w:val="20"/>
      </w:rPr>
      <w:tab/>
      <w:t xml:space="preserve">Strana </w:t>
    </w:r>
    <w:r w:rsidR="002F7EA7" w:rsidRPr="00BE64C3">
      <w:rPr>
        <w:rFonts w:ascii="Arial" w:hAnsi="Arial" w:cs="Arial"/>
        <w:i/>
        <w:sz w:val="20"/>
        <w:szCs w:val="20"/>
      </w:rPr>
      <w:fldChar w:fldCharType="begin"/>
    </w:r>
    <w:r w:rsidR="002F7EA7" w:rsidRPr="00BE64C3">
      <w:rPr>
        <w:rFonts w:ascii="Arial" w:hAnsi="Arial" w:cs="Arial"/>
        <w:i/>
        <w:sz w:val="20"/>
        <w:szCs w:val="20"/>
      </w:rPr>
      <w:instrText>PAGE   \* MERGEFORMAT</w:instrText>
    </w:r>
    <w:r w:rsidR="002F7EA7" w:rsidRPr="00BE64C3">
      <w:rPr>
        <w:rFonts w:ascii="Arial" w:hAnsi="Arial" w:cs="Arial"/>
        <w:i/>
        <w:sz w:val="20"/>
        <w:szCs w:val="20"/>
      </w:rPr>
      <w:fldChar w:fldCharType="separate"/>
    </w:r>
    <w:r w:rsidR="005C31EF">
      <w:rPr>
        <w:rFonts w:ascii="Arial" w:hAnsi="Arial" w:cs="Arial"/>
        <w:i/>
        <w:noProof/>
        <w:sz w:val="20"/>
        <w:szCs w:val="20"/>
      </w:rPr>
      <w:t>146</w:t>
    </w:r>
    <w:r w:rsidR="002F7EA7" w:rsidRPr="00BE64C3">
      <w:rPr>
        <w:rFonts w:ascii="Arial" w:hAnsi="Arial" w:cs="Arial"/>
        <w:i/>
        <w:sz w:val="20"/>
        <w:szCs w:val="20"/>
      </w:rPr>
      <w:fldChar w:fldCharType="end"/>
    </w:r>
    <w:r w:rsidR="002F7EA7" w:rsidRPr="00BE64C3">
      <w:rPr>
        <w:rFonts w:ascii="Arial" w:hAnsi="Arial" w:cs="Arial"/>
        <w:i/>
        <w:sz w:val="20"/>
        <w:szCs w:val="20"/>
      </w:rPr>
      <w:t xml:space="preserve"> (celkem </w:t>
    </w:r>
    <w:r w:rsidR="00B67074">
      <w:rPr>
        <w:rFonts w:ascii="Arial" w:hAnsi="Arial" w:cs="Arial"/>
        <w:i/>
        <w:sz w:val="20"/>
        <w:szCs w:val="20"/>
      </w:rPr>
      <w:t>24</w:t>
    </w:r>
    <w:r w:rsidR="002E25BE" w:rsidRPr="00BE64C3">
      <w:rPr>
        <w:rFonts w:ascii="Arial" w:hAnsi="Arial" w:cs="Arial"/>
        <w:i/>
        <w:sz w:val="20"/>
        <w:szCs w:val="20"/>
      </w:rPr>
      <w:t>0</w:t>
    </w:r>
    <w:r w:rsidR="002F7EA7" w:rsidRPr="00BE64C3">
      <w:rPr>
        <w:rFonts w:ascii="Arial" w:hAnsi="Arial" w:cs="Arial"/>
        <w:i/>
        <w:sz w:val="20"/>
        <w:szCs w:val="20"/>
      </w:rPr>
      <w:t>)</w:t>
    </w:r>
  </w:p>
  <w:p w14:paraId="49C67894" w14:textId="57D99BD1" w:rsidR="002F7EA7" w:rsidRPr="00BE64C3" w:rsidRDefault="005B5237" w:rsidP="00B5480B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B5480B">
      <w:rPr>
        <w:rFonts w:ascii="Arial" w:hAnsi="Arial" w:cs="Arial"/>
        <w:i/>
        <w:iCs/>
        <w:sz w:val="20"/>
        <w:szCs w:val="20"/>
      </w:rPr>
      <w:t>.</w:t>
    </w:r>
    <w:r w:rsidR="005C31EF">
      <w:rPr>
        <w:rFonts w:ascii="Arial" w:hAnsi="Arial" w:cs="Arial"/>
        <w:i/>
        <w:iCs/>
        <w:sz w:val="20"/>
        <w:szCs w:val="20"/>
      </w:rPr>
      <w:t xml:space="preserve"> </w:t>
    </w:r>
    <w:r w:rsidR="002F7EA7" w:rsidRPr="00BE64C3">
      <w:rPr>
        <w:rFonts w:ascii="Arial" w:hAnsi="Arial" w:cs="Arial"/>
        <w:i/>
        <w:iCs/>
        <w:sz w:val="20"/>
        <w:szCs w:val="20"/>
      </w:rPr>
      <w:t xml:space="preserve">– </w:t>
    </w:r>
    <w:r w:rsidR="00B46B0F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66433F88" w14:textId="42341B0F" w:rsidR="00544FCB" w:rsidRPr="00BE64C3" w:rsidRDefault="00BE64C3" w:rsidP="00BE64C3">
    <w:pPr>
      <w:pStyle w:val="Zhlav"/>
      <w:ind w:left="1560" w:hanging="1560"/>
      <w:rPr>
        <w:rFonts w:ascii="Arial" w:hAnsi="Arial" w:cs="Arial"/>
        <w:i/>
        <w:iCs/>
        <w:sz w:val="20"/>
        <w:szCs w:val="20"/>
      </w:rPr>
    </w:pPr>
    <w:r w:rsidRPr="00BE64C3">
      <w:rPr>
        <w:rFonts w:ascii="Arial" w:hAnsi="Arial" w:cs="Arial"/>
        <w:i/>
        <w:sz w:val="20"/>
        <w:szCs w:val="20"/>
      </w:rPr>
      <w:t xml:space="preserve">Příloha č. </w:t>
    </w:r>
    <w:proofErr w:type="gramStart"/>
    <w:r w:rsidRPr="00BE64C3">
      <w:rPr>
        <w:rFonts w:ascii="Arial" w:hAnsi="Arial" w:cs="Arial"/>
        <w:i/>
        <w:sz w:val="20"/>
        <w:szCs w:val="20"/>
      </w:rPr>
      <w:t xml:space="preserve">11e </w:t>
    </w:r>
    <w:r w:rsidRPr="00BE64C3">
      <w:rPr>
        <w:rFonts w:ascii="Arial" w:hAnsi="Arial" w:cs="Arial"/>
        <w:i/>
        <w:sz w:val="20"/>
        <w:szCs w:val="20"/>
      </w:rPr>
      <w:softHyphen/>
      <w:t>– Vzorová</w:t>
    </w:r>
    <w:proofErr w:type="gramEnd"/>
    <w:r w:rsidRPr="00BE64C3">
      <w:rPr>
        <w:rFonts w:ascii="Arial" w:hAnsi="Arial" w:cs="Arial"/>
        <w:i/>
        <w:sz w:val="20"/>
        <w:szCs w:val="20"/>
      </w:rPr>
      <w:t xml:space="preserve"> veřejnoprávní smlouva v rámci dotačního titulu č. 3 - Podpora prorodinných aktivit (akce – plná výše dotace – do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9" w14:textId="77777777" w:rsidR="00544FCB" w:rsidRPr="00531AE7" w:rsidRDefault="00544FCB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</w:t>
    </w:r>
    <w:proofErr w:type="gramStart"/>
    <w:r>
      <w:rPr>
        <w:rFonts w:ascii="Arial" w:hAnsi="Arial" w:cs="Arial"/>
        <w:i/>
        <w:sz w:val="20"/>
        <w:szCs w:val="20"/>
      </w:rPr>
      <w:t>celkem )</w:t>
    </w:r>
    <w:proofErr w:type="gramEnd"/>
  </w:p>
  <w:p w14:paraId="66433F8A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66433F8B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6433F8C" w14:textId="77777777" w:rsidR="00544FCB" w:rsidRDefault="00544F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B7C09" w14:textId="77777777" w:rsidR="00867F8E" w:rsidRDefault="00867F8E" w:rsidP="00D40C40">
      <w:r>
        <w:separator/>
      </w:r>
    </w:p>
  </w:footnote>
  <w:footnote w:type="continuationSeparator" w:id="0">
    <w:p w14:paraId="60C2E5CF" w14:textId="77777777" w:rsidR="00867F8E" w:rsidRDefault="00867F8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7E70E" w14:textId="6FA75D91" w:rsidR="00BE64C3" w:rsidRDefault="00BE64C3" w:rsidP="00BE64C3">
    <w:pPr>
      <w:pStyle w:val="Zhlav"/>
      <w:ind w:left="1560" w:hanging="1560"/>
    </w:pPr>
    <w:r>
      <w:rPr>
        <w:rFonts w:ascii="Arial" w:hAnsi="Arial" w:cs="Arial"/>
        <w:sz w:val="20"/>
        <w:szCs w:val="20"/>
      </w:rPr>
      <w:t xml:space="preserve">Příloha č. </w:t>
    </w:r>
    <w:proofErr w:type="gramStart"/>
    <w:r>
      <w:rPr>
        <w:rFonts w:ascii="Arial" w:hAnsi="Arial" w:cs="Arial"/>
        <w:sz w:val="20"/>
        <w:szCs w:val="20"/>
      </w:rPr>
      <w:t xml:space="preserve">11e </w:t>
    </w:r>
    <w:r>
      <w:rPr>
        <w:rFonts w:ascii="Arial" w:hAnsi="Arial" w:cs="Arial"/>
        <w:sz w:val="20"/>
        <w:szCs w:val="20"/>
      </w:rPr>
      <w:softHyphen/>
      <w:t>– Vzorová</w:t>
    </w:r>
    <w:proofErr w:type="gramEnd"/>
    <w:r>
      <w:rPr>
        <w:rFonts w:ascii="Arial" w:hAnsi="Arial" w:cs="Arial"/>
        <w:sz w:val="20"/>
        <w:szCs w:val="20"/>
      </w:rPr>
      <w:t xml:space="preserve"> veřejnoprávní smlouva v rámci dotačního titulu č. 3 - Podpora prorodinných aktivit (akce – plná výše dotace – do 30 000 Kč)</w:t>
    </w:r>
  </w:p>
  <w:p w14:paraId="0390B979" w14:textId="77777777" w:rsidR="00544FCB" w:rsidRDefault="00544FCB" w:rsidP="005126DC">
    <w:pPr>
      <w:pStyle w:val="Zhlav"/>
      <w:ind w:left="993"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C4C05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DE645C96"/>
    <w:lvl w:ilvl="0" w:tplc="6C847D7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118A50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84B45408"/>
    <w:lvl w:ilvl="0" w:tplc="49743D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F1074"/>
    <w:multiLevelType w:val="hybridMultilevel"/>
    <w:tmpl w:val="690EA602"/>
    <w:lvl w:ilvl="0" w:tplc="D8E2E0F2">
      <w:start w:val="1"/>
      <w:numFmt w:val="lowerLetter"/>
      <w:lvlText w:val="%1."/>
      <w:lvlJc w:val="left"/>
      <w:pPr>
        <w:ind w:left="12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3" w:hanging="360"/>
      </w:pPr>
    </w:lvl>
    <w:lvl w:ilvl="2" w:tplc="0405001B" w:tentative="1">
      <w:start w:val="1"/>
      <w:numFmt w:val="lowerRoman"/>
      <w:lvlText w:val="%3."/>
      <w:lvlJc w:val="right"/>
      <w:pPr>
        <w:ind w:left="2663" w:hanging="180"/>
      </w:pPr>
    </w:lvl>
    <w:lvl w:ilvl="3" w:tplc="0405000F" w:tentative="1">
      <w:start w:val="1"/>
      <w:numFmt w:val="decimal"/>
      <w:lvlText w:val="%4."/>
      <w:lvlJc w:val="left"/>
      <w:pPr>
        <w:ind w:left="3383" w:hanging="360"/>
      </w:pPr>
    </w:lvl>
    <w:lvl w:ilvl="4" w:tplc="04050019" w:tentative="1">
      <w:start w:val="1"/>
      <w:numFmt w:val="lowerLetter"/>
      <w:lvlText w:val="%5."/>
      <w:lvlJc w:val="left"/>
      <w:pPr>
        <w:ind w:left="4103" w:hanging="360"/>
      </w:pPr>
    </w:lvl>
    <w:lvl w:ilvl="5" w:tplc="0405001B" w:tentative="1">
      <w:start w:val="1"/>
      <w:numFmt w:val="lowerRoman"/>
      <w:lvlText w:val="%6."/>
      <w:lvlJc w:val="right"/>
      <w:pPr>
        <w:ind w:left="4823" w:hanging="180"/>
      </w:pPr>
    </w:lvl>
    <w:lvl w:ilvl="6" w:tplc="0405000F" w:tentative="1">
      <w:start w:val="1"/>
      <w:numFmt w:val="decimal"/>
      <w:lvlText w:val="%7."/>
      <w:lvlJc w:val="left"/>
      <w:pPr>
        <w:ind w:left="5543" w:hanging="360"/>
      </w:pPr>
    </w:lvl>
    <w:lvl w:ilvl="7" w:tplc="04050019" w:tentative="1">
      <w:start w:val="1"/>
      <w:numFmt w:val="lowerLetter"/>
      <w:lvlText w:val="%8."/>
      <w:lvlJc w:val="left"/>
      <w:pPr>
        <w:ind w:left="6263" w:hanging="360"/>
      </w:pPr>
    </w:lvl>
    <w:lvl w:ilvl="8" w:tplc="040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1">
    <w:nsid w:val="1FAB21A9"/>
    <w:multiLevelType w:val="hybridMultilevel"/>
    <w:tmpl w:val="7784970A"/>
    <w:lvl w:ilvl="0" w:tplc="D974BA3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1FF81706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B4CDF"/>
    <w:multiLevelType w:val="multilevel"/>
    <w:tmpl w:val="9ADA1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3767780"/>
    <w:multiLevelType w:val="multilevel"/>
    <w:tmpl w:val="AB80DA0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4802FD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FE7335D"/>
    <w:multiLevelType w:val="hybridMultilevel"/>
    <w:tmpl w:val="31201E6E"/>
    <w:lvl w:ilvl="0" w:tplc="C4F2F1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030C0"/>
    <w:multiLevelType w:val="hybridMultilevel"/>
    <w:tmpl w:val="6D40B5CC"/>
    <w:lvl w:ilvl="0" w:tplc="FB50B88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E810D9"/>
    <w:multiLevelType w:val="multilevel"/>
    <w:tmpl w:val="260CE306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5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>
    <w:nsid w:val="7A8F1159"/>
    <w:multiLevelType w:val="multilevel"/>
    <w:tmpl w:val="4B34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DE6091E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7"/>
  </w:num>
  <w:num w:numId="3">
    <w:abstractNumId w:val="19"/>
  </w:num>
  <w:num w:numId="4">
    <w:abstractNumId w:val="33"/>
  </w:num>
  <w:num w:numId="5">
    <w:abstractNumId w:val="20"/>
  </w:num>
  <w:num w:numId="6">
    <w:abstractNumId w:val="21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3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8"/>
  </w:num>
  <w:num w:numId="18">
    <w:abstractNumId w:val="16"/>
  </w:num>
  <w:num w:numId="19">
    <w:abstractNumId w:val="7"/>
  </w:num>
  <w:num w:numId="20">
    <w:abstractNumId w:val="6"/>
  </w:num>
  <w:num w:numId="21">
    <w:abstractNumId w:val="26"/>
  </w:num>
  <w:num w:numId="22">
    <w:abstractNumId w:val="22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8"/>
  </w:num>
  <w:num w:numId="27">
    <w:abstractNumId w:val="1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"/>
  </w:num>
  <w:num w:numId="34">
    <w:abstractNumId w:val="17"/>
  </w:num>
  <w:num w:numId="35">
    <w:abstractNumId w:val="14"/>
  </w:num>
  <w:num w:numId="36">
    <w:abstractNumId w:val="34"/>
  </w:num>
  <w:num w:numId="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676"/>
    <w:rsid w:val="00001344"/>
    <w:rsid w:val="000032B4"/>
    <w:rsid w:val="000047EB"/>
    <w:rsid w:val="00006AE8"/>
    <w:rsid w:val="000115EA"/>
    <w:rsid w:val="000128B9"/>
    <w:rsid w:val="00014A64"/>
    <w:rsid w:val="000244D1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4F1D"/>
    <w:rsid w:val="00045D00"/>
    <w:rsid w:val="000463D9"/>
    <w:rsid w:val="0004640A"/>
    <w:rsid w:val="00046C45"/>
    <w:rsid w:val="0005287A"/>
    <w:rsid w:val="000554A3"/>
    <w:rsid w:val="00060C62"/>
    <w:rsid w:val="00062C9D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87439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42F"/>
    <w:rsid w:val="000E2BFA"/>
    <w:rsid w:val="000E473D"/>
    <w:rsid w:val="000E4EB8"/>
    <w:rsid w:val="000E72E9"/>
    <w:rsid w:val="000E7952"/>
    <w:rsid w:val="0010380F"/>
    <w:rsid w:val="00105061"/>
    <w:rsid w:val="00110B3D"/>
    <w:rsid w:val="00112FCD"/>
    <w:rsid w:val="001158F5"/>
    <w:rsid w:val="00116F0B"/>
    <w:rsid w:val="00117CC2"/>
    <w:rsid w:val="00122793"/>
    <w:rsid w:val="0012518C"/>
    <w:rsid w:val="00125FEF"/>
    <w:rsid w:val="001267D4"/>
    <w:rsid w:val="00126E57"/>
    <w:rsid w:val="00127828"/>
    <w:rsid w:val="00137D65"/>
    <w:rsid w:val="001436D1"/>
    <w:rsid w:val="00150850"/>
    <w:rsid w:val="00153478"/>
    <w:rsid w:val="001540A4"/>
    <w:rsid w:val="00154952"/>
    <w:rsid w:val="00161BFF"/>
    <w:rsid w:val="00165A7E"/>
    <w:rsid w:val="0016665E"/>
    <w:rsid w:val="001705B5"/>
    <w:rsid w:val="00171C02"/>
    <w:rsid w:val="001720A1"/>
    <w:rsid w:val="00172C61"/>
    <w:rsid w:val="00173F42"/>
    <w:rsid w:val="00175D80"/>
    <w:rsid w:val="00175E54"/>
    <w:rsid w:val="00183700"/>
    <w:rsid w:val="001854AA"/>
    <w:rsid w:val="001876F7"/>
    <w:rsid w:val="00187FE4"/>
    <w:rsid w:val="00190C18"/>
    <w:rsid w:val="0019284F"/>
    <w:rsid w:val="001A028E"/>
    <w:rsid w:val="001A1C6B"/>
    <w:rsid w:val="001A2630"/>
    <w:rsid w:val="001A336F"/>
    <w:rsid w:val="001B096E"/>
    <w:rsid w:val="001B1CF5"/>
    <w:rsid w:val="001B2273"/>
    <w:rsid w:val="001B3185"/>
    <w:rsid w:val="001B326B"/>
    <w:rsid w:val="001B7624"/>
    <w:rsid w:val="001C33D7"/>
    <w:rsid w:val="001D00B6"/>
    <w:rsid w:val="001D1DD2"/>
    <w:rsid w:val="001D2582"/>
    <w:rsid w:val="001D42CD"/>
    <w:rsid w:val="001D6533"/>
    <w:rsid w:val="001E21D4"/>
    <w:rsid w:val="001E61B2"/>
    <w:rsid w:val="001E6893"/>
    <w:rsid w:val="001E72BC"/>
    <w:rsid w:val="001E7674"/>
    <w:rsid w:val="001F2AE9"/>
    <w:rsid w:val="001F4D19"/>
    <w:rsid w:val="001F65EE"/>
    <w:rsid w:val="001F7041"/>
    <w:rsid w:val="001F772C"/>
    <w:rsid w:val="00202B77"/>
    <w:rsid w:val="002039B7"/>
    <w:rsid w:val="00205144"/>
    <w:rsid w:val="00205602"/>
    <w:rsid w:val="00207B06"/>
    <w:rsid w:val="002103D8"/>
    <w:rsid w:val="00211331"/>
    <w:rsid w:val="00211421"/>
    <w:rsid w:val="00214805"/>
    <w:rsid w:val="00220E0F"/>
    <w:rsid w:val="00220FF7"/>
    <w:rsid w:val="00230580"/>
    <w:rsid w:val="00230F9B"/>
    <w:rsid w:val="00234880"/>
    <w:rsid w:val="00234AB3"/>
    <w:rsid w:val="00235694"/>
    <w:rsid w:val="002360BE"/>
    <w:rsid w:val="00237F27"/>
    <w:rsid w:val="00240D4A"/>
    <w:rsid w:val="00244A06"/>
    <w:rsid w:val="00247A74"/>
    <w:rsid w:val="00250995"/>
    <w:rsid w:val="00250B44"/>
    <w:rsid w:val="00250D95"/>
    <w:rsid w:val="00253A30"/>
    <w:rsid w:val="00253B38"/>
    <w:rsid w:val="00254AC2"/>
    <w:rsid w:val="002601DB"/>
    <w:rsid w:val="00266EFB"/>
    <w:rsid w:val="00277B48"/>
    <w:rsid w:val="002806B1"/>
    <w:rsid w:val="00282E6E"/>
    <w:rsid w:val="002842C7"/>
    <w:rsid w:val="00284654"/>
    <w:rsid w:val="00286E19"/>
    <w:rsid w:val="002872BE"/>
    <w:rsid w:val="002915BF"/>
    <w:rsid w:val="00291E60"/>
    <w:rsid w:val="00296C12"/>
    <w:rsid w:val="002A1543"/>
    <w:rsid w:val="002A2372"/>
    <w:rsid w:val="002A3CD3"/>
    <w:rsid w:val="002A4699"/>
    <w:rsid w:val="002A4ADE"/>
    <w:rsid w:val="002A662C"/>
    <w:rsid w:val="002A7B11"/>
    <w:rsid w:val="002B26C3"/>
    <w:rsid w:val="002C0CA8"/>
    <w:rsid w:val="002C2880"/>
    <w:rsid w:val="002D24FC"/>
    <w:rsid w:val="002D2C99"/>
    <w:rsid w:val="002D5445"/>
    <w:rsid w:val="002D7B04"/>
    <w:rsid w:val="002E25BE"/>
    <w:rsid w:val="002E6113"/>
    <w:rsid w:val="002F2753"/>
    <w:rsid w:val="002F7EA7"/>
    <w:rsid w:val="00305328"/>
    <w:rsid w:val="00305EB3"/>
    <w:rsid w:val="00312AD0"/>
    <w:rsid w:val="003150D3"/>
    <w:rsid w:val="0031791E"/>
    <w:rsid w:val="00321B59"/>
    <w:rsid w:val="00321FF4"/>
    <w:rsid w:val="0032223E"/>
    <w:rsid w:val="00326204"/>
    <w:rsid w:val="0033568D"/>
    <w:rsid w:val="003405BE"/>
    <w:rsid w:val="00343694"/>
    <w:rsid w:val="00344649"/>
    <w:rsid w:val="00346C97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97D31"/>
    <w:rsid w:val="003A040E"/>
    <w:rsid w:val="003A406B"/>
    <w:rsid w:val="003A4AA2"/>
    <w:rsid w:val="003A50EF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7D00"/>
    <w:rsid w:val="00446F10"/>
    <w:rsid w:val="0044719F"/>
    <w:rsid w:val="00452184"/>
    <w:rsid w:val="0045517F"/>
    <w:rsid w:val="004678B6"/>
    <w:rsid w:val="004733FD"/>
    <w:rsid w:val="004754B6"/>
    <w:rsid w:val="004769EC"/>
    <w:rsid w:val="004811A3"/>
    <w:rsid w:val="00486F4C"/>
    <w:rsid w:val="00495FA8"/>
    <w:rsid w:val="004A27E8"/>
    <w:rsid w:val="004B000B"/>
    <w:rsid w:val="004B192A"/>
    <w:rsid w:val="004B3ABA"/>
    <w:rsid w:val="004B4636"/>
    <w:rsid w:val="004C3E4C"/>
    <w:rsid w:val="004D09F2"/>
    <w:rsid w:val="004D2620"/>
    <w:rsid w:val="004D3A9B"/>
    <w:rsid w:val="004D3C67"/>
    <w:rsid w:val="004D7CAF"/>
    <w:rsid w:val="004E0437"/>
    <w:rsid w:val="004E2514"/>
    <w:rsid w:val="004E7A87"/>
    <w:rsid w:val="004E7D0A"/>
    <w:rsid w:val="004F0FE8"/>
    <w:rsid w:val="004F44DE"/>
    <w:rsid w:val="004F4874"/>
    <w:rsid w:val="004F4A0D"/>
    <w:rsid w:val="004F648D"/>
    <w:rsid w:val="004F7E64"/>
    <w:rsid w:val="00503A23"/>
    <w:rsid w:val="00503A3F"/>
    <w:rsid w:val="00503A69"/>
    <w:rsid w:val="00503C95"/>
    <w:rsid w:val="00504631"/>
    <w:rsid w:val="00505B05"/>
    <w:rsid w:val="00511EA8"/>
    <w:rsid w:val="005126DC"/>
    <w:rsid w:val="00515C03"/>
    <w:rsid w:val="0051623A"/>
    <w:rsid w:val="00517F36"/>
    <w:rsid w:val="00520749"/>
    <w:rsid w:val="005217E5"/>
    <w:rsid w:val="005232E4"/>
    <w:rsid w:val="005258AA"/>
    <w:rsid w:val="00525FAE"/>
    <w:rsid w:val="00530A93"/>
    <w:rsid w:val="00531AE7"/>
    <w:rsid w:val="005333B5"/>
    <w:rsid w:val="005349A1"/>
    <w:rsid w:val="00536CD6"/>
    <w:rsid w:val="00541F9F"/>
    <w:rsid w:val="00542712"/>
    <w:rsid w:val="00543768"/>
    <w:rsid w:val="00544FCB"/>
    <w:rsid w:val="00545673"/>
    <w:rsid w:val="005459E0"/>
    <w:rsid w:val="00545A5B"/>
    <w:rsid w:val="005469CD"/>
    <w:rsid w:val="0055217E"/>
    <w:rsid w:val="00557105"/>
    <w:rsid w:val="00565546"/>
    <w:rsid w:val="00566046"/>
    <w:rsid w:val="0056705E"/>
    <w:rsid w:val="00567BA7"/>
    <w:rsid w:val="00571EC8"/>
    <w:rsid w:val="00580363"/>
    <w:rsid w:val="00581A95"/>
    <w:rsid w:val="005848C6"/>
    <w:rsid w:val="0059526D"/>
    <w:rsid w:val="005A2AC3"/>
    <w:rsid w:val="005A7F3C"/>
    <w:rsid w:val="005B3407"/>
    <w:rsid w:val="005B3B69"/>
    <w:rsid w:val="005B4A9C"/>
    <w:rsid w:val="005B5237"/>
    <w:rsid w:val="005B6083"/>
    <w:rsid w:val="005C24FA"/>
    <w:rsid w:val="005C31EF"/>
    <w:rsid w:val="005C6701"/>
    <w:rsid w:val="005C69C9"/>
    <w:rsid w:val="005C7142"/>
    <w:rsid w:val="005D0F92"/>
    <w:rsid w:val="005D1434"/>
    <w:rsid w:val="005D1C98"/>
    <w:rsid w:val="005D21ED"/>
    <w:rsid w:val="005D4D86"/>
    <w:rsid w:val="005E23B2"/>
    <w:rsid w:val="005E2BB4"/>
    <w:rsid w:val="005E5BBD"/>
    <w:rsid w:val="005F2C77"/>
    <w:rsid w:val="005F43AE"/>
    <w:rsid w:val="005F4772"/>
    <w:rsid w:val="005F5E14"/>
    <w:rsid w:val="005F635A"/>
    <w:rsid w:val="00600971"/>
    <w:rsid w:val="0060131E"/>
    <w:rsid w:val="006031EB"/>
    <w:rsid w:val="006061B0"/>
    <w:rsid w:val="00606441"/>
    <w:rsid w:val="00607499"/>
    <w:rsid w:val="00610DE8"/>
    <w:rsid w:val="00611A33"/>
    <w:rsid w:val="00612773"/>
    <w:rsid w:val="00612C24"/>
    <w:rsid w:val="00621852"/>
    <w:rsid w:val="00621A3A"/>
    <w:rsid w:val="006264E0"/>
    <w:rsid w:val="006304D1"/>
    <w:rsid w:val="006332E6"/>
    <w:rsid w:val="006339D9"/>
    <w:rsid w:val="00644A22"/>
    <w:rsid w:val="00644F18"/>
    <w:rsid w:val="0065726F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819E0"/>
    <w:rsid w:val="0068525A"/>
    <w:rsid w:val="00690949"/>
    <w:rsid w:val="006A60F3"/>
    <w:rsid w:val="006A689E"/>
    <w:rsid w:val="006B1973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F1BEC"/>
    <w:rsid w:val="00703409"/>
    <w:rsid w:val="00711102"/>
    <w:rsid w:val="007117EC"/>
    <w:rsid w:val="0071401C"/>
    <w:rsid w:val="00720159"/>
    <w:rsid w:val="00720FB1"/>
    <w:rsid w:val="0072192A"/>
    <w:rsid w:val="00735623"/>
    <w:rsid w:val="00735E1F"/>
    <w:rsid w:val="007360D6"/>
    <w:rsid w:val="00747873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13EC"/>
    <w:rsid w:val="00773F7B"/>
    <w:rsid w:val="00774CBA"/>
    <w:rsid w:val="0077539B"/>
    <w:rsid w:val="00775F55"/>
    <w:rsid w:val="007801E5"/>
    <w:rsid w:val="007812B8"/>
    <w:rsid w:val="0078156B"/>
    <w:rsid w:val="00786B20"/>
    <w:rsid w:val="007870BC"/>
    <w:rsid w:val="00790A32"/>
    <w:rsid w:val="00792A59"/>
    <w:rsid w:val="007939A6"/>
    <w:rsid w:val="00794637"/>
    <w:rsid w:val="00794AAC"/>
    <w:rsid w:val="007A04FA"/>
    <w:rsid w:val="007A0F15"/>
    <w:rsid w:val="007A1C60"/>
    <w:rsid w:val="007A6D92"/>
    <w:rsid w:val="007A6F94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DB2"/>
    <w:rsid w:val="007D5F4A"/>
    <w:rsid w:val="007E0009"/>
    <w:rsid w:val="007E5D6A"/>
    <w:rsid w:val="007E6038"/>
    <w:rsid w:val="007E6FA2"/>
    <w:rsid w:val="007E72A9"/>
    <w:rsid w:val="007F3633"/>
    <w:rsid w:val="007F71DE"/>
    <w:rsid w:val="007F7C7E"/>
    <w:rsid w:val="008007F4"/>
    <w:rsid w:val="00803034"/>
    <w:rsid w:val="00806EBA"/>
    <w:rsid w:val="00810C7B"/>
    <w:rsid w:val="00811C9A"/>
    <w:rsid w:val="00820B4D"/>
    <w:rsid w:val="00821F04"/>
    <w:rsid w:val="00824CBB"/>
    <w:rsid w:val="008253DB"/>
    <w:rsid w:val="00832011"/>
    <w:rsid w:val="00832ABD"/>
    <w:rsid w:val="00837501"/>
    <w:rsid w:val="008411ED"/>
    <w:rsid w:val="00841F3B"/>
    <w:rsid w:val="008556B1"/>
    <w:rsid w:val="0085615A"/>
    <w:rsid w:val="00865775"/>
    <w:rsid w:val="0086634E"/>
    <w:rsid w:val="00867F8E"/>
    <w:rsid w:val="00872D44"/>
    <w:rsid w:val="00885BED"/>
    <w:rsid w:val="008A47D3"/>
    <w:rsid w:val="008A5202"/>
    <w:rsid w:val="008A56FF"/>
    <w:rsid w:val="008A5862"/>
    <w:rsid w:val="008A64BF"/>
    <w:rsid w:val="008A761B"/>
    <w:rsid w:val="008B07F1"/>
    <w:rsid w:val="008B17D3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6F8B"/>
    <w:rsid w:val="009025C1"/>
    <w:rsid w:val="009044C8"/>
    <w:rsid w:val="009060B3"/>
    <w:rsid w:val="009119F6"/>
    <w:rsid w:val="00912D3B"/>
    <w:rsid w:val="00917DFA"/>
    <w:rsid w:val="0092003A"/>
    <w:rsid w:val="009264AC"/>
    <w:rsid w:val="00930FB0"/>
    <w:rsid w:val="00932FB4"/>
    <w:rsid w:val="00933519"/>
    <w:rsid w:val="009345B3"/>
    <w:rsid w:val="00937749"/>
    <w:rsid w:val="00937AB9"/>
    <w:rsid w:val="00944F62"/>
    <w:rsid w:val="00946358"/>
    <w:rsid w:val="009463E3"/>
    <w:rsid w:val="00955EF2"/>
    <w:rsid w:val="0095627A"/>
    <w:rsid w:val="009756F0"/>
    <w:rsid w:val="00976473"/>
    <w:rsid w:val="00977E31"/>
    <w:rsid w:val="009821FA"/>
    <w:rsid w:val="0098260F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7213"/>
    <w:rsid w:val="009B055D"/>
    <w:rsid w:val="009B662B"/>
    <w:rsid w:val="009B6BE7"/>
    <w:rsid w:val="009C03D8"/>
    <w:rsid w:val="009C3825"/>
    <w:rsid w:val="009C5933"/>
    <w:rsid w:val="009D6778"/>
    <w:rsid w:val="009E1192"/>
    <w:rsid w:val="009E7A42"/>
    <w:rsid w:val="009F0F5D"/>
    <w:rsid w:val="009F5C46"/>
    <w:rsid w:val="009F7302"/>
    <w:rsid w:val="009F73BA"/>
    <w:rsid w:val="009F7A34"/>
    <w:rsid w:val="009F7BD5"/>
    <w:rsid w:val="00A00413"/>
    <w:rsid w:val="00A03684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628E"/>
    <w:rsid w:val="00A87597"/>
    <w:rsid w:val="00A875A5"/>
    <w:rsid w:val="00A91B95"/>
    <w:rsid w:val="00A935E5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D3B6A"/>
    <w:rsid w:val="00AE18C4"/>
    <w:rsid w:val="00AE3DBD"/>
    <w:rsid w:val="00AF161F"/>
    <w:rsid w:val="00AF77E0"/>
    <w:rsid w:val="00B03153"/>
    <w:rsid w:val="00B03C1D"/>
    <w:rsid w:val="00B05DE4"/>
    <w:rsid w:val="00B1245E"/>
    <w:rsid w:val="00B22181"/>
    <w:rsid w:val="00B2218C"/>
    <w:rsid w:val="00B23BED"/>
    <w:rsid w:val="00B3180F"/>
    <w:rsid w:val="00B3479B"/>
    <w:rsid w:val="00B37882"/>
    <w:rsid w:val="00B437A0"/>
    <w:rsid w:val="00B43E42"/>
    <w:rsid w:val="00B45498"/>
    <w:rsid w:val="00B45D7E"/>
    <w:rsid w:val="00B46B0F"/>
    <w:rsid w:val="00B47101"/>
    <w:rsid w:val="00B5480B"/>
    <w:rsid w:val="00B55580"/>
    <w:rsid w:val="00B5669C"/>
    <w:rsid w:val="00B56B3B"/>
    <w:rsid w:val="00B609DE"/>
    <w:rsid w:val="00B64C8F"/>
    <w:rsid w:val="00B67074"/>
    <w:rsid w:val="00B67125"/>
    <w:rsid w:val="00B671CB"/>
    <w:rsid w:val="00B70986"/>
    <w:rsid w:val="00B721FE"/>
    <w:rsid w:val="00B73F1B"/>
    <w:rsid w:val="00B749C2"/>
    <w:rsid w:val="00B7656D"/>
    <w:rsid w:val="00B81080"/>
    <w:rsid w:val="00B847E5"/>
    <w:rsid w:val="00B874BE"/>
    <w:rsid w:val="00B92A32"/>
    <w:rsid w:val="00B92F1B"/>
    <w:rsid w:val="00B976A4"/>
    <w:rsid w:val="00B97DCD"/>
    <w:rsid w:val="00BA3415"/>
    <w:rsid w:val="00BA5871"/>
    <w:rsid w:val="00BA6E16"/>
    <w:rsid w:val="00BB17B5"/>
    <w:rsid w:val="00BB1D43"/>
    <w:rsid w:val="00BB4DB2"/>
    <w:rsid w:val="00BB69AC"/>
    <w:rsid w:val="00BC0009"/>
    <w:rsid w:val="00BC0CFB"/>
    <w:rsid w:val="00BC1C58"/>
    <w:rsid w:val="00BC7DEF"/>
    <w:rsid w:val="00BD2179"/>
    <w:rsid w:val="00BD2920"/>
    <w:rsid w:val="00BD447C"/>
    <w:rsid w:val="00BD5F8F"/>
    <w:rsid w:val="00BE1A65"/>
    <w:rsid w:val="00BE528E"/>
    <w:rsid w:val="00BE54EA"/>
    <w:rsid w:val="00BE5997"/>
    <w:rsid w:val="00BE5F39"/>
    <w:rsid w:val="00BE64C3"/>
    <w:rsid w:val="00BF30CC"/>
    <w:rsid w:val="00BF7C43"/>
    <w:rsid w:val="00C0015A"/>
    <w:rsid w:val="00C00392"/>
    <w:rsid w:val="00C00BAD"/>
    <w:rsid w:val="00C067BC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259E8"/>
    <w:rsid w:val="00C31237"/>
    <w:rsid w:val="00C3149F"/>
    <w:rsid w:val="00C32822"/>
    <w:rsid w:val="00C33655"/>
    <w:rsid w:val="00C36A1D"/>
    <w:rsid w:val="00C37AF3"/>
    <w:rsid w:val="00C43E35"/>
    <w:rsid w:val="00C475DB"/>
    <w:rsid w:val="00C522FA"/>
    <w:rsid w:val="00C63CC5"/>
    <w:rsid w:val="00C6448A"/>
    <w:rsid w:val="00C7203F"/>
    <w:rsid w:val="00C73FE7"/>
    <w:rsid w:val="00C74BFA"/>
    <w:rsid w:val="00C7578C"/>
    <w:rsid w:val="00C877AD"/>
    <w:rsid w:val="00C92651"/>
    <w:rsid w:val="00C97E3F"/>
    <w:rsid w:val="00CA06EF"/>
    <w:rsid w:val="00CA19C3"/>
    <w:rsid w:val="00CA2369"/>
    <w:rsid w:val="00CA58C2"/>
    <w:rsid w:val="00CB1AB0"/>
    <w:rsid w:val="00CB787C"/>
    <w:rsid w:val="00CB7992"/>
    <w:rsid w:val="00CC2FA0"/>
    <w:rsid w:val="00CC721B"/>
    <w:rsid w:val="00CC7BAB"/>
    <w:rsid w:val="00CD167E"/>
    <w:rsid w:val="00CD5ADF"/>
    <w:rsid w:val="00CD5C76"/>
    <w:rsid w:val="00CD76D2"/>
    <w:rsid w:val="00CE1A47"/>
    <w:rsid w:val="00CE52FC"/>
    <w:rsid w:val="00CE6210"/>
    <w:rsid w:val="00CF0883"/>
    <w:rsid w:val="00CF499A"/>
    <w:rsid w:val="00CF4A97"/>
    <w:rsid w:val="00CF5AA8"/>
    <w:rsid w:val="00D026E1"/>
    <w:rsid w:val="00D045AF"/>
    <w:rsid w:val="00D05681"/>
    <w:rsid w:val="00D05F68"/>
    <w:rsid w:val="00D105B7"/>
    <w:rsid w:val="00D11F05"/>
    <w:rsid w:val="00D134FE"/>
    <w:rsid w:val="00D15D0F"/>
    <w:rsid w:val="00D21A4D"/>
    <w:rsid w:val="00D2411C"/>
    <w:rsid w:val="00D24636"/>
    <w:rsid w:val="00D375FE"/>
    <w:rsid w:val="00D3770B"/>
    <w:rsid w:val="00D40C40"/>
    <w:rsid w:val="00D42D28"/>
    <w:rsid w:val="00D43C40"/>
    <w:rsid w:val="00D442A1"/>
    <w:rsid w:val="00D46165"/>
    <w:rsid w:val="00D5160E"/>
    <w:rsid w:val="00D60A48"/>
    <w:rsid w:val="00D61EA4"/>
    <w:rsid w:val="00D632A2"/>
    <w:rsid w:val="00D66E7B"/>
    <w:rsid w:val="00D70077"/>
    <w:rsid w:val="00D704F9"/>
    <w:rsid w:val="00D74FAE"/>
    <w:rsid w:val="00D8021D"/>
    <w:rsid w:val="00D815C4"/>
    <w:rsid w:val="00D86DAE"/>
    <w:rsid w:val="00D92E78"/>
    <w:rsid w:val="00D94503"/>
    <w:rsid w:val="00D94C93"/>
    <w:rsid w:val="00D95646"/>
    <w:rsid w:val="00D97207"/>
    <w:rsid w:val="00DA1F8D"/>
    <w:rsid w:val="00DA2B55"/>
    <w:rsid w:val="00DA4ABB"/>
    <w:rsid w:val="00DC349C"/>
    <w:rsid w:val="00DC473B"/>
    <w:rsid w:val="00DC6461"/>
    <w:rsid w:val="00DD4F37"/>
    <w:rsid w:val="00DD7EAF"/>
    <w:rsid w:val="00DE16F7"/>
    <w:rsid w:val="00DE3DE3"/>
    <w:rsid w:val="00DE60A9"/>
    <w:rsid w:val="00DF0851"/>
    <w:rsid w:val="00DF119D"/>
    <w:rsid w:val="00DF1D13"/>
    <w:rsid w:val="00DF2E4F"/>
    <w:rsid w:val="00DF3FE4"/>
    <w:rsid w:val="00DF6465"/>
    <w:rsid w:val="00E039A3"/>
    <w:rsid w:val="00E114A3"/>
    <w:rsid w:val="00E128AD"/>
    <w:rsid w:val="00E13318"/>
    <w:rsid w:val="00E21EF9"/>
    <w:rsid w:val="00E231D6"/>
    <w:rsid w:val="00E26B33"/>
    <w:rsid w:val="00E276C5"/>
    <w:rsid w:val="00E301BB"/>
    <w:rsid w:val="00E3383E"/>
    <w:rsid w:val="00E374A8"/>
    <w:rsid w:val="00E37EDC"/>
    <w:rsid w:val="00E418A3"/>
    <w:rsid w:val="00E41E32"/>
    <w:rsid w:val="00E41ECB"/>
    <w:rsid w:val="00E42E83"/>
    <w:rsid w:val="00E5002E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369"/>
    <w:rsid w:val="00EB0B52"/>
    <w:rsid w:val="00EB25C0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6AF0"/>
    <w:rsid w:val="00ED71CD"/>
    <w:rsid w:val="00ED7646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491"/>
    <w:rsid w:val="00F00BC9"/>
    <w:rsid w:val="00F05C7D"/>
    <w:rsid w:val="00F11694"/>
    <w:rsid w:val="00F134CE"/>
    <w:rsid w:val="00F13E22"/>
    <w:rsid w:val="00F17308"/>
    <w:rsid w:val="00F21160"/>
    <w:rsid w:val="00F260DE"/>
    <w:rsid w:val="00F262FB"/>
    <w:rsid w:val="00F30C2B"/>
    <w:rsid w:val="00F35D82"/>
    <w:rsid w:val="00F35DEC"/>
    <w:rsid w:val="00F37102"/>
    <w:rsid w:val="00F42C49"/>
    <w:rsid w:val="00F51295"/>
    <w:rsid w:val="00F52990"/>
    <w:rsid w:val="00F56460"/>
    <w:rsid w:val="00F57504"/>
    <w:rsid w:val="00F63D55"/>
    <w:rsid w:val="00F647AB"/>
    <w:rsid w:val="00F76698"/>
    <w:rsid w:val="00F76C57"/>
    <w:rsid w:val="00F819A1"/>
    <w:rsid w:val="00F83353"/>
    <w:rsid w:val="00F903CF"/>
    <w:rsid w:val="00F926B6"/>
    <w:rsid w:val="00F940D4"/>
    <w:rsid w:val="00F94705"/>
    <w:rsid w:val="00F95CB4"/>
    <w:rsid w:val="00F96E10"/>
    <w:rsid w:val="00FA26A5"/>
    <w:rsid w:val="00FA2B44"/>
    <w:rsid w:val="00FB0C98"/>
    <w:rsid w:val="00FB438D"/>
    <w:rsid w:val="00FB508C"/>
    <w:rsid w:val="00FB6F43"/>
    <w:rsid w:val="00FC65CA"/>
    <w:rsid w:val="00FD07DA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43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B190-E167-41D4-AE93-534ED352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2659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24</cp:revision>
  <cp:lastPrinted>2015-09-11T11:12:00Z</cp:lastPrinted>
  <dcterms:created xsi:type="dcterms:W3CDTF">2016-02-16T10:50:00Z</dcterms:created>
  <dcterms:modified xsi:type="dcterms:W3CDTF">2016-04-08T05:56:00Z</dcterms:modified>
</cp:coreProperties>
</file>