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C8" w:rsidRDefault="00901FC8" w:rsidP="00901FC8">
      <w:pPr>
        <w:pStyle w:val="Radadvodovzprva"/>
        <w:spacing w:after="240"/>
        <w:rPr>
          <w:rFonts w:cs="Arial"/>
          <w:sz w:val="24"/>
          <w:szCs w:val="24"/>
        </w:rPr>
      </w:pPr>
      <w:bookmarkStart w:id="0" w:name="_GoBack"/>
      <w:bookmarkEnd w:id="0"/>
      <w:r w:rsidRPr="00625939">
        <w:rPr>
          <w:rFonts w:cs="Arial"/>
          <w:sz w:val="24"/>
          <w:szCs w:val="24"/>
        </w:rPr>
        <w:t>Důvodová zpráva:</w:t>
      </w:r>
    </w:p>
    <w:p w:rsidR="00901FC8" w:rsidRPr="00625939" w:rsidRDefault="00901FC8" w:rsidP="00901FC8">
      <w:pPr>
        <w:pStyle w:val="Radadvodovzprva"/>
        <w:spacing w:after="120"/>
        <w:rPr>
          <w:rFonts w:cs="Arial"/>
          <w:b w:val="0"/>
          <w:sz w:val="24"/>
          <w:szCs w:val="24"/>
        </w:rPr>
      </w:pPr>
      <w:r w:rsidRPr="00625939">
        <w:rPr>
          <w:rFonts w:cs="Arial"/>
          <w:b w:val="0"/>
          <w:sz w:val="24"/>
          <w:szCs w:val="24"/>
        </w:rPr>
        <w:t>Regionální funkce knihoven upravuje zákon</w:t>
      </w:r>
      <w:r w:rsidRPr="00625939">
        <w:rPr>
          <w:rFonts w:cs="Arial"/>
          <w:b w:val="0"/>
          <w:i/>
          <w:sz w:val="24"/>
          <w:szCs w:val="24"/>
        </w:rPr>
        <w:t xml:space="preserve"> </w:t>
      </w:r>
      <w:r w:rsidRPr="00625939">
        <w:rPr>
          <w:rFonts w:cs="Arial"/>
          <w:b w:val="0"/>
          <w:sz w:val="24"/>
          <w:szCs w:val="24"/>
        </w:rPr>
        <w:t>č. 257/2001 Sb.,</w:t>
      </w:r>
      <w:r w:rsidRPr="00625939">
        <w:rPr>
          <w:rFonts w:cs="Arial"/>
          <w:b w:val="0"/>
          <w:i/>
          <w:sz w:val="24"/>
          <w:szCs w:val="24"/>
        </w:rPr>
        <w:t xml:space="preserve"> </w:t>
      </w:r>
      <w:r w:rsidRPr="00625939">
        <w:rPr>
          <w:rFonts w:cs="Arial"/>
          <w:b w:val="0"/>
          <w:sz w:val="24"/>
          <w:szCs w:val="24"/>
        </w:rPr>
        <w:t>o knihovnách a podmínkách provozování veřejných knihovnických a informačních služeb</w:t>
      </w:r>
      <w:r w:rsidRPr="00625939">
        <w:rPr>
          <w:rFonts w:cs="Arial"/>
          <w:b w:val="0"/>
          <w:i/>
          <w:sz w:val="24"/>
          <w:szCs w:val="24"/>
        </w:rPr>
        <w:t xml:space="preserve"> </w:t>
      </w:r>
      <w:r w:rsidRPr="00625939">
        <w:rPr>
          <w:rFonts w:cs="Arial"/>
          <w:b w:val="0"/>
          <w:sz w:val="24"/>
          <w:szCs w:val="24"/>
        </w:rPr>
        <w:t>(knihovní zákon), ve znění</w:t>
      </w:r>
      <w:r w:rsidRPr="00625939">
        <w:rPr>
          <w:rFonts w:cs="Arial"/>
          <w:b w:val="0"/>
          <w:i/>
          <w:sz w:val="24"/>
          <w:szCs w:val="24"/>
        </w:rPr>
        <w:t xml:space="preserve"> </w:t>
      </w:r>
      <w:r w:rsidRPr="00625939">
        <w:rPr>
          <w:rFonts w:cs="Arial"/>
          <w:b w:val="0"/>
          <w:sz w:val="24"/>
          <w:szCs w:val="24"/>
        </w:rPr>
        <w:t xml:space="preserve">pozdějších předpisů. V souladu s ust. </w:t>
      </w:r>
      <w:r w:rsidRPr="00656982">
        <w:rPr>
          <w:rFonts w:cs="Arial"/>
          <w:b w:val="0"/>
          <w:sz w:val="24"/>
          <w:szCs w:val="24"/>
        </w:rPr>
        <w:t xml:space="preserve">§ </w:t>
      </w:r>
      <w:r w:rsidRPr="00625939">
        <w:rPr>
          <w:rFonts w:cs="Arial"/>
          <w:b w:val="0"/>
          <w:sz w:val="24"/>
          <w:szCs w:val="24"/>
        </w:rPr>
        <w:t>11 odst. 3 knihovního</w:t>
      </w:r>
      <w:r w:rsidRPr="00625939">
        <w:rPr>
          <w:rFonts w:cs="Arial"/>
          <w:b w:val="0"/>
          <w:i/>
          <w:sz w:val="24"/>
          <w:szCs w:val="24"/>
        </w:rPr>
        <w:t xml:space="preserve"> </w:t>
      </w:r>
      <w:r w:rsidRPr="00625939">
        <w:rPr>
          <w:rFonts w:cs="Arial"/>
          <w:b w:val="0"/>
          <w:sz w:val="24"/>
          <w:szCs w:val="24"/>
        </w:rPr>
        <w:t>zákona</w:t>
      </w:r>
      <w:r w:rsidRPr="00625939">
        <w:rPr>
          <w:rFonts w:cs="Arial"/>
          <w:b w:val="0"/>
          <w:i/>
          <w:sz w:val="24"/>
          <w:szCs w:val="24"/>
        </w:rPr>
        <w:t xml:space="preserve"> </w:t>
      </w:r>
      <w:r w:rsidRPr="00625939">
        <w:rPr>
          <w:rFonts w:cs="Arial"/>
          <w:b w:val="0"/>
          <w:sz w:val="24"/>
          <w:szCs w:val="24"/>
        </w:rPr>
        <w:t xml:space="preserve">zajišťuje výkon regionálních funkcí příslušná krajská knihovna. </w:t>
      </w:r>
    </w:p>
    <w:p w:rsidR="00901FC8" w:rsidRDefault="00901FC8" w:rsidP="00901FC8">
      <w:pPr>
        <w:pStyle w:val="Radadvodovzprva"/>
        <w:spacing w:after="120"/>
        <w:rPr>
          <w:rFonts w:cs="Arial"/>
          <w:b w:val="0"/>
          <w:sz w:val="24"/>
          <w:szCs w:val="24"/>
        </w:rPr>
      </w:pPr>
      <w:r w:rsidRPr="00625939">
        <w:rPr>
          <w:rFonts w:cs="Arial"/>
          <w:b w:val="0"/>
          <w:sz w:val="24"/>
          <w:szCs w:val="24"/>
        </w:rPr>
        <w:t xml:space="preserve">V Olomouckém kraji plní regionální funkce Vědecká knihovna v Olomouci a od roku 2005 finančně zabezpečuje jejich plnění z peněžních prostředků svého rozpočtu Olomoucký kraj. </w:t>
      </w:r>
      <w:r>
        <w:rPr>
          <w:rFonts w:cs="Arial"/>
          <w:b w:val="0"/>
          <w:sz w:val="24"/>
          <w:szCs w:val="24"/>
        </w:rPr>
        <w:t xml:space="preserve">V souladu s knihovním zákonem může Vědecká knihovna </w:t>
      </w:r>
      <w:r w:rsidRPr="00625939">
        <w:rPr>
          <w:rFonts w:cs="Arial"/>
          <w:b w:val="0"/>
          <w:sz w:val="24"/>
          <w:szCs w:val="24"/>
        </w:rPr>
        <w:t>smluvně</w:t>
      </w:r>
      <w:r>
        <w:rPr>
          <w:rFonts w:cs="Arial"/>
          <w:b w:val="0"/>
          <w:sz w:val="24"/>
          <w:szCs w:val="24"/>
        </w:rPr>
        <w:t xml:space="preserve"> přenést</w:t>
      </w:r>
      <w:r w:rsidRPr="00625939">
        <w:rPr>
          <w:rFonts w:cs="Arial"/>
          <w:b w:val="0"/>
          <w:sz w:val="24"/>
          <w:szCs w:val="24"/>
        </w:rPr>
        <w:t xml:space="preserve"> působnost výkonu regionálních funkcí na vybrané základní knihovny. V Olomouckém kraji se jedná o Městskou knihovnu Lipník nad Bečvou, příspěvkovou organizací, Knihovnu města Olomouce, příspěvkovou organizací, Městskou knihovnu Prostějov, příspěvkovou organizací, Městskou knihovnu v Přerově, příspěvkovou organizací, Městskou knihovnu Šumperk, příspěvkovou organizaci. Městská knihovna Hranice se od 1. 1. 2015 stala součástí Městských kulturních zařízení Hranice, příspěvkové organizace a od 1. 1. 2016 došlo ke sloučení Knihovny Vincen</w:t>
      </w:r>
      <w:r w:rsidRPr="00D0486C">
        <w:rPr>
          <w:rFonts w:cs="Arial"/>
          <w:b w:val="0"/>
          <w:sz w:val="24"/>
          <w:szCs w:val="24"/>
        </w:rPr>
        <w:t xml:space="preserve">ze </w:t>
      </w:r>
      <w:r w:rsidRPr="00625939">
        <w:rPr>
          <w:rFonts w:cs="Arial"/>
          <w:b w:val="0"/>
          <w:sz w:val="24"/>
          <w:szCs w:val="24"/>
        </w:rPr>
        <w:t xml:space="preserve">Priessnitze v Jeseníku s Městskými kulturními zařízeními Jeseník (dále jen „pověřené knihovny“).  </w:t>
      </w:r>
    </w:p>
    <w:p w:rsidR="00901FC8" w:rsidRDefault="00901FC8" w:rsidP="00901FC8">
      <w:pPr>
        <w:pStyle w:val="Radadvodovzprva"/>
        <w:spacing w:after="120"/>
        <w:rPr>
          <w:b w:val="0"/>
          <w:sz w:val="24"/>
          <w:szCs w:val="24"/>
        </w:rPr>
      </w:pPr>
      <w:r w:rsidRPr="00604F2C">
        <w:rPr>
          <w:b w:val="0"/>
          <w:sz w:val="24"/>
          <w:szCs w:val="24"/>
        </w:rPr>
        <w:t>Olomoucký kraj v rámci rozpočtu pro rok 2016 vyčlenil pro financování výkonu regionálních funkcí částku 9 000 000 Kč. Objem účelových prostředků zůstal ve stejné výši</w:t>
      </w:r>
      <w:r>
        <w:rPr>
          <w:b w:val="0"/>
          <w:sz w:val="24"/>
          <w:szCs w:val="24"/>
        </w:rPr>
        <w:t xml:space="preserve"> </w:t>
      </w:r>
      <w:r w:rsidRPr="00604F2C">
        <w:rPr>
          <w:b w:val="0"/>
          <w:sz w:val="24"/>
          <w:szCs w:val="24"/>
        </w:rPr>
        <w:t xml:space="preserve">jako v roce 2015. </w:t>
      </w:r>
    </w:p>
    <w:p w:rsidR="00901FC8" w:rsidRPr="00604F2C" w:rsidRDefault="00901FC8" w:rsidP="00901FC8">
      <w:pPr>
        <w:pStyle w:val="Radadvodovzprva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Částka bude rozdělena mezi Vědeckou knihovnu v Olomouci a výše uvedené pověřené knihovny.</w:t>
      </w:r>
    </w:p>
    <w:p w:rsidR="00901FC8" w:rsidRPr="00161C59" w:rsidRDefault="00901FC8" w:rsidP="00901FC8">
      <w:pPr>
        <w:pStyle w:val="Radadvodovzprva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Vědecká knihovna obdrží </w:t>
      </w:r>
      <w:r w:rsidRPr="00604F2C">
        <w:rPr>
          <w:b w:val="0"/>
          <w:sz w:val="24"/>
          <w:szCs w:val="24"/>
        </w:rPr>
        <w:t>870 000</w:t>
      </w:r>
      <w:r w:rsidRPr="00604F2C">
        <w:rPr>
          <w:sz w:val="24"/>
          <w:szCs w:val="24"/>
        </w:rPr>
        <w:t> </w:t>
      </w:r>
      <w:r w:rsidRPr="00604F2C">
        <w:rPr>
          <w:b w:val="0"/>
          <w:sz w:val="24"/>
          <w:szCs w:val="24"/>
        </w:rPr>
        <w:t>Kč</w:t>
      </w:r>
      <w:r>
        <w:rPr>
          <w:b w:val="0"/>
          <w:sz w:val="24"/>
          <w:szCs w:val="24"/>
        </w:rPr>
        <w:t>, které použije na</w:t>
      </w:r>
      <w:r w:rsidRPr="00604F2C">
        <w:rPr>
          <w:b w:val="0"/>
          <w:sz w:val="24"/>
          <w:szCs w:val="24"/>
        </w:rPr>
        <w:t xml:space="preserve"> výkon standardních služeb na krajské úrovni, jako např. vzdělávání, porady a konzultace, rozbory, statistika a komplexní metodika v přímé vazbě na Národní knihovnu Praha, která je ze zákona pověřena celostátní koordinací regionálních funkcí.</w:t>
      </w:r>
      <w:r>
        <w:rPr>
          <w:b w:val="0"/>
          <w:sz w:val="24"/>
          <w:szCs w:val="24"/>
        </w:rPr>
        <w:t xml:space="preserve"> </w:t>
      </w:r>
      <w:r w:rsidRPr="006415C9">
        <w:rPr>
          <w:b w:val="0"/>
          <w:sz w:val="24"/>
          <w:szCs w:val="24"/>
        </w:rPr>
        <w:t>Vědecké knihovně budou finanční prostředky poskytnuty formou</w:t>
      </w:r>
      <w:r w:rsidRPr="006415C9">
        <w:rPr>
          <w:sz w:val="24"/>
          <w:szCs w:val="24"/>
        </w:rPr>
        <w:t xml:space="preserve"> </w:t>
      </w:r>
      <w:r w:rsidRPr="00161C59">
        <w:rPr>
          <w:rFonts w:cs="Arial"/>
          <w:b w:val="0"/>
          <w:sz w:val="24"/>
          <w:szCs w:val="24"/>
        </w:rPr>
        <w:t>účelově určeného příspěvku na zajištění regionální funkce knihovny.</w:t>
      </w:r>
    </w:p>
    <w:p w:rsidR="00901FC8" w:rsidRPr="006415C9" w:rsidRDefault="00901FC8" w:rsidP="00901FC8">
      <w:pPr>
        <w:pStyle w:val="Zkladntextodsazen"/>
        <w:ind w:left="0"/>
        <w:jc w:val="both"/>
        <w:rPr>
          <w:rFonts w:ascii="Arial" w:hAnsi="Arial"/>
        </w:rPr>
      </w:pPr>
      <w:r w:rsidRPr="00BC47B0">
        <w:rPr>
          <w:rFonts w:ascii="Arial" w:hAnsi="Arial"/>
        </w:rPr>
        <w:t xml:space="preserve">Částka 8 130 000 Kč bude rozdělena mezi pověřené knihovny, které si podaly individuální žádosti o dotaci z rozpočtu Olomouckého kraje. O individuální dotaci žádá žadatel v případě, že na účel dotace nebyl vypsán dotační program – dotační titul. O udělení dotace rozhodne příslušný orgán Olomouckého kraje. </w:t>
      </w:r>
      <w:r>
        <w:rPr>
          <w:rFonts w:ascii="Arial" w:hAnsi="Arial"/>
        </w:rPr>
        <w:t xml:space="preserve">Výše finančních prostředků požadovaných pověřenými knihovnami bude rozdělena na základě kritérií, která </w:t>
      </w:r>
      <w:r w:rsidRPr="00BC47B0">
        <w:rPr>
          <w:rFonts w:ascii="Arial" w:hAnsi="Arial"/>
        </w:rPr>
        <w:t xml:space="preserve">jsou použita v souladu s obecně přijatým doporučením dle Metodického pokynu k zajištění výkonu regionálních funkcí knihoven a jejich koordinaci na území České republiky vydaného Ministerstvem kultury v  roce 2012. Z částky, která představuje 55 % určených finančních prostředků, se stanoví průměrná částka připadající na jednoho obyvatele kraje. Ze zbývající části 45 % se 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</w:t>
      </w:r>
      <w:r w:rsidRPr="006415C9">
        <w:rPr>
          <w:rFonts w:ascii="Arial" w:hAnsi="Arial"/>
        </w:rPr>
        <w:t>V příloze č. 1 je přehled žádostí včetně informace o financování v roce 2015 a výše dotace navržená předkladatelem v roce 2016.</w:t>
      </w:r>
    </w:p>
    <w:p w:rsidR="00901FC8" w:rsidRPr="0022049B" w:rsidRDefault="00901FC8" w:rsidP="00901FC8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049B">
        <w:rPr>
          <w:rFonts w:ascii="Arial" w:hAnsi="Arial" w:cs="Arial"/>
        </w:rPr>
        <w:t xml:space="preserve">S pověřenými knihovnami uzavře Olomoucký kraj smlouvu o poskytnutí dotace (návrh </w:t>
      </w:r>
      <w:r w:rsidRPr="00161C59">
        <w:rPr>
          <w:rFonts w:ascii="Arial" w:hAnsi="Arial" w:cs="Arial"/>
        </w:rPr>
        <w:t xml:space="preserve">vzorové </w:t>
      </w:r>
      <w:r w:rsidRPr="0022049B">
        <w:rPr>
          <w:rFonts w:ascii="Arial" w:hAnsi="Arial" w:cs="Arial"/>
        </w:rPr>
        <w:t xml:space="preserve">smlouvy v Příloze č. 2). </w:t>
      </w:r>
      <w:r w:rsidRPr="0022049B">
        <w:rPr>
          <w:rFonts w:ascii="Arial" w:hAnsi="Arial" w:cs="Arial"/>
          <w:bCs/>
        </w:rPr>
        <w:t>Do této vzorové smlouvy bude doplněna u každého příjemce jeho identifikace</w:t>
      </w:r>
      <w:r>
        <w:rPr>
          <w:rFonts w:ascii="Arial" w:hAnsi="Arial" w:cs="Arial"/>
          <w:bCs/>
        </w:rPr>
        <w:t xml:space="preserve"> a</w:t>
      </w:r>
      <w:r w:rsidRPr="0022049B">
        <w:rPr>
          <w:rFonts w:ascii="Arial" w:hAnsi="Arial" w:cs="Arial"/>
          <w:bCs/>
        </w:rPr>
        <w:t xml:space="preserve"> schválená výše dotace</w:t>
      </w:r>
      <w:r>
        <w:rPr>
          <w:rFonts w:ascii="Arial" w:hAnsi="Arial" w:cs="Arial"/>
          <w:bCs/>
        </w:rPr>
        <w:t>.</w:t>
      </w:r>
      <w:r w:rsidRPr="0022049B">
        <w:rPr>
          <w:rFonts w:ascii="Arial" w:hAnsi="Arial" w:cs="Arial"/>
          <w:bCs/>
        </w:rPr>
        <w:t xml:space="preserve"> </w:t>
      </w:r>
    </w:p>
    <w:p w:rsidR="00901FC8" w:rsidRPr="0022049B" w:rsidRDefault="00901FC8" w:rsidP="00901FC8">
      <w:pPr>
        <w:pStyle w:val="Zkladntextodsazen"/>
        <w:ind w:left="0"/>
        <w:jc w:val="both"/>
        <w:rPr>
          <w:rFonts w:ascii="Arial" w:hAnsi="Arial" w:cs="Arial"/>
          <w:b/>
          <w:bCs/>
          <w:i/>
        </w:rPr>
      </w:pPr>
      <w:r w:rsidRPr="0022049B">
        <w:rPr>
          <w:rFonts w:ascii="Arial" w:hAnsi="Arial" w:cs="Arial"/>
        </w:rPr>
        <w:lastRenderedPageBreak/>
        <w:t>V souladu s § 28 odst. 12 zákona č. 250/2000 Sb., o rozpočtovýc</w:t>
      </w:r>
      <w:r w:rsidR="008A7D5B">
        <w:rPr>
          <w:rFonts w:ascii="Arial" w:hAnsi="Arial" w:cs="Arial"/>
        </w:rPr>
        <w:t xml:space="preserve">h pravidlech územních rozpočtů, </w:t>
      </w:r>
      <w:r w:rsidRPr="0022049B">
        <w:rPr>
          <w:rFonts w:ascii="Arial" w:hAnsi="Arial" w:cs="Arial"/>
        </w:rPr>
        <w:t xml:space="preserve">nestanoví-li zvláštní zákon jinak, rozpočet zřizovatele zprostředkovává vztah příspěvkové organizace mj. ke státnímu rozpočtu; jde-li o příspěvkovou organizaci zřízenou obcí, též k rozpočtu kraje. </w:t>
      </w:r>
      <w:r w:rsidRPr="0022049B">
        <w:rPr>
          <w:rFonts w:ascii="Arial" w:hAnsi="Arial" w:cs="Arial"/>
          <w:szCs w:val="20"/>
        </w:rPr>
        <w:t xml:space="preserve">Zákon č. 250/2000 Sb. ve znění pozdějších předpisů stanovuje pouze techniku toku peněz na příspěvkovou organizaci. </w:t>
      </w:r>
      <w:r w:rsidRPr="0022049B">
        <w:rPr>
          <w:rFonts w:ascii="Arial" w:hAnsi="Arial" w:cs="Arial"/>
        </w:rPr>
        <w:t xml:space="preserve">V souladu s rozpočtovými pravidly bude úhrada finančních prostředků provedena prostřednictvím bankovního účtu zřizovatele knihovny (města). Konečným příjemcem účelových finančních prostředků je pověřená knihovna.  </w:t>
      </w:r>
    </w:p>
    <w:p w:rsidR="00901FC8" w:rsidRDefault="00901FC8" w:rsidP="00901FC8">
      <w:pPr>
        <w:pStyle w:val="Radadvodovzprva"/>
        <w:spacing w:after="120"/>
        <w:rPr>
          <w:b w:val="0"/>
          <w:sz w:val="24"/>
          <w:szCs w:val="24"/>
        </w:rPr>
      </w:pPr>
      <w:r w:rsidRPr="00604F2C">
        <w:rPr>
          <w:b w:val="0"/>
          <w:sz w:val="24"/>
          <w:szCs w:val="24"/>
        </w:rPr>
        <w:t>Vyčleněná částka z rozpočtu Olomouckého kraje ve výši 9 000 000 Kč se navrhuje rozdělit podle daných kritérií takto:</w:t>
      </w:r>
    </w:p>
    <w:p w:rsidR="00901FC8" w:rsidRPr="00604F2C" w:rsidRDefault="00901FC8" w:rsidP="00901FC8">
      <w:pPr>
        <w:pStyle w:val="Radadvodovzprva"/>
        <w:spacing w:after="120"/>
        <w:rPr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118"/>
        <w:gridCol w:w="1843"/>
      </w:tblGrid>
      <w:tr w:rsidR="00901FC8" w:rsidRPr="00625939" w:rsidTr="004C5F38">
        <w:tc>
          <w:tcPr>
            <w:tcW w:w="4361" w:type="dxa"/>
            <w:shd w:val="clear" w:color="auto" w:fill="CBCBCB"/>
            <w:vAlign w:val="bottom"/>
          </w:tcPr>
          <w:p w:rsidR="00901FC8" w:rsidRPr="00625939" w:rsidRDefault="00901FC8" w:rsidP="004C5F38">
            <w:pPr>
              <w:pStyle w:val="Tabulkatuntext16nasted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Příjemce</w:t>
            </w:r>
          </w:p>
        </w:tc>
        <w:tc>
          <w:tcPr>
            <w:tcW w:w="3118" w:type="dxa"/>
            <w:shd w:val="clear" w:color="auto" w:fill="CBCBCB"/>
            <w:vAlign w:val="center"/>
          </w:tcPr>
          <w:p w:rsidR="00901FC8" w:rsidRPr="00625939" w:rsidRDefault="00901FC8" w:rsidP="004C5F38">
            <w:pPr>
              <w:pStyle w:val="Tabulkatuntext16nasted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zřizovatel</w:t>
            </w:r>
          </w:p>
        </w:tc>
        <w:tc>
          <w:tcPr>
            <w:tcW w:w="1843" w:type="dxa"/>
            <w:shd w:val="clear" w:color="auto" w:fill="CBCBCB"/>
            <w:vAlign w:val="center"/>
          </w:tcPr>
          <w:p w:rsidR="00901FC8" w:rsidRPr="00625939" w:rsidRDefault="00901FC8" w:rsidP="004C5F38">
            <w:pPr>
              <w:pStyle w:val="Tabulkatuntext16nasted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Kč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bottom"/>
          </w:tcPr>
          <w:p w:rsidR="00901FC8" w:rsidRPr="00625939" w:rsidRDefault="00901FC8" w:rsidP="004C5F38">
            <w:pPr>
              <w:pStyle w:val="Tabulkazkladntext"/>
              <w:spacing w:before="120" w:after="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 xml:space="preserve">Městská kulturní zařízení Hranice, </w:t>
            </w:r>
          </w:p>
          <w:p w:rsidR="00901FC8" w:rsidRPr="00625939" w:rsidRDefault="00901FC8" w:rsidP="004C5F38">
            <w:pPr>
              <w:pStyle w:val="Tabulkazkladntext"/>
              <w:spacing w:before="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p. o.</w:t>
            </w:r>
          </w:p>
          <w:p w:rsidR="00901FC8" w:rsidRPr="00601E87" w:rsidRDefault="00901FC8" w:rsidP="004C5F38">
            <w:pPr>
              <w:pStyle w:val="Textpoznpodarou"/>
              <w:jc w:val="both"/>
              <w:rPr>
                <w:rFonts w:ascii="Arial" w:hAnsi="Arial" w:cs="Arial"/>
              </w:rPr>
            </w:pPr>
            <w:r w:rsidRPr="00601E87">
              <w:rPr>
                <w:rFonts w:ascii="Arial" w:hAnsi="Arial" w:cs="Arial"/>
              </w:rPr>
              <w:t xml:space="preserve">Pozn.: </w:t>
            </w:r>
          </w:p>
          <w:p w:rsidR="00901FC8" w:rsidRPr="00625939" w:rsidRDefault="00901FC8" w:rsidP="004C5F38">
            <w:pPr>
              <w:pStyle w:val="Textpoznpodarou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E87">
              <w:rPr>
                <w:rFonts w:ascii="Arial" w:hAnsi="Arial" w:cs="Arial"/>
              </w:rPr>
              <w:t>Do 31. 12. 2014 byla příjemcem příspěvku na výkon regionálních funkcí Městská knihovna Hranice, p. o. Od 1. 1. 2015 se stala součástí Městských kulturních zařízení Hranice, příspěvkové organizace.</w:t>
            </w:r>
            <w:r w:rsidRPr="00625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město Hranice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548 384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bottom"/>
          </w:tcPr>
          <w:p w:rsidR="00901FC8" w:rsidRPr="00625939" w:rsidRDefault="00901FC8" w:rsidP="004C5F38">
            <w:pPr>
              <w:pStyle w:val="Tabulkazkladntext"/>
              <w:spacing w:before="12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 xml:space="preserve">Městská kulturní zařízení Jeseník, p. o.   </w:t>
            </w:r>
          </w:p>
          <w:p w:rsidR="00901FC8" w:rsidRPr="00601E87" w:rsidRDefault="00901FC8" w:rsidP="004C5F38">
            <w:pPr>
              <w:pStyle w:val="Textpoznpodarou"/>
              <w:jc w:val="both"/>
              <w:rPr>
                <w:rFonts w:ascii="Arial" w:hAnsi="Arial" w:cs="Arial"/>
              </w:rPr>
            </w:pPr>
            <w:r w:rsidRPr="00601E87">
              <w:rPr>
                <w:rFonts w:ascii="Arial" w:hAnsi="Arial" w:cs="Arial"/>
              </w:rPr>
              <w:t xml:space="preserve">Pozn.: </w:t>
            </w:r>
          </w:p>
          <w:p w:rsidR="00901FC8" w:rsidRPr="00625939" w:rsidRDefault="00901FC8" w:rsidP="004C5F38">
            <w:pPr>
              <w:pStyle w:val="Textpoznpodarou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E87">
              <w:rPr>
                <w:rFonts w:ascii="Arial" w:hAnsi="Arial" w:cs="Arial"/>
              </w:rPr>
              <w:t>Do 31. 12. 2015 byla příjemcem příspěvku na výkon regionálních funkcí Knihovna Vincence Priessnitze v Jeseníku, p. o. Od 1. 1. 2016 se stala součástí Městských kulturních zařízení Jeseník, příspěvkové organizace.</w:t>
            </w:r>
            <w:r w:rsidRPr="0062593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město Jeseník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521 897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Městská knihovna Lipník nad Bečvou, p. 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453 653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Knihovna města Olomouce, p. 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2 189 903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Městská knihovna Prostějov, p. 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1 655 221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Městská knihovna v Přerově, p. 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1 014 225</w:t>
            </w:r>
          </w:p>
        </w:tc>
      </w:tr>
      <w:tr w:rsidR="00901FC8" w:rsidRPr="00625939" w:rsidTr="004C5F38">
        <w:tc>
          <w:tcPr>
            <w:tcW w:w="4361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Městská knihovna Šumperk, p. 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město Šumperk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625939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25939">
              <w:rPr>
                <w:sz w:val="24"/>
                <w:szCs w:val="24"/>
              </w:rPr>
              <w:t>1 746 717</w:t>
            </w:r>
          </w:p>
        </w:tc>
      </w:tr>
      <w:tr w:rsidR="00901FC8" w:rsidRPr="007C1AB4" w:rsidTr="004C5F38">
        <w:tc>
          <w:tcPr>
            <w:tcW w:w="4361" w:type="dxa"/>
            <w:shd w:val="clear" w:color="auto" w:fill="auto"/>
            <w:vAlign w:val="center"/>
          </w:tcPr>
          <w:p w:rsidR="00901FC8" w:rsidRPr="007C1AB4" w:rsidRDefault="00901FC8" w:rsidP="004C5F38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7C1AB4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7C1AB4" w:rsidRDefault="00901FC8" w:rsidP="004C5F38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7C1AB4" w:rsidRDefault="00901FC8" w:rsidP="004C5F38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7C1AB4">
              <w:rPr>
                <w:b/>
                <w:sz w:val="24"/>
                <w:szCs w:val="24"/>
              </w:rPr>
              <w:fldChar w:fldCharType="begin"/>
            </w:r>
            <w:r w:rsidRPr="007C1AB4">
              <w:rPr>
                <w:b/>
                <w:sz w:val="24"/>
                <w:szCs w:val="24"/>
              </w:rPr>
              <w:instrText xml:space="preserve"> =SUM(ABOVE) </w:instrText>
            </w:r>
            <w:r w:rsidRPr="007C1AB4">
              <w:rPr>
                <w:b/>
                <w:sz w:val="24"/>
                <w:szCs w:val="24"/>
              </w:rPr>
              <w:fldChar w:fldCharType="separate"/>
            </w:r>
            <w:r w:rsidRPr="007C1AB4">
              <w:rPr>
                <w:b/>
                <w:noProof/>
                <w:sz w:val="24"/>
                <w:szCs w:val="24"/>
              </w:rPr>
              <w:t>8 130 000</w:t>
            </w:r>
            <w:r w:rsidRPr="007C1AB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01FC8" w:rsidRPr="001D063B" w:rsidTr="004C5F38">
        <w:tc>
          <w:tcPr>
            <w:tcW w:w="4361" w:type="dxa"/>
            <w:shd w:val="clear" w:color="auto" w:fill="auto"/>
            <w:vAlign w:val="center"/>
          </w:tcPr>
          <w:p w:rsidR="00901FC8" w:rsidRPr="001D063B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1D063B">
              <w:rPr>
                <w:sz w:val="24"/>
                <w:szCs w:val="24"/>
              </w:rPr>
              <w:t>Vědecká knihovna v Olomouci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1D063B" w:rsidRDefault="00901FC8" w:rsidP="004C5F38">
            <w:pPr>
              <w:pStyle w:val="Tabulkazkladntext"/>
              <w:jc w:val="left"/>
              <w:rPr>
                <w:sz w:val="24"/>
                <w:szCs w:val="24"/>
              </w:rPr>
            </w:pPr>
            <w:r w:rsidRPr="001D063B">
              <w:rPr>
                <w:sz w:val="24"/>
                <w:szCs w:val="24"/>
              </w:rPr>
              <w:t>Olomoucký kraj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1D063B" w:rsidRDefault="00901FC8" w:rsidP="004C5F38">
            <w:pPr>
              <w:pStyle w:val="Tabulkazkladntext"/>
              <w:jc w:val="right"/>
              <w:rPr>
                <w:sz w:val="24"/>
                <w:szCs w:val="24"/>
              </w:rPr>
            </w:pPr>
            <w:r w:rsidRPr="001D063B">
              <w:rPr>
                <w:sz w:val="24"/>
                <w:szCs w:val="24"/>
              </w:rPr>
              <w:t>870 000</w:t>
            </w:r>
          </w:p>
        </w:tc>
      </w:tr>
      <w:tr w:rsidR="00901FC8" w:rsidRPr="007C1AB4" w:rsidTr="004C5F38">
        <w:tc>
          <w:tcPr>
            <w:tcW w:w="4361" w:type="dxa"/>
            <w:shd w:val="clear" w:color="auto" w:fill="auto"/>
            <w:vAlign w:val="center"/>
          </w:tcPr>
          <w:p w:rsidR="00901FC8" w:rsidRPr="007C1AB4" w:rsidRDefault="00901FC8" w:rsidP="004C5F38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7C1AB4">
              <w:rPr>
                <w:b/>
                <w:sz w:val="24"/>
                <w:szCs w:val="24"/>
              </w:rPr>
              <w:t>elkem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FC8" w:rsidRPr="007C1AB4" w:rsidRDefault="00901FC8" w:rsidP="004C5F38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1FC8" w:rsidRPr="007C1AB4" w:rsidRDefault="00901FC8" w:rsidP="004C5F38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7C1AB4">
              <w:rPr>
                <w:b/>
                <w:sz w:val="24"/>
                <w:szCs w:val="24"/>
              </w:rPr>
              <w:t>9 000 000</w:t>
            </w:r>
            <w:r w:rsidRPr="007C1AB4">
              <w:rPr>
                <w:b/>
                <w:sz w:val="24"/>
                <w:szCs w:val="24"/>
              </w:rPr>
              <w:fldChar w:fldCharType="begin"/>
            </w:r>
            <w:r w:rsidRPr="007C1AB4">
              <w:rPr>
                <w:b/>
                <w:sz w:val="24"/>
                <w:szCs w:val="24"/>
              </w:rPr>
              <w:instrText xml:space="preserve"> sum(above) </w:instrText>
            </w:r>
            <w:r w:rsidRPr="007C1AB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901FC8" w:rsidRDefault="00901FC8" w:rsidP="00901FC8">
      <w:pPr>
        <w:pStyle w:val="Radadvodovzprva"/>
        <w:spacing w:after="120"/>
        <w:rPr>
          <w:rFonts w:cs="Arial"/>
          <w:b w:val="0"/>
          <w:color w:val="FF0000"/>
          <w:sz w:val="24"/>
          <w:szCs w:val="24"/>
        </w:rPr>
      </w:pPr>
    </w:p>
    <w:p w:rsidR="00901FC8" w:rsidRPr="00AD2ED4" w:rsidRDefault="00901FC8" w:rsidP="00901FC8">
      <w:pPr>
        <w:pStyle w:val="Zkladntextodsazen"/>
        <w:spacing w:before="120" w:after="240"/>
        <w:ind w:left="0"/>
        <w:jc w:val="both"/>
        <w:rPr>
          <w:rFonts w:ascii="Arial" w:eastAsiaTheme="minorHAnsi" w:hAnsi="Arial" w:cs="Arial"/>
          <w:lang w:eastAsia="en-US"/>
        </w:rPr>
      </w:pPr>
      <w:r w:rsidRPr="009120E1">
        <w:rPr>
          <w:rFonts w:ascii="Arial" w:eastAsiaTheme="minorHAnsi" w:hAnsi="Arial" w:cs="Arial"/>
          <w:lang w:eastAsia="en-US"/>
        </w:rPr>
        <w:t xml:space="preserve">Komise pro kulturu a památkovou péči Rady Olomouckého kraje </w:t>
      </w:r>
      <w:r>
        <w:rPr>
          <w:rFonts w:ascii="Arial" w:eastAsiaTheme="minorHAnsi" w:hAnsi="Arial" w:cs="Arial"/>
          <w:lang w:eastAsia="en-US"/>
        </w:rPr>
        <w:t xml:space="preserve">svým usnesením </w:t>
      </w:r>
      <w:r w:rsidRPr="00161C59">
        <w:rPr>
          <w:rFonts w:ascii="Arial" w:hAnsi="Arial" w:cs="Arial"/>
          <w:bCs/>
        </w:rPr>
        <w:t>UKK/24/4/2016</w:t>
      </w:r>
      <w:r>
        <w:rPr>
          <w:rFonts w:ascii="Arial" w:hAnsi="Arial" w:cs="Arial"/>
          <w:b/>
          <w:bCs/>
        </w:rPr>
        <w:t xml:space="preserve"> </w:t>
      </w:r>
      <w:r w:rsidRPr="00AD2ED4">
        <w:rPr>
          <w:rFonts w:ascii="Arial" w:eastAsiaTheme="minorHAnsi" w:hAnsi="Arial" w:cs="Arial"/>
          <w:lang w:eastAsia="en-US"/>
        </w:rPr>
        <w:t>ze dne 10. 3. 2016 schválila poskytnutí dotací na výkon regionálních funkcí na základě individuálních žádostí.</w:t>
      </w:r>
    </w:p>
    <w:p w:rsidR="00535EEE" w:rsidRPr="00656982" w:rsidRDefault="00535EEE" w:rsidP="00C921A1">
      <w:pPr>
        <w:pStyle w:val="Normal"/>
        <w:tabs>
          <w:tab w:val="left" w:pos="622"/>
        </w:tabs>
        <w:spacing w:after="119"/>
        <w:ind w:left="-42"/>
        <w:jc w:val="both"/>
        <w:rPr>
          <w:b/>
          <w:u w:val="single"/>
        </w:rPr>
      </w:pPr>
      <w:r w:rsidRPr="00656982">
        <w:rPr>
          <w:b/>
        </w:rPr>
        <w:lastRenderedPageBreak/>
        <w:t xml:space="preserve">Rada Olomouckého kraje </w:t>
      </w:r>
      <w:r w:rsidR="0014022F">
        <w:rPr>
          <w:b/>
        </w:rPr>
        <w:t xml:space="preserve">s odvoláním na své usnesení </w:t>
      </w:r>
      <w:r w:rsidR="00E741CB">
        <w:rPr>
          <w:b/>
        </w:rPr>
        <w:t xml:space="preserve">ze dne 7. 4. 2016 </w:t>
      </w:r>
      <w:r w:rsidRPr="00656982">
        <w:rPr>
          <w:b/>
        </w:rPr>
        <w:t xml:space="preserve">doporučuje Zastupitelstvu Olomouckého kraje </w:t>
      </w:r>
      <w:r w:rsidR="00C921A1" w:rsidRPr="00656982">
        <w:rPr>
          <w:b/>
        </w:rPr>
        <w:t>schválit poskytnutí dotací na zajištění regionálních funkcí knihoven příjemcům a ve výši dle důvodové zprávy</w:t>
      </w:r>
      <w:r w:rsidR="0014022F">
        <w:rPr>
          <w:b/>
        </w:rPr>
        <w:t xml:space="preserve"> a Přílohy č. 1 důvodové zprávy</w:t>
      </w:r>
      <w:r w:rsidR="00C921A1" w:rsidRPr="00656982">
        <w:rPr>
          <w:b/>
        </w:rPr>
        <w:t xml:space="preserve">, schválit uzavření veřejnoprávních smluv o poskytnutí dotací dle </w:t>
      </w:r>
      <w:r w:rsidR="0014022F">
        <w:rPr>
          <w:b/>
        </w:rPr>
        <w:t>Přílohy č. 2 důvodové zprávy a</w:t>
      </w:r>
      <w:r w:rsidR="00C921A1" w:rsidRPr="00656982">
        <w:rPr>
          <w:b/>
        </w:rPr>
        <w:t xml:space="preserve"> uložit Mgr. Radovanu Rašťákovi, náměstkovi hejtmana, podepsat </w:t>
      </w:r>
      <w:r w:rsidR="00656982" w:rsidRPr="00656982">
        <w:rPr>
          <w:b/>
        </w:rPr>
        <w:t>smlouvy o poskytnutí dotací.</w:t>
      </w:r>
    </w:p>
    <w:p w:rsidR="00535EEE" w:rsidRDefault="00535EEE" w:rsidP="00901FC8">
      <w:pPr>
        <w:pStyle w:val="Radabodschze"/>
        <w:spacing w:before="0" w:after="120"/>
        <w:rPr>
          <w:rFonts w:cs="Arial"/>
          <w:b w:val="0"/>
          <w:sz w:val="24"/>
          <w:szCs w:val="24"/>
          <w:u w:val="single"/>
        </w:rPr>
      </w:pPr>
    </w:p>
    <w:p w:rsidR="00535EEE" w:rsidRDefault="00535EEE" w:rsidP="00901FC8">
      <w:pPr>
        <w:pStyle w:val="Radabodschze"/>
        <w:spacing w:before="0" w:after="120"/>
        <w:rPr>
          <w:rFonts w:cs="Arial"/>
          <w:b w:val="0"/>
          <w:sz w:val="24"/>
          <w:szCs w:val="24"/>
          <w:u w:val="single"/>
        </w:rPr>
      </w:pPr>
    </w:p>
    <w:p w:rsidR="00535EEE" w:rsidRDefault="00535EEE" w:rsidP="00901FC8">
      <w:pPr>
        <w:pStyle w:val="Radabodschze"/>
        <w:spacing w:before="0" w:after="120"/>
        <w:rPr>
          <w:rFonts w:cs="Arial"/>
          <w:b w:val="0"/>
          <w:sz w:val="24"/>
          <w:szCs w:val="24"/>
          <w:u w:val="single"/>
        </w:rPr>
      </w:pPr>
    </w:p>
    <w:p w:rsidR="00901FC8" w:rsidRDefault="00901FC8" w:rsidP="00901FC8">
      <w:pPr>
        <w:pStyle w:val="Radabodschze"/>
        <w:spacing w:before="0" w:after="120"/>
        <w:rPr>
          <w:rFonts w:cs="Arial"/>
          <w:b w:val="0"/>
          <w:sz w:val="24"/>
          <w:szCs w:val="24"/>
          <w:u w:val="single"/>
        </w:rPr>
      </w:pPr>
      <w:r w:rsidRPr="00D0486C">
        <w:rPr>
          <w:rFonts w:cs="Arial"/>
          <w:b w:val="0"/>
          <w:sz w:val="24"/>
          <w:szCs w:val="24"/>
          <w:u w:val="single"/>
        </w:rPr>
        <w:t>Přílohy:</w:t>
      </w:r>
    </w:p>
    <w:p w:rsidR="00901FC8" w:rsidRPr="00625939" w:rsidRDefault="00901FC8" w:rsidP="00901FC8">
      <w:pPr>
        <w:rPr>
          <w:rFonts w:ascii="Arial" w:hAnsi="Arial" w:cs="Arial"/>
          <w:u w:val="single"/>
        </w:rPr>
      </w:pPr>
      <w:r w:rsidRPr="00625939">
        <w:rPr>
          <w:rFonts w:ascii="Arial" w:hAnsi="Arial" w:cs="Arial"/>
          <w:u w:val="single"/>
        </w:rPr>
        <w:t xml:space="preserve">Příloha č. 1 </w:t>
      </w:r>
    </w:p>
    <w:p w:rsidR="00901FC8" w:rsidRDefault="00901FC8" w:rsidP="00901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Tabulka žadatelů o poskytnutí dotací na regionální funkce v roce 2016 (str. 4)</w:t>
      </w:r>
    </w:p>
    <w:p w:rsidR="00901FC8" w:rsidRDefault="00901FC8" w:rsidP="00901FC8">
      <w:pPr>
        <w:jc w:val="both"/>
        <w:rPr>
          <w:rFonts w:ascii="Arial" w:hAnsi="Arial" w:cs="Arial"/>
        </w:rPr>
      </w:pPr>
    </w:p>
    <w:p w:rsidR="00901FC8" w:rsidRDefault="00901FC8" w:rsidP="00901FC8">
      <w:pPr>
        <w:rPr>
          <w:rFonts w:ascii="Arial" w:hAnsi="Arial" w:cs="Arial"/>
          <w:u w:val="single"/>
        </w:rPr>
      </w:pPr>
      <w:r w:rsidRPr="00625939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  <w:r w:rsidRPr="00625939">
        <w:rPr>
          <w:rFonts w:ascii="Arial" w:hAnsi="Arial" w:cs="Arial"/>
          <w:u w:val="single"/>
        </w:rPr>
        <w:t xml:space="preserve"> </w:t>
      </w:r>
    </w:p>
    <w:p w:rsidR="00901FC8" w:rsidRPr="00625939" w:rsidRDefault="00901FC8" w:rsidP="00901FC8">
      <w:pPr>
        <w:jc w:val="both"/>
        <w:rPr>
          <w:rFonts w:ascii="Arial" w:hAnsi="Arial" w:cs="Arial"/>
        </w:rPr>
      </w:pPr>
      <w:r w:rsidRPr="007B0A5E">
        <w:rPr>
          <w:rFonts w:ascii="Arial" w:hAnsi="Arial" w:cs="Arial"/>
        </w:rPr>
        <w:t xml:space="preserve">Vzorová veřejnoprávní smlouva o poskytnutí dotace na regionální funkce </w:t>
      </w:r>
      <w:r>
        <w:rPr>
          <w:rFonts w:ascii="Arial" w:hAnsi="Arial" w:cs="Arial"/>
        </w:rPr>
        <w:t>(str. 5 – 10)</w:t>
      </w:r>
    </w:p>
    <w:p w:rsidR="00901FC8" w:rsidRPr="00625939" w:rsidRDefault="00901FC8" w:rsidP="00901FC8">
      <w:pPr>
        <w:spacing w:after="120"/>
        <w:jc w:val="both"/>
        <w:rPr>
          <w:rFonts w:ascii="Arial" w:hAnsi="Arial" w:cs="Arial"/>
        </w:rPr>
      </w:pPr>
    </w:p>
    <w:p w:rsidR="00901FC8" w:rsidRPr="00625939" w:rsidRDefault="00901FC8" w:rsidP="00901FC8">
      <w:pPr>
        <w:spacing w:after="120"/>
        <w:jc w:val="both"/>
        <w:rPr>
          <w:rFonts w:ascii="Arial" w:hAnsi="Arial" w:cs="Arial"/>
        </w:rPr>
      </w:pPr>
    </w:p>
    <w:p w:rsidR="00901FC8" w:rsidRDefault="00901FC8" w:rsidP="00901FC8">
      <w:pPr>
        <w:spacing w:after="120"/>
        <w:jc w:val="both"/>
        <w:rPr>
          <w:rFonts w:ascii="Arial" w:hAnsi="Arial" w:cs="Arial"/>
        </w:rPr>
        <w:sectPr w:rsidR="00901FC8" w:rsidSect="00136BB4">
          <w:footerReference w:type="default" r:id="rId8"/>
          <w:pgSz w:w="11906" w:h="16838"/>
          <w:pgMar w:top="1134" w:right="1274" w:bottom="1417" w:left="1417" w:header="708" w:footer="0" w:gutter="0"/>
          <w:cols w:space="708"/>
          <w:docGrid w:linePitch="360"/>
        </w:sectPr>
      </w:pPr>
    </w:p>
    <w:p w:rsidR="00901FC8" w:rsidRPr="00733465" w:rsidRDefault="00901FC8" w:rsidP="00901FC8">
      <w:pPr>
        <w:tabs>
          <w:tab w:val="left" w:pos="1846"/>
          <w:tab w:val="left" w:pos="3701"/>
          <w:tab w:val="left" w:pos="6845"/>
          <w:tab w:val="left" w:pos="8117"/>
          <w:tab w:val="left" w:pos="8929"/>
          <w:tab w:val="left" w:pos="10171"/>
          <w:tab w:val="left" w:pos="11282"/>
          <w:tab w:val="left" w:pos="12388"/>
          <w:tab w:val="left" w:pos="13545"/>
        </w:tabs>
        <w:ind w:left="55"/>
        <w:rPr>
          <w:rFonts w:ascii="Tahoma" w:hAnsi="Tahoma" w:cs="Tahoma"/>
          <w:sz w:val="16"/>
          <w:szCs w:val="16"/>
        </w:rPr>
      </w:pPr>
      <w:r w:rsidRPr="00757069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 – </w:t>
      </w:r>
      <w:r w:rsidRPr="004D43C5">
        <w:rPr>
          <w:rFonts w:ascii="Arial" w:hAnsi="Arial" w:cs="Arial"/>
          <w:i/>
        </w:rPr>
        <w:t>Tabulka žadatelů o poskytnutí dotací na regionální funkce v roce 2016</w:t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  <w:r w:rsidRPr="00733465">
        <w:rPr>
          <w:rFonts w:ascii="Tahoma" w:hAnsi="Tahoma" w:cs="Tahoma"/>
          <w:sz w:val="16"/>
          <w:szCs w:val="16"/>
        </w:rPr>
        <w:tab/>
      </w:r>
    </w:p>
    <w:p w:rsidR="00901FC8" w:rsidRDefault="00901FC8" w:rsidP="00901FC8">
      <w:pPr>
        <w:jc w:val="both"/>
        <w:rPr>
          <w:rFonts w:ascii="Arial" w:hAnsi="Arial" w:cs="Arial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817"/>
        <w:gridCol w:w="5245"/>
        <w:gridCol w:w="2740"/>
        <w:gridCol w:w="2740"/>
        <w:gridCol w:w="2741"/>
      </w:tblGrid>
      <w:tr w:rsidR="00901FC8" w:rsidRPr="00296731" w:rsidTr="004C5F38">
        <w:tc>
          <w:tcPr>
            <w:tcW w:w="817" w:type="dxa"/>
            <w:vAlign w:val="center"/>
          </w:tcPr>
          <w:p w:rsidR="00901FC8" w:rsidRPr="00296731" w:rsidRDefault="00901FC8" w:rsidP="004C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731">
              <w:rPr>
                <w:rFonts w:ascii="Arial" w:hAnsi="Arial" w:cs="Arial"/>
                <w:sz w:val="20"/>
                <w:szCs w:val="20"/>
              </w:rPr>
              <w:t>Poř. č.</w:t>
            </w:r>
          </w:p>
        </w:tc>
        <w:tc>
          <w:tcPr>
            <w:tcW w:w="5245" w:type="dxa"/>
            <w:vAlign w:val="center"/>
          </w:tcPr>
          <w:p w:rsidR="00901FC8" w:rsidRPr="00296731" w:rsidRDefault="00901FC8" w:rsidP="004C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731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2740" w:type="dxa"/>
            <w:vAlign w:val="center"/>
          </w:tcPr>
          <w:p w:rsidR="00901FC8" w:rsidRDefault="00901FC8" w:rsidP="004C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E1">
              <w:rPr>
                <w:rFonts w:ascii="Arial" w:hAnsi="Arial" w:cs="Arial"/>
                <w:sz w:val="20"/>
                <w:szCs w:val="20"/>
              </w:rPr>
              <w:t xml:space="preserve">Požadovaná </w:t>
            </w:r>
            <w:r w:rsidRPr="000555B8">
              <w:rPr>
                <w:rFonts w:ascii="Arial" w:hAnsi="Arial" w:cs="Arial"/>
                <w:sz w:val="20"/>
                <w:szCs w:val="20"/>
              </w:rPr>
              <w:t xml:space="preserve">výše dotace  </w:t>
            </w:r>
          </w:p>
          <w:p w:rsidR="00901FC8" w:rsidRPr="00296731" w:rsidRDefault="00901FC8" w:rsidP="004C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E1">
              <w:rPr>
                <w:rFonts w:ascii="Arial" w:hAnsi="Arial" w:cs="Arial"/>
                <w:sz w:val="20"/>
                <w:szCs w:val="20"/>
              </w:rPr>
              <w:t>z rozpočtu OK na rok 2016</w:t>
            </w:r>
          </w:p>
        </w:tc>
        <w:tc>
          <w:tcPr>
            <w:tcW w:w="2740" w:type="dxa"/>
            <w:vAlign w:val="center"/>
          </w:tcPr>
          <w:p w:rsidR="00901FC8" w:rsidRPr="00296731" w:rsidRDefault="00901FC8" w:rsidP="004C5F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55B8">
              <w:rPr>
                <w:rFonts w:ascii="Arial" w:hAnsi="Arial" w:cs="Arial"/>
                <w:sz w:val="20"/>
                <w:szCs w:val="20"/>
              </w:rPr>
              <w:t>Navrhovaná výše dotace z rozpočtu</w:t>
            </w:r>
            <w:r w:rsidRPr="002967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OK na rok 2016 v Kč</w:t>
            </w:r>
          </w:p>
        </w:tc>
        <w:tc>
          <w:tcPr>
            <w:tcW w:w="2741" w:type="dxa"/>
            <w:vAlign w:val="center"/>
          </w:tcPr>
          <w:p w:rsidR="00901FC8" w:rsidRPr="00296731" w:rsidRDefault="00901FC8" w:rsidP="004C5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731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>
              <w:rPr>
                <w:rFonts w:ascii="Arial" w:hAnsi="Arial" w:cs="Arial"/>
                <w:sz w:val="20"/>
                <w:szCs w:val="20"/>
              </w:rPr>
              <w:t xml:space="preserve">poskytnuté </w:t>
            </w:r>
            <w:r w:rsidRPr="00296731">
              <w:rPr>
                <w:rFonts w:ascii="Arial" w:hAnsi="Arial" w:cs="Arial"/>
                <w:sz w:val="20"/>
                <w:szCs w:val="20"/>
              </w:rPr>
              <w:t>v roce 2015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spacing w:before="120" w:after="120"/>
              <w:rPr>
                <w:rFonts w:ascii="Arial" w:hAnsi="Arial" w:cs="Arial"/>
              </w:rPr>
            </w:pPr>
            <w:r w:rsidRPr="00533107">
              <w:rPr>
                <w:rFonts w:ascii="Arial" w:hAnsi="Arial" w:cs="Arial"/>
              </w:rPr>
              <w:t>Městská kulturní zařízení Hranice, p. o.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548 </w:t>
            </w:r>
            <w:r w:rsidRPr="00533107">
              <w:rPr>
                <w:rFonts w:ascii="Arial" w:hAnsi="Arial" w:cs="Arial"/>
              </w:rPr>
              <w:t>384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548 </w:t>
            </w:r>
            <w:r w:rsidRPr="00533107">
              <w:rPr>
                <w:rFonts w:ascii="Arial" w:hAnsi="Arial" w:cs="Arial"/>
              </w:rPr>
              <w:t>384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549 721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pStyle w:val="Tabulkazkladntext"/>
              <w:spacing w:before="120" w:after="120"/>
              <w:rPr>
                <w:sz w:val="24"/>
                <w:szCs w:val="24"/>
              </w:rPr>
            </w:pPr>
            <w:r w:rsidRPr="00533107">
              <w:rPr>
                <w:sz w:val="24"/>
                <w:szCs w:val="24"/>
              </w:rPr>
              <w:t xml:space="preserve">Městská kulturní zařízení Jeseník, p. o.   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521 </w:t>
            </w:r>
            <w:r w:rsidRPr="00533107">
              <w:rPr>
                <w:rFonts w:ascii="Arial" w:hAnsi="Arial" w:cs="Arial"/>
              </w:rPr>
              <w:t>897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521 </w:t>
            </w:r>
            <w:r w:rsidRPr="00533107">
              <w:rPr>
                <w:rFonts w:ascii="Arial" w:hAnsi="Arial" w:cs="Arial"/>
              </w:rPr>
              <w:t>897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522 908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tabs>
                <w:tab w:val="left" w:pos="1260"/>
              </w:tabs>
              <w:spacing w:before="120" w:after="120"/>
              <w:rPr>
                <w:rFonts w:ascii="Arial" w:hAnsi="Arial" w:cs="Arial"/>
              </w:rPr>
            </w:pPr>
            <w:r w:rsidRPr="00533107">
              <w:rPr>
                <w:rFonts w:ascii="Arial" w:hAnsi="Arial" w:cs="Arial"/>
              </w:rPr>
              <w:t>Městská knihovna Lipník nad Bečvou, p. o.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453 </w:t>
            </w:r>
            <w:r w:rsidRPr="00533107">
              <w:rPr>
                <w:rFonts w:ascii="Arial" w:hAnsi="Arial" w:cs="Arial"/>
              </w:rPr>
              <w:t>653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453 </w:t>
            </w:r>
            <w:r w:rsidRPr="00533107">
              <w:rPr>
                <w:rFonts w:ascii="Arial" w:hAnsi="Arial" w:cs="Arial"/>
              </w:rPr>
              <w:t>653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459 802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spacing w:before="120" w:after="120"/>
              <w:rPr>
                <w:rFonts w:ascii="Arial" w:hAnsi="Arial" w:cs="Arial"/>
              </w:rPr>
            </w:pPr>
            <w:r w:rsidRPr="00533107">
              <w:rPr>
                <w:rFonts w:ascii="Arial" w:hAnsi="Arial" w:cs="Arial"/>
              </w:rPr>
              <w:t>Knihovna města Olomouce, p. o.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2 189 </w:t>
            </w:r>
            <w:r w:rsidRPr="00533107">
              <w:rPr>
                <w:rFonts w:ascii="Arial" w:hAnsi="Arial" w:cs="Arial"/>
              </w:rPr>
              <w:t>903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2 189 </w:t>
            </w:r>
            <w:r w:rsidRPr="00533107">
              <w:rPr>
                <w:rFonts w:ascii="Arial" w:hAnsi="Arial" w:cs="Arial"/>
              </w:rPr>
              <w:t>903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2 179 558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spacing w:before="120" w:after="120"/>
              <w:rPr>
                <w:rFonts w:ascii="Arial" w:hAnsi="Arial" w:cs="Arial"/>
              </w:rPr>
            </w:pPr>
            <w:r w:rsidRPr="00533107">
              <w:rPr>
                <w:rFonts w:ascii="Arial" w:hAnsi="Arial" w:cs="Arial"/>
              </w:rPr>
              <w:t>Městská knihovna Prostějov, p. o.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1 655 </w:t>
            </w:r>
            <w:r w:rsidRPr="00533107">
              <w:rPr>
                <w:rFonts w:ascii="Arial" w:hAnsi="Arial" w:cs="Arial"/>
              </w:rPr>
              <w:t>221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1 655 </w:t>
            </w:r>
            <w:r w:rsidRPr="00533107">
              <w:rPr>
                <w:rFonts w:ascii="Arial" w:hAnsi="Arial" w:cs="Arial"/>
              </w:rPr>
              <w:t>221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1 651 665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tabs>
                <w:tab w:val="left" w:pos="3270"/>
              </w:tabs>
              <w:spacing w:before="120" w:after="120"/>
              <w:rPr>
                <w:rFonts w:ascii="Arial" w:hAnsi="Arial" w:cs="Arial"/>
              </w:rPr>
            </w:pPr>
            <w:r w:rsidRPr="00533107">
              <w:rPr>
                <w:rFonts w:ascii="Arial" w:hAnsi="Arial" w:cs="Arial"/>
              </w:rPr>
              <w:t>Městská knihovna v Přerově, p. o.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1 014 </w:t>
            </w:r>
            <w:r w:rsidRPr="00533107">
              <w:rPr>
                <w:rFonts w:ascii="Arial" w:hAnsi="Arial" w:cs="Arial"/>
              </w:rPr>
              <w:t>225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1 014 </w:t>
            </w:r>
            <w:r w:rsidRPr="00533107">
              <w:rPr>
                <w:rFonts w:ascii="Arial" w:hAnsi="Arial" w:cs="Arial"/>
              </w:rPr>
              <w:t>225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1 010 692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901FC8">
            <w:pPr>
              <w:pStyle w:val="Odstavecseseznamem"/>
              <w:numPr>
                <w:ilvl w:val="0"/>
                <w:numId w:val="6"/>
              </w:numPr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spacing w:before="120" w:after="120"/>
              <w:rPr>
                <w:rFonts w:ascii="Arial" w:hAnsi="Arial" w:cs="Arial"/>
              </w:rPr>
            </w:pPr>
            <w:r w:rsidRPr="00533107">
              <w:rPr>
                <w:rFonts w:ascii="Arial" w:hAnsi="Arial" w:cs="Arial"/>
              </w:rPr>
              <w:t>Městská knihovna Šumperk, p. o.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1 746 </w:t>
            </w:r>
            <w:r w:rsidRPr="00533107">
              <w:rPr>
                <w:rFonts w:ascii="Arial" w:hAnsi="Arial" w:cs="Arial"/>
              </w:rPr>
              <w:t>717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1 746 </w:t>
            </w:r>
            <w:r w:rsidRPr="00533107">
              <w:rPr>
                <w:rFonts w:ascii="Arial" w:hAnsi="Arial" w:cs="Arial"/>
              </w:rPr>
              <w:t>717</w:t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bCs/>
                <w:sz w:val="24"/>
                <w:szCs w:val="24"/>
              </w:rPr>
              <w:t>1 755 654</w:t>
            </w:r>
          </w:p>
        </w:tc>
      </w:tr>
      <w:tr w:rsidR="00901FC8" w:rsidRPr="00533107" w:rsidTr="004C5F38">
        <w:tc>
          <w:tcPr>
            <w:tcW w:w="817" w:type="dxa"/>
          </w:tcPr>
          <w:p w:rsidR="00901FC8" w:rsidRPr="00533107" w:rsidRDefault="00901FC8" w:rsidP="004C5F38">
            <w:pPr>
              <w:pStyle w:val="Odstavecseseznamem"/>
              <w:spacing w:before="120" w:after="120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1FC8" w:rsidRPr="00533107" w:rsidRDefault="00901FC8" w:rsidP="004C5F3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8 130 000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40" w:type="dxa"/>
          </w:tcPr>
          <w:p w:rsidR="00901FC8" w:rsidRPr="00533107" w:rsidRDefault="00901FC8" w:rsidP="004C5F3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8 130 000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901FC8" w:rsidRPr="002A241C" w:rsidRDefault="00901FC8" w:rsidP="004C5F38">
            <w:pPr>
              <w:pStyle w:val="Tabulkazkladntext"/>
              <w:jc w:val="center"/>
              <w:rPr>
                <w:sz w:val="24"/>
                <w:szCs w:val="24"/>
              </w:rPr>
            </w:pPr>
            <w:r w:rsidRPr="002A241C">
              <w:rPr>
                <w:sz w:val="24"/>
                <w:szCs w:val="24"/>
              </w:rPr>
              <w:fldChar w:fldCharType="begin"/>
            </w:r>
            <w:r w:rsidRPr="002A241C">
              <w:rPr>
                <w:sz w:val="24"/>
                <w:szCs w:val="24"/>
              </w:rPr>
              <w:instrText xml:space="preserve"> =SUM(ABOVE) </w:instrText>
            </w:r>
            <w:r w:rsidRPr="002A241C">
              <w:rPr>
                <w:sz w:val="24"/>
                <w:szCs w:val="24"/>
              </w:rPr>
              <w:fldChar w:fldCharType="end"/>
            </w:r>
            <w:r w:rsidRPr="002A241C">
              <w:rPr>
                <w:sz w:val="24"/>
                <w:szCs w:val="24"/>
              </w:rPr>
              <w:fldChar w:fldCharType="begin"/>
            </w:r>
            <w:r w:rsidRPr="002A241C">
              <w:rPr>
                <w:sz w:val="24"/>
                <w:szCs w:val="24"/>
              </w:rPr>
              <w:instrText xml:space="preserve"> =SUM(ABOVE) </w:instrText>
            </w:r>
            <w:r w:rsidRPr="002A241C">
              <w:rPr>
                <w:sz w:val="24"/>
                <w:szCs w:val="24"/>
              </w:rPr>
              <w:fldChar w:fldCharType="separate"/>
            </w:r>
            <w:r w:rsidRPr="002A241C">
              <w:rPr>
                <w:noProof/>
                <w:sz w:val="24"/>
                <w:szCs w:val="24"/>
              </w:rPr>
              <w:t>8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2A241C">
              <w:rPr>
                <w:noProof/>
                <w:sz w:val="24"/>
                <w:szCs w:val="24"/>
              </w:rPr>
              <w:t>130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2A241C">
              <w:rPr>
                <w:noProof/>
                <w:sz w:val="24"/>
                <w:szCs w:val="24"/>
              </w:rPr>
              <w:t>000</w:t>
            </w:r>
            <w:r w:rsidRPr="002A241C">
              <w:rPr>
                <w:sz w:val="24"/>
                <w:szCs w:val="24"/>
              </w:rPr>
              <w:fldChar w:fldCharType="end"/>
            </w:r>
          </w:p>
        </w:tc>
      </w:tr>
    </w:tbl>
    <w:p w:rsidR="00901FC8" w:rsidRDefault="00901FC8" w:rsidP="00901FC8">
      <w:pPr>
        <w:spacing w:after="120"/>
        <w:jc w:val="both"/>
        <w:rPr>
          <w:rFonts w:ascii="Arial" w:hAnsi="Arial" w:cs="Arial"/>
        </w:rPr>
        <w:sectPr w:rsidR="00901FC8" w:rsidSect="00757069">
          <w:headerReference w:type="default" r:id="rId9"/>
          <w:footerReference w:type="default" r:id="rId10"/>
          <w:pgSz w:w="16838" w:h="11906" w:orient="landscape"/>
          <w:pgMar w:top="1274" w:right="1417" w:bottom="1417" w:left="1134" w:header="708" w:footer="708" w:gutter="0"/>
          <w:cols w:space="708"/>
          <w:docGrid w:linePitch="360"/>
        </w:sectPr>
      </w:pPr>
    </w:p>
    <w:p w:rsidR="00901FC8" w:rsidRPr="00F77B55" w:rsidRDefault="00901FC8" w:rsidP="00901FC8">
      <w:pPr>
        <w:pStyle w:val="Zkladntext"/>
        <w:spacing w:after="240"/>
        <w:jc w:val="center"/>
      </w:pPr>
      <w:r>
        <w:rPr>
          <w:rFonts w:cs="Arial"/>
          <w:b/>
          <w:bCs w:val="0"/>
          <w:caps/>
          <w:szCs w:val="24"/>
          <w:lang w:eastAsia="cs-CZ"/>
        </w:rPr>
        <w:t xml:space="preserve">vzor </w:t>
      </w:r>
      <w:r w:rsidRPr="00D6708B">
        <w:rPr>
          <w:rFonts w:cs="Arial"/>
          <w:b/>
          <w:bCs w:val="0"/>
          <w:caps/>
          <w:szCs w:val="24"/>
          <w:lang w:eastAsia="cs-CZ"/>
        </w:rPr>
        <w:t>veřejnoprávní smlouvy o poskytnutí dotace na</w:t>
      </w:r>
      <w:r>
        <w:rPr>
          <w:rFonts w:cs="Arial"/>
          <w:b/>
          <w:bCs w:val="0"/>
          <w:caps/>
          <w:szCs w:val="24"/>
          <w:lang w:eastAsia="cs-CZ"/>
        </w:rPr>
        <w:t xml:space="preserve"> regionální funkce</w:t>
      </w:r>
    </w:p>
    <w:p w:rsidR="00901FC8" w:rsidRDefault="00901FC8" w:rsidP="00901FC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73D63">
        <w:rPr>
          <w:rFonts w:ascii="Arial" w:hAnsi="Arial" w:cs="Arial"/>
          <w:b/>
          <w:bCs/>
          <w:sz w:val="28"/>
          <w:szCs w:val="28"/>
        </w:rPr>
        <w:t xml:space="preserve">Smlouva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:rsidR="00901FC8" w:rsidRPr="000E336E" w:rsidRDefault="00901FC8" w:rsidP="00901FC8">
      <w:pPr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901FC8" w:rsidRPr="000E336E" w:rsidRDefault="00901FC8" w:rsidP="00901FC8">
      <w:pPr>
        <w:jc w:val="center"/>
        <w:outlineLvl w:val="0"/>
        <w:rPr>
          <w:rFonts w:ascii="Arial" w:hAnsi="Arial" w:cs="Arial"/>
          <w:b/>
          <w:bCs/>
        </w:rPr>
      </w:pPr>
    </w:p>
    <w:p w:rsidR="00901FC8" w:rsidRPr="000E336E" w:rsidRDefault="00901FC8" w:rsidP="00901FC8">
      <w:pPr>
        <w:jc w:val="both"/>
        <w:rPr>
          <w:rFonts w:ascii="Arial" w:hAnsi="Arial" w:cs="Arial"/>
        </w:rPr>
      </w:pPr>
    </w:p>
    <w:p w:rsidR="00901FC8" w:rsidRPr="000E336E" w:rsidRDefault="00901FC8" w:rsidP="00901FC8">
      <w:pPr>
        <w:jc w:val="both"/>
        <w:outlineLvl w:val="0"/>
        <w:rPr>
          <w:rFonts w:ascii="Arial" w:hAnsi="Arial" w:cs="Arial"/>
          <w:b/>
          <w:bCs/>
        </w:rPr>
      </w:pPr>
    </w:p>
    <w:p w:rsidR="00901FC8" w:rsidRPr="000E336E" w:rsidRDefault="00901FC8" w:rsidP="00901FC8">
      <w:pPr>
        <w:jc w:val="both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Olomoucký kraj</w:t>
      </w:r>
    </w:p>
    <w:p w:rsidR="00901FC8" w:rsidRPr="000E336E" w:rsidRDefault="00901FC8" w:rsidP="00901FC8">
      <w:pPr>
        <w:jc w:val="both"/>
        <w:outlineLvl w:val="0"/>
        <w:rPr>
          <w:rFonts w:ascii="Arial" w:hAnsi="Arial" w:cs="Arial"/>
        </w:rPr>
      </w:pPr>
      <w:r w:rsidRPr="000E336E">
        <w:rPr>
          <w:rFonts w:ascii="Arial" w:hAnsi="Arial" w:cs="Arial"/>
        </w:rPr>
        <w:t>Jeremenkova 40a, 779 11 Olomouc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IČ: 60609460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DIČ: CZ60609460</w:t>
      </w:r>
    </w:p>
    <w:p w:rsidR="00901FC8" w:rsidRPr="000E336E" w:rsidRDefault="00901FC8" w:rsidP="00901FC8">
      <w:pPr>
        <w:ind w:left="1410" w:hanging="141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Zastoupený: </w:t>
      </w:r>
      <w:r w:rsidRPr="000E336E">
        <w:rPr>
          <w:rFonts w:ascii="Arial" w:hAnsi="Arial" w:cs="Arial"/>
        </w:rPr>
        <w:tab/>
        <w:t>Mgr. Radovanem Rašťákem, náměstkem  hejtmana, na základě pověření hejtmana Olomouckého kraje ze dne 19. 11. 2012</w:t>
      </w:r>
    </w:p>
    <w:p w:rsidR="00901FC8" w:rsidRPr="000E336E" w:rsidRDefault="00901FC8" w:rsidP="00901FC8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Bankovní spojení: 27-4228120277/0100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(dále jen: </w:t>
      </w:r>
      <w:r w:rsidRPr="000E336E">
        <w:rPr>
          <w:rFonts w:ascii="Arial" w:hAnsi="Arial" w:cs="Arial"/>
          <w:b/>
          <w:bCs/>
        </w:rPr>
        <w:t>poskytovatel</w:t>
      </w:r>
      <w:r w:rsidRPr="000E336E">
        <w:rPr>
          <w:rFonts w:ascii="Arial" w:hAnsi="Arial" w:cs="Arial"/>
        </w:rPr>
        <w:t>)</w:t>
      </w:r>
    </w:p>
    <w:p w:rsidR="00901FC8" w:rsidRPr="000E336E" w:rsidRDefault="00901FC8" w:rsidP="00901FC8">
      <w:pPr>
        <w:spacing w:before="240" w:after="2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a</w:t>
      </w:r>
    </w:p>
    <w:p w:rsidR="00901FC8" w:rsidRPr="000E336E" w:rsidRDefault="00901FC8" w:rsidP="00901FC8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Název: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se sídlem: 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IČ: 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Zastoupená: 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>(statutární zástupce organizace)</w:t>
      </w:r>
    </w:p>
    <w:p w:rsidR="00901FC8" w:rsidRPr="000E336E" w:rsidRDefault="00901FC8" w:rsidP="00901FC8">
      <w:pPr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901FC8" w:rsidRPr="000E336E" w:rsidRDefault="00901FC8" w:rsidP="00901FC8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Zapsaná: 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Zřizovatel:</w:t>
      </w:r>
    </w:p>
    <w:p w:rsidR="00901FC8" w:rsidRPr="000E336E" w:rsidRDefault="00901FC8" w:rsidP="00901FC8">
      <w:pPr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se sídlem:</w:t>
      </w:r>
    </w:p>
    <w:p w:rsidR="00901FC8" w:rsidRPr="000E336E" w:rsidRDefault="00901FC8" w:rsidP="00901FC8">
      <w:pPr>
        <w:jc w:val="both"/>
        <w:rPr>
          <w:rFonts w:ascii="Arial" w:hAnsi="Arial" w:cs="Arial"/>
          <w:b/>
        </w:rPr>
      </w:pPr>
      <w:r w:rsidRPr="000E336E">
        <w:rPr>
          <w:rFonts w:ascii="Arial" w:hAnsi="Arial" w:cs="Arial"/>
          <w:bCs/>
        </w:rPr>
        <w:t>IČ:</w:t>
      </w:r>
    </w:p>
    <w:p w:rsidR="00901FC8" w:rsidRPr="000E336E" w:rsidRDefault="00901FC8" w:rsidP="00901FC8">
      <w:pPr>
        <w:spacing w:after="120"/>
        <w:jc w:val="both"/>
        <w:outlineLvl w:val="0"/>
        <w:rPr>
          <w:rFonts w:ascii="Arial" w:hAnsi="Arial" w:cs="Arial"/>
          <w:bCs/>
        </w:rPr>
      </w:pPr>
      <w:r w:rsidRPr="000E336E">
        <w:rPr>
          <w:rFonts w:ascii="Arial" w:hAnsi="Arial" w:cs="Arial"/>
          <w:bCs/>
        </w:rPr>
        <w:t>Bankovní spojení:</w:t>
      </w:r>
    </w:p>
    <w:p w:rsidR="00901FC8" w:rsidRPr="000E336E" w:rsidRDefault="00901FC8" w:rsidP="00901FC8">
      <w:p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(dále jen „</w:t>
      </w:r>
      <w:r w:rsidRPr="000E336E">
        <w:rPr>
          <w:rFonts w:ascii="Arial" w:hAnsi="Arial" w:cs="Arial"/>
          <w:b/>
          <w:bCs/>
        </w:rPr>
        <w:t>příjemce</w:t>
      </w:r>
      <w:r w:rsidRPr="000E336E">
        <w:rPr>
          <w:rFonts w:ascii="Arial" w:hAnsi="Arial" w:cs="Arial"/>
          <w:bCs/>
        </w:rPr>
        <w:t>“</w:t>
      </w:r>
      <w:r w:rsidRPr="000E336E">
        <w:rPr>
          <w:rFonts w:ascii="Arial" w:hAnsi="Arial" w:cs="Arial"/>
        </w:rPr>
        <w:t>)</w:t>
      </w:r>
    </w:p>
    <w:p w:rsidR="00901FC8" w:rsidRPr="000E336E" w:rsidRDefault="00901FC8" w:rsidP="00901FC8">
      <w:pPr>
        <w:spacing w:after="120"/>
        <w:jc w:val="both"/>
        <w:rPr>
          <w:rFonts w:ascii="Arial" w:hAnsi="Arial" w:cs="Arial"/>
        </w:rPr>
      </w:pPr>
    </w:p>
    <w:p w:rsidR="00901FC8" w:rsidRPr="000E336E" w:rsidRDefault="00901FC8" w:rsidP="00901FC8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uzavírají níže uvedeného dne, měsíce a roku</w:t>
      </w:r>
    </w:p>
    <w:p w:rsidR="00901FC8" w:rsidRPr="000E336E" w:rsidRDefault="00901FC8" w:rsidP="00901FC8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tuto smlouvu o poskytnutí dotace:</w:t>
      </w:r>
    </w:p>
    <w:p w:rsidR="00901FC8" w:rsidRPr="000E336E" w:rsidRDefault="00901FC8" w:rsidP="00901FC8">
      <w:pPr>
        <w:spacing w:before="360" w:after="240"/>
        <w:jc w:val="center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I.</w:t>
      </w:r>
    </w:p>
    <w:p w:rsidR="00901FC8" w:rsidRPr="000E336E" w:rsidRDefault="00901FC8" w:rsidP="00901FC8">
      <w:pPr>
        <w:spacing w:after="240"/>
        <w:jc w:val="center"/>
        <w:rPr>
          <w:rFonts w:ascii="Arial" w:hAnsi="Arial" w:cs="Arial"/>
          <w:b/>
        </w:rPr>
      </w:pPr>
      <w:r w:rsidRPr="000E336E">
        <w:rPr>
          <w:rFonts w:ascii="Arial" w:hAnsi="Arial" w:cs="Arial"/>
          <w:b/>
        </w:rPr>
        <w:t>Předmět smlouvy</w:t>
      </w:r>
    </w:p>
    <w:p w:rsidR="00901FC8" w:rsidRPr="000E336E" w:rsidRDefault="00901FC8" w:rsidP="00901FC8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Poskytovatel se na základě této smlouvy zavazuje poskytnout příjemci dotaci ve výši ......... Kč, slovy: ......... korun českých (dále jen „dotace“).</w:t>
      </w:r>
    </w:p>
    <w:p w:rsidR="00901FC8" w:rsidRPr="000E336E" w:rsidRDefault="00901FC8" w:rsidP="00901FC8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Vědecká knihovna v Olomouci, Bezručova 3, 779 11 Olomouc, IČ 00100625 ve smyslu § 11 </w:t>
      </w:r>
      <w:r>
        <w:rPr>
          <w:rFonts w:ascii="Arial" w:hAnsi="Arial" w:cs="Arial"/>
        </w:rPr>
        <w:t xml:space="preserve">zákona </w:t>
      </w:r>
      <w:r w:rsidRPr="000E336E">
        <w:rPr>
          <w:rFonts w:ascii="Arial" w:hAnsi="Arial" w:cs="Arial"/>
        </w:rPr>
        <w:t>č. 257/2001 Sb., o knihovnách a podmínkách provozování veřejných knihovnických a informačních služeb (knihovní zákon), ve znění pozdějších předpisů, přenesla smluvně působnost regionálních funkcí pro období roku 2016 na pověřenou knihovnu</w:t>
      </w:r>
      <w:r>
        <w:rPr>
          <w:rFonts w:ascii="Arial" w:hAnsi="Arial" w:cs="Arial"/>
        </w:rPr>
        <w:t xml:space="preserve"> (příjemce)</w:t>
      </w:r>
      <w:r w:rsidRPr="000E336E">
        <w:rPr>
          <w:rFonts w:ascii="Arial" w:hAnsi="Arial" w:cs="Arial"/>
        </w:rPr>
        <w:t xml:space="preserve">. Účelem Smlouvy o přenesení regionálních funkcí ze dne ..............   je zajištění plnění regionálních funkcí v roce 2016 pověřenou knihovnou v rámci územní působnosti pro základní knihovny, jejichž jmenovitý seznam je přílohou citované smlouvy. Účelem poskytnutí dotace </w:t>
      </w:r>
      <w:r>
        <w:rPr>
          <w:rFonts w:ascii="Arial" w:hAnsi="Arial" w:cs="Arial"/>
        </w:rPr>
        <w:t xml:space="preserve">dle této smlouvy </w:t>
      </w:r>
      <w:r w:rsidRPr="000E336E">
        <w:rPr>
          <w:rFonts w:ascii="Arial" w:hAnsi="Arial" w:cs="Arial"/>
        </w:rPr>
        <w:t>je úhrada plnění regionálních funkcí v těchto oblastech:</w:t>
      </w:r>
    </w:p>
    <w:p w:rsidR="00901FC8" w:rsidRPr="000E336E" w:rsidRDefault="00901FC8" w:rsidP="00901FC8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odborná poradenská, konzultační a metodická činnost pro základní knihovny v rámci vymezené územní působnosti;</w:t>
      </w:r>
    </w:p>
    <w:p w:rsidR="00901FC8" w:rsidRPr="000E336E" w:rsidRDefault="00901FC8" w:rsidP="00901FC8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tvorba, distribuce a cirkulace výměnných fondů pro základní knihovny v rámci vymezené územní působnosti;</w:t>
      </w:r>
    </w:p>
    <w:p w:rsidR="00901FC8" w:rsidRPr="000E336E" w:rsidRDefault="00901FC8" w:rsidP="00901FC8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pomoc při revizi a aktualizaci knihovních fondů základních knihoven provozovaných obcemi v rámci vymezené územní působnosti;</w:t>
      </w:r>
    </w:p>
    <w:p w:rsidR="00901FC8" w:rsidRPr="000E336E" w:rsidRDefault="00901FC8" w:rsidP="00901FC8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podpora při zpracování statistiky o činnosti základních knihoven provozovaných obcemi v rámci vymezené územní působnosti a zpracování okresní statistiky v rámci vymezené územní působnosti;</w:t>
      </w:r>
    </w:p>
    <w:p w:rsidR="00901FC8" w:rsidRPr="000E336E" w:rsidRDefault="00901FC8" w:rsidP="00901FC8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zajištění nákupu, zpracování a distribuce knihovních fondů pořízených z prostředků provozovatele základní knihovny v rámci vymezené územní působnosti;</w:t>
      </w:r>
    </w:p>
    <w:p w:rsidR="00901FC8" w:rsidRPr="000E336E" w:rsidRDefault="00901FC8" w:rsidP="00901FC8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metodika a servis informační a komunikační technologie pro základní knihovny provozované obcemi v rámci vymezené územní působnosti.</w:t>
      </w:r>
    </w:p>
    <w:p w:rsidR="00901FC8" w:rsidRPr="00224EA7" w:rsidRDefault="00901FC8" w:rsidP="00901FC8">
      <w:pPr>
        <w:numPr>
          <w:ilvl w:val="0"/>
          <w:numId w:val="1"/>
        </w:numPr>
        <w:spacing w:after="120"/>
        <w:jc w:val="both"/>
        <w:rPr>
          <w:rFonts w:ascii="Arial" w:hAnsi="Arial" w:cs="Arial"/>
          <w:strike/>
        </w:rPr>
      </w:pPr>
      <w:r w:rsidRPr="000555B8">
        <w:rPr>
          <w:rFonts w:ascii="Arial" w:hAnsi="Arial" w:cs="Arial"/>
        </w:rPr>
        <w:t xml:space="preserve">Dotace bude poskytnuta účelově na účet obce, která ji převede příjemci (zákon č. 250/2000 Sb.), do 21 dnů ode dne uzavření této smlouvy. Dnem poskytnutí dotace je den připsání finančních prostředků na účet příjemce. </w:t>
      </w:r>
    </w:p>
    <w:p w:rsidR="00901FC8" w:rsidRPr="000E336E" w:rsidRDefault="00901FC8" w:rsidP="00901FC8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Dotace se poskytuje na účel stanovený v čl. I. odst. 2 této smlouvy jako dotace neinvestiční. </w:t>
      </w:r>
    </w:p>
    <w:p w:rsidR="00901FC8" w:rsidRPr="000E336E" w:rsidRDefault="00901FC8" w:rsidP="00901FC8">
      <w:pPr>
        <w:spacing w:after="120"/>
        <w:ind w:left="567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Pro účely této smlouvy se neinvestiční dotací rozumí dotace, která musí být použita na úhradu jiných výdajů než: </w:t>
      </w:r>
    </w:p>
    <w:p w:rsidR="00901FC8" w:rsidRPr="000E336E" w:rsidRDefault="00901FC8" w:rsidP="00901FC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výdajů spojených s pořízením hmotného majetku dle § 26 odst. 2 zákona č. 586/1992 Sb., o daních z příjmů, ve znění pozdějších předpisů (dále jen „cit. zákona“),</w:t>
      </w:r>
    </w:p>
    <w:p w:rsidR="00901FC8" w:rsidRPr="000E336E" w:rsidRDefault="00901FC8" w:rsidP="00901FC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st" w:val="on"/>
          <w:attr w:name="ProductID" w:val="1 a"/>
        </w:smartTagPr>
        <w:r w:rsidRPr="000E336E">
          <w:rPr>
            <w:rFonts w:ascii="Arial" w:hAnsi="Arial" w:cs="Arial"/>
          </w:rPr>
          <w:t>1 a</w:t>
        </w:r>
      </w:smartTag>
      <w:r w:rsidRPr="000E336E">
        <w:rPr>
          <w:rFonts w:ascii="Arial" w:hAnsi="Arial" w:cs="Arial"/>
        </w:rPr>
        <w:t xml:space="preserve"> 2 cit. zákona,</w:t>
      </w:r>
    </w:p>
    <w:p w:rsidR="00901FC8" w:rsidRPr="000E336E" w:rsidRDefault="00901FC8" w:rsidP="00901FC8">
      <w:pPr>
        <w:numPr>
          <w:ilvl w:val="0"/>
          <w:numId w:val="3"/>
        </w:numPr>
        <w:spacing w:after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výdajů spojených s technickým zhodnocením, rekonstrukcí a modernizací ve smyslu § 33 cit. zákona.</w:t>
      </w:r>
    </w:p>
    <w:p w:rsidR="00901FC8" w:rsidRPr="000E336E" w:rsidRDefault="00901FC8" w:rsidP="00901FC8">
      <w:pPr>
        <w:keepNext/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II.</w:t>
      </w:r>
    </w:p>
    <w:p w:rsidR="00901FC8" w:rsidRPr="000E336E" w:rsidRDefault="00901FC8" w:rsidP="00901FC8">
      <w:pPr>
        <w:numPr>
          <w:ilvl w:val="0"/>
          <w:numId w:val="4"/>
        </w:numPr>
        <w:tabs>
          <w:tab w:val="clear" w:pos="360"/>
        </w:tabs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v souladu s podmínkami stanovenými v této smlouvě. Příjemce je oprávněn hradit z dotace výdaje související výhradně s plněním regionálních funkcí v rozsahu stanoveném Smlouvou o přenesení regionálních funkcí, a to až do výše 100 % těchto nákladů. </w:t>
      </w:r>
    </w:p>
    <w:p w:rsidR="00901FC8" w:rsidRPr="000E336E" w:rsidRDefault="00901FC8" w:rsidP="00901FC8">
      <w:pPr>
        <w:pStyle w:val="Odstavecseseznamem"/>
        <w:tabs>
          <w:tab w:val="left" w:pos="8100"/>
        </w:tabs>
        <w:spacing w:after="120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  <w:r w:rsidRPr="000E336E">
        <w:rPr>
          <w:rFonts w:ascii="Arial" w:eastAsia="Times New Roman" w:hAnsi="Arial" w:cs="Arial"/>
          <w:sz w:val="24"/>
          <w:szCs w:val="24"/>
          <w:lang w:eastAsia="cs-CZ"/>
        </w:rPr>
        <w:tab/>
        <w:t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E336E">
        <w:rPr>
          <w:rFonts w:ascii="Arial" w:eastAsia="Times New Roman" w:hAnsi="Arial" w:cs="Arial"/>
          <w:sz w:val="24"/>
          <w:szCs w:val="24"/>
          <w:lang w:eastAsia="cs-CZ"/>
        </w:rPr>
        <w:t>dotace uhradit DPH ve výši tohoto odpočtu DPH, na který příjemci vznikl nárok.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E336E">
        <w:rPr>
          <w:rFonts w:ascii="Arial" w:eastAsia="Times New Roman" w:hAnsi="Arial" w:cs="Arial"/>
          <w:sz w:val="24"/>
          <w:szCs w:val="24"/>
          <w:lang w:eastAsia="cs-CZ"/>
        </w:rPr>
        <w:t xml:space="preserve">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01FC8" w:rsidRPr="000E336E" w:rsidRDefault="00901FC8" w:rsidP="00901FC8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0E336E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</w:t>
      </w:r>
      <w:r>
        <w:rPr>
          <w:rFonts w:ascii="Arial" w:hAnsi="Arial" w:cs="Arial"/>
          <w:iCs/>
        </w:rPr>
        <w:t> </w:t>
      </w:r>
      <w:r w:rsidRPr="000E336E">
        <w:rPr>
          <w:rFonts w:ascii="Arial" w:hAnsi="Arial" w:cs="Arial"/>
          <w:iCs/>
        </w:rPr>
        <w:t xml:space="preserve">DPH. </w:t>
      </w:r>
    </w:p>
    <w:p w:rsidR="00901FC8" w:rsidRPr="000E336E" w:rsidRDefault="00901FC8" w:rsidP="00901FC8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01FC8" w:rsidRPr="000E336E" w:rsidRDefault="00901FC8" w:rsidP="00901FC8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  <w:highlight w:val="lightGray"/>
        </w:rPr>
      </w:pPr>
      <w:r w:rsidRPr="000E336E">
        <w:rPr>
          <w:rFonts w:ascii="Arial" w:hAnsi="Arial" w:cs="Arial"/>
          <w:iCs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:rsidR="00901FC8" w:rsidRPr="000E336E" w:rsidRDefault="00901FC8" w:rsidP="00901FC8">
      <w:pPr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901FC8" w:rsidRPr="000E336E" w:rsidRDefault="00901FC8" w:rsidP="00901FC8">
      <w:pPr>
        <w:spacing w:after="120"/>
        <w:ind w:left="360"/>
        <w:jc w:val="both"/>
        <w:rPr>
          <w:rFonts w:ascii="Arial" w:hAnsi="Arial" w:cs="Arial"/>
          <w:iCs/>
        </w:rPr>
      </w:pPr>
      <w:r w:rsidRPr="000E336E">
        <w:rPr>
          <w:rFonts w:ascii="Arial" w:hAnsi="Arial" w:cs="Arial"/>
          <w:iCs/>
        </w:rPr>
        <w:t xml:space="preserve">Dotaci nelze rovněž použít na úhradu ostatních daní. </w:t>
      </w:r>
    </w:p>
    <w:p w:rsidR="00901FC8" w:rsidRPr="000E336E" w:rsidRDefault="00901FC8" w:rsidP="00901FC8">
      <w:pPr>
        <w:pStyle w:val="Odstavecseseznamem"/>
        <w:spacing w:after="120"/>
        <w:ind w:left="360" w:firstLine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901FC8" w:rsidRPr="000E336E" w:rsidRDefault="00901FC8" w:rsidP="00901FC8">
      <w:pPr>
        <w:spacing w:after="120"/>
        <w:ind w:firstLine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je povinen vést dotaci ve svém účetnictví odděleně. 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Příjemce je povinen použít poskytnutou dotaci nejpozději do 31. 12. 2016. Příjemce je oprávněn použít dotaci také na úhradu nákladů vynaložených příjemcem v souladu s účelem poskytnutí dotace dle čl. I. odst. 2 a 4 této smlouvy a</w:t>
      </w:r>
      <w:r>
        <w:rPr>
          <w:rFonts w:ascii="Arial" w:hAnsi="Arial" w:cs="Arial"/>
          <w:sz w:val="24"/>
          <w:szCs w:val="24"/>
        </w:rPr>
        <w:t> </w:t>
      </w:r>
      <w:r w:rsidRPr="000E336E">
        <w:rPr>
          <w:rFonts w:ascii="Arial" w:hAnsi="Arial" w:cs="Arial"/>
          <w:sz w:val="24"/>
          <w:szCs w:val="24"/>
        </w:rPr>
        <w:t>podmínkami užití dotace dle čl. II. odst. 1 této smlouvy v období od 1. 1. 2016 do uzavření této smlouvy.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tabs>
          <w:tab w:val="clear" w:pos="360"/>
        </w:tabs>
        <w:spacing w:after="120"/>
        <w:contextualSpacing w:val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iCs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Příjemce je povinen nejpozději do 31. 1. 2017 předložit poskytovateli vyúčtování poskytnuté dotace (dále jen „vyúčtování“).</w:t>
      </w:r>
    </w:p>
    <w:p w:rsidR="00901FC8" w:rsidRPr="000E336E" w:rsidRDefault="00901FC8" w:rsidP="00901FC8">
      <w:pPr>
        <w:spacing w:after="120"/>
        <w:ind w:firstLine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Vyúčtování musí obsahovat:</w:t>
      </w:r>
    </w:p>
    <w:p w:rsidR="00901FC8" w:rsidRPr="009A7009" w:rsidRDefault="00901FC8" w:rsidP="00901FC8">
      <w:pPr>
        <w:pStyle w:val="Odstavecseseznamem"/>
        <w:numPr>
          <w:ilvl w:val="1"/>
          <w:numId w:val="5"/>
        </w:numPr>
        <w:spacing w:after="120"/>
        <w:ind w:left="1134" w:hanging="708"/>
        <w:rPr>
          <w:rFonts w:ascii="Arial" w:hAnsi="Arial" w:cs="Arial"/>
        </w:rPr>
      </w:pPr>
      <w:r w:rsidRPr="009A7009">
        <w:rPr>
          <w:rFonts w:ascii="Arial" w:hAnsi="Arial" w:cs="Arial"/>
        </w:rPr>
        <w:t xml:space="preserve">soupis výdajů hrazených z poskytnuté dotace v rozsahu uvedeném v příloze č. 1 „Finanční vyúčtování příspěvku“. </w:t>
      </w:r>
      <w:r w:rsidRPr="009A7009">
        <w:rPr>
          <w:rFonts w:ascii="Arial" w:hAnsi="Arial" w:cs="Arial"/>
          <w:b/>
        </w:rPr>
        <w:t xml:space="preserve">Příloha č. 1 je pro příjemce k dispozici v elektronické formě na webu OK </w:t>
      </w:r>
      <w:hyperlink r:id="rId11" w:history="1">
        <w:r w:rsidR="00656982" w:rsidRPr="008A7E7F">
          <w:rPr>
            <w:rStyle w:val="Hypertextovodkaz"/>
            <w:rFonts w:ascii="Arial" w:hAnsi="Arial" w:cs="Arial"/>
            <w:b/>
            <w:sz w:val="24"/>
            <w:szCs w:val="24"/>
          </w:rPr>
          <w:t>http://www.kr-olomoucky.cz/vyuctovani-prispevku-cl-3511.html</w:t>
        </w:r>
      </w:hyperlink>
      <w:r w:rsidRPr="009A7009">
        <w:rPr>
          <w:rFonts w:ascii="Arial" w:hAnsi="Arial" w:cs="Arial"/>
        </w:rPr>
        <w:t>,</w:t>
      </w:r>
    </w:p>
    <w:p w:rsidR="00901FC8" w:rsidRPr="009A7009" w:rsidRDefault="00901FC8" w:rsidP="00901FC8">
      <w:pPr>
        <w:pStyle w:val="Odstavecseseznamem"/>
        <w:numPr>
          <w:ilvl w:val="1"/>
          <w:numId w:val="5"/>
        </w:numPr>
        <w:spacing w:after="120"/>
        <w:ind w:left="1134" w:hanging="708"/>
        <w:rPr>
          <w:rFonts w:ascii="Arial" w:hAnsi="Arial" w:cs="Arial"/>
        </w:rPr>
      </w:pPr>
      <w:r w:rsidRPr="009A7009">
        <w:rPr>
          <w:rFonts w:ascii="Arial" w:hAnsi="Arial" w:cs="Arial"/>
        </w:rPr>
        <w:t>fotokopie všech výpisů z bankovního účtu, které dokládají úhradu jednotlivých dokladů a faktur, s vyznačením dotčených plateb,</w:t>
      </w:r>
    </w:p>
    <w:p w:rsidR="00901FC8" w:rsidRPr="009A7009" w:rsidRDefault="00901FC8" w:rsidP="00901FC8">
      <w:pPr>
        <w:pStyle w:val="Odstavecseseznamem"/>
        <w:numPr>
          <w:ilvl w:val="1"/>
          <w:numId w:val="5"/>
        </w:numPr>
        <w:spacing w:after="120"/>
        <w:ind w:left="1134" w:hanging="708"/>
        <w:contextualSpacing w:val="0"/>
        <w:rPr>
          <w:rFonts w:ascii="Arial" w:hAnsi="Arial" w:cs="Arial"/>
        </w:rPr>
      </w:pPr>
      <w:r w:rsidRPr="009A7009">
        <w:rPr>
          <w:rFonts w:ascii="Arial" w:hAnsi="Arial" w:cs="Arial"/>
        </w:rPr>
        <w:t>čestné prohlášení, že fotokopie předaných dokladů jsou shodné s originály a výdaje uvedené v soupisech jsou shodné se záznamy v účetnictví příjemce.</w:t>
      </w:r>
    </w:p>
    <w:p w:rsidR="00901FC8" w:rsidRPr="000E336E" w:rsidRDefault="00901FC8" w:rsidP="00901FC8">
      <w:pPr>
        <w:spacing w:after="120"/>
        <w:ind w:left="36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Příjemce je povinen nejpozději do 15. února 2017 předložit poskytovateli jeden výtisk téže závěrečné zprávy, u níž povinnost jejího zpracování a předložení Vědecké knihovně v Olomouci vyplývá příjemci ze Smlouvy o přenesení regionálních funkcí. 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ve čl. I. odst. 2 a 4, poruší některou z jiných podmínek použití dotace, stanovených v čl. II. odst. 1 této smlouvy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</w:t>
      </w:r>
      <w:r>
        <w:rPr>
          <w:rFonts w:ascii="Arial" w:hAnsi="Arial" w:cs="Arial"/>
          <w:sz w:val="24"/>
          <w:szCs w:val="24"/>
        </w:rPr>
        <w:t xml:space="preserve"> příslušném </w:t>
      </w:r>
      <w:r w:rsidRPr="000E336E">
        <w:rPr>
          <w:rFonts w:ascii="Arial" w:hAnsi="Arial" w:cs="Arial"/>
          <w:sz w:val="24"/>
          <w:szCs w:val="24"/>
        </w:rPr>
        <w:t>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iCs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901FC8" w:rsidRPr="000E336E" w:rsidRDefault="00901FC8" w:rsidP="00901FC8">
      <w:pPr>
        <w:pStyle w:val="Odstavecseseznamem"/>
        <w:spacing w:after="120"/>
        <w:ind w:left="567"/>
        <w:rPr>
          <w:rFonts w:ascii="Arial" w:hAnsi="Arial" w:cs="Arial"/>
          <w:iCs/>
          <w:sz w:val="24"/>
          <w:szCs w:val="24"/>
        </w:rPr>
      </w:pPr>
    </w:p>
    <w:tbl>
      <w:tblPr>
        <w:tblW w:w="878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409"/>
      </w:tblGrid>
      <w:tr w:rsidR="00901FC8" w:rsidRPr="000E336E" w:rsidTr="004C5F3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rPr>
                <w:rFonts w:ascii="Arial" w:eastAsia="Calibri" w:hAnsi="Arial" w:cs="Arial"/>
                <w:b/>
              </w:rPr>
            </w:pPr>
            <w:r w:rsidRPr="000E336E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rPr>
                <w:rFonts w:ascii="Arial" w:eastAsia="Calibri" w:hAnsi="Arial" w:cs="Arial"/>
                <w:b/>
              </w:rPr>
            </w:pPr>
            <w:r w:rsidRPr="000E336E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901FC8" w:rsidRPr="000E336E" w:rsidTr="004C5F3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01FC8" w:rsidRPr="000E336E" w:rsidTr="004C5F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2 %</w:t>
            </w:r>
          </w:p>
        </w:tc>
      </w:tr>
      <w:tr w:rsidR="00901FC8" w:rsidRPr="000E336E" w:rsidTr="004C5F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01FC8" w:rsidRPr="000E336E" w:rsidTr="004C5F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01FC8" w:rsidRPr="000E336E" w:rsidTr="004C5F3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  <w:tr w:rsidR="00901FC8" w:rsidRPr="000E336E" w:rsidTr="004C5F3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C8" w:rsidRPr="000E336E" w:rsidRDefault="00901FC8" w:rsidP="004C5F38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FC8" w:rsidRPr="000E336E" w:rsidRDefault="00901FC8" w:rsidP="004C5F38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0E336E">
              <w:rPr>
                <w:rFonts w:ascii="Arial" w:eastAsia="Calibri" w:hAnsi="Arial" w:cs="Arial"/>
              </w:rPr>
              <w:t>5 %</w:t>
            </w:r>
          </w:p>
        </w:tc>
      </w:tr>
    </w:tbl>
    <w:p w:rsidR="00901FC8" w:rsidRPr="000E336E" w:rsidRDefault="00901FC8" w:rsidP="00901FC8">
      <w:pPr>
        <w:spacing w:after="120"/>
        <w:ind w:left="567"/>
        <w:jc w:val="both"/>
        <w:rPr>
          <w:rFonts w:ascii="Arial" w:hAnsi="Arial" w:cs="Arial"/>
          <w:iCs/>
        </w:rPr>
      </w:pP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 27-4228120277/0100.</w:t>
      </w:r>
    </w:p>
    <w:p w:rsidR="00901FC8" w:rsidRPr="000E336E" w:rsidRDefault="00901FC8" w:rsidP="00901FC8">
      <w:pPr>
        <w:pStyle w:val="Odstavecseseznamem"/>
        <w:spacing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tabs>
          <w:tab w:val="num" w:pos="747"/>
        </w:tabs>
        <w:spacing w:after="120"/>
        <w:contextualSpacing w:val="0"/>
        <w:rPr>
          <w:rFonts w:ascii="Arial" w:hAnsi="Arial" w:cs="Arial"/>
          <w:iCs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>Příjemce je povinen knihy zakoupené pro tvorbu výměnných knihovních fondů</w:t>
      </w:r>
      <w:r w:rsidRPr="000E33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E336E">
        <w:rPr>
          <w:rFonts w:ascii="Arial" w:hAnsi="Arial" w:cs="Arial"/>
          <w:sz w:val="24"/>
          <w:szCs w:val="24"/>
        </w:rPr>
        <w:t xml:space="preserve">označit při jejich pořízení doložkou o finanční účasti  rozpočtu Olomouckého kraje. </w:t>
      </w:r>
    </w:p>
    <w:p w:rsidR="00901FC8" w:rsidRPr="000E336E" w:rsidRDefault="00901FC8" w:rsidP="00901FC8">
      <w:pPr>
        <w:numPr>
          <w:ilvl w:val="0"/>
          <w:numId w:val="5"/>
        </w:numPr>
        <w:spacing w:after="120"/>
        <w:jc w:val="both"/>
        <w:rPr>
          <w:rFonts w:ascii="Arial" w:hAnsi="Arial" w:cs="Arial"/>
          <w:bCs/>
          <w:iCs/>
        </w:rPr>
      </w:pPr>
      <w:r w:rsidRPr="000E336E">
        <w:rPr>
          <w:rFonts w:ascii="Arial" w:hAnsi="Arial" w:cs="Arial"/>
        </w:rPr>
        <w:t xml:space="preserve"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  </w:t>
      </w:r>
    </w:p>
    <w:p w:rsidR="00901FC8" w:rsidRPr="000E336E" w:rsidRDefault="00901FC8" w:rsidP="00901FC8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Poskytovatel uděluje příjemci souhlas s bezúplatným užitím loga Olomouckého kraje způsobem a v rozsahu uvedeném v čl. II. odst. 11 této smlouvy.</w:t>
      </w:r>
    </w:p>
    <w:p w:rsidR="00901FC8" w:rsidRPr="000E336E" w:rsidRDefault="00901FC8" w:rsidP="00901FC8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Pokud bude příjemce při realizaci činnosti, na niž je poskytována dotace dle této smlouvy, zadavatelem veřejné zakázky dle příslušných ustanovení zákona o veřejných zakázkách, je povinen při její realizaci postupovat dle tohoto zákona. </w:t>
      </w:r>
    </w:p>
    <w:p w:rsidR="00901FC8" w:rsidRPr="000E336E" w:rsidRDefault="00901FC8" w:rsidP="00901FC8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Odborným garantem plnění a koordinace regionálních funkcí v Olomouckém kraji je Vědecká knihovna v Olomouci.</w:t>
      </w:r>
    </w:p>
    <w:p w:rsidR="00901FC8" w:rsidRPr="000E336E" w:rsidRDefault="00901FC8" w:rsidP="00901FC8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0E336E">
        <w:rPr>
          <w:rFonts w:ascii="Arial" w:hAnsi="Arial" w:cs="Arial"/>
          <w:sz w:val="24"/>
          <w:szCs w:val="24"/>
        </w:rPr>
        <w:t xml:space="preserve">Garantem peněžního plnění je Odbor </w:t>
      </w:r>
      <w:r>
        <w:rPr>
          <w:rFonts w:ascii="Arial" w:hAnsi="Arial" w:cs="Arial"/>
          <w:sz w:val="24"/>
          <w:szCs w:val="24"/>
        </w:rPr>
        <w:t>školství, sportu a kultury</w:t>
      </w:r>
      <w:r w:rsidRPr="000E336E">
        <w:rPr>
          <w:rFonts w:ascii="Arial" w:hAnsi="Arial" w:cs="Arial"/>
          <w:sz w:val="24"/>
          <w:szCs w:val="24"/>
        </w:rPr>
        <w:t xml:space="preserve"> Krajského úřadu Olomouckého kraje.</w:t>
      </w:r>
    </w:p>
    <w:p w:rsidR="00901FC8" w:rsidRPr="000E336E" w:rsidRDefault="00901FC8" w:rsidP="00901FC8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0E336E">
        <w:rPr>
          <w:rFonts w:ascii="Arial" w:hAnsi="Arial" w:cs="Arial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ust. § 22 zákona č. 250/2000 Sb., o rozpočtových pravidlech územních rozpočtů, ve znění pozdějších předpisů.</w:t>
      </w:r>
    </w:p>
    <w:p w:rsidR="00901FC8" w:rsidRPr="000E336E" w:rsidRDefault="00901FC8" w:rsidP="00901FC8">
      <w:pPr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0E336E">
        <w:rPr>
          <w:rFonts w:ascii="Arial" w:hAnsi="Arial" w:cs="Arial"/>
          <w:b/>
          <w:bCs/>
        </w:rPr>
        <w:t>III.</w:t>
      </w:r>
    </w:p>
    <w:p w:rsidR="00901FC8" w:rsidRPr="000E336E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Smlouva se uzavírá v souladu s §159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901FC8" w:rsidRPr="000E336E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Tato smlouva nabývá platnosti a účinnosti dnem jejího uzavření.</w:t>
      </w:r>
    </w:p>
    <w:p w:rsidR="00901FC8" w:rsidRPr="000E336E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Tuto smlouvu lze měnit pouze písemnými vzestupně číslovanými dodatky.</w:t>
      </w:r>
    </w:p>
    <w:p w:rsidR="00901FC8" w:rsidRPr="000E336E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901FC8" w:rsidRPr="00046AE2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Poskytnutí dotace bylo schváleno  usnesením Zastupitelstva Olomouckého kraje </w:t>
      </w:r>
      <w:r w:rsidRPr="00046AE2">
        <w:rPr>
          <w:rFonts w:ascii="Arial" w:hAnsi="Arial" w:cs="Arial"/>
        </w:rPr>
        <w:t xml:space="preserve">…………………. č. …………….. ze dne…………… </w:t>
      </w:r>
    </w:p>
    <w:p w:rsidR="00901FC8" w:rsidRPr="00046AE2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46AE2">
        <w:rPr>
          <w:rFonts w:ascii="Arial" w:hAnsi="Arial" w:cs="Arial"/>
        </w:rPr>
        <w:t xml:space="preserve">Uzavření této smlouvy bylo schváleno usnesením Zastupitelstva  města…………………. č. …………….. ze dne…………… </w:t>
      </w:r>
    </w:p>
    <w:p w:rsidR="00901FC8" w:rsidRPr="000E336E" w:rsidRDefault="00901FC8" w:rsidP="00901FC8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Tato smlouva je sepsána v šesti vyhotoveních, z nichž po jednom obdrží příjemce, jeho zřizovatel a Vědecká knihovna v Olomouci, tři vyhotovení obdrží poskytovatel.</w:t>
      </w:r>
    </w:p>
    <w:p w:rsidR="00901FC8" w:rsidRPr="000E336E" w:rsidRDefault="00901FC8" w:rsidP="00901FC8">
      <w:pPr>
        <w:spacing w:before="600" w:after="60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V Olomouci dne .......................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01FC8" w:rsidRPr="000E336E" w:rsidTr="004C5F3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1FC8" w:rsidRPr="000E336E" w:rsidRDefault="00901FC8" w:rsidP="004C5F38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1FC8" w:rsidRPr="000E336E" w:rsidRDefault="00901FC8" w:rsidP="004C5F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1FC8" w:rsidRPr="000E336E" w:rsidRDefault="00901FC8" w:rsidP="00901FC8">
      <w:pPr>
        <w:ind w:left="540" w:hanging="5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Za poskytovatele: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 xml:space="preserve">       Za příjemce:</w:t>
      </w:r>
    </w:p>
    <w:p w:rsidR="00901FC8" w:rsidRPr="000E336E" w:rsidRDefault="00901FC8" w:rsidP="00901FC8">
      <w:pPr>
        <w:ind w:left="540" w:hanging="540"/>
        <w:jc w:val="both"/>
        <w:rPr>
          <w:rFonts w:ascii="Arial" w:hAnsi="Arial" w:cs="Arial"/>
          <w:b/>
        </w:rPr>
      </w:pPr>
    </w:p>
    <w:p w:rsidR="00901FC8" w:rsidRPr="000E336E" w:rsidRDefault="00901FC8" w:rsidP="00901FC8">
      <w:pPr>
        <w:ind w:left="540" w:hanging="5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…………………………………. …                         ………………………………………</w:t>
      </w:r>
    </w:p>
    <w:p w:rsidR="00901FC8" w:rsidRPr="000E336E" w:rsidRDefault="00901FC8" w:rsidP="00901FC8">
      <w:pPr>
        <w:ind w:left="540" w:hanging="5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 xml:space="preserve">Mgr. Radovan Rašťák, </w:t>
      </w:r>
      <w:r w:rsidRPr="000E336E">
        <w:rPr>
          <w:rFonts w:ascii="Arial" w:hAnsi="Arial" w:cs="Arial"/>
        </w:rPr>
        <w:tab/>
      </w:r>
      <w:r w:rsidRPr="000E336E">
        <w:rPr>
          <w:rFonts w:ascii="Arial" w:hAnsi="Arial" w:cs="Arial"/>
        </w:rPr>
        <w:tab/>
        <w:t xml:space="preserve">                          </w:t>
      </w:r>
    </w:p>
    <w:p w:rsidR="00901FC8" w:rsidRPr="000E336E" w:rsidRDefault="00901FC8" w:rsidP="00901FC8">
      <w:pPr>
        <w:ind w:left="540" w:hanging="540"/>
        <w:jc w:val="both"/>
        <w:rPr>
          <w:rFonts w:ascii="Arial" w:hAnsi="Arial" w:cs="Arial"/>
        </w:rPr>
      </w:pPr>
      <w:r w:rsidRPr="000E336E">
        <w:rPr>
          <w:rFonts w:ascii="Arial" w:hAnsi="Arial" w:cs="Arial"/>
        </w:rPr>
        <w:t>náměstek hejtmana</w:t>
      </w:r>
    </w:p>
    <w:p w:rsidR="00901FC8" w:rsidRPr="000E336E" w:rsidRDefault="00901FC8" w:rsidP="00901FC8">
      <w:pPr>
        <w:pStyle w:val="Zkladntext"/>
        <w:rPr>
          <w:rFonts w:cs="Arial"/>
          <w:i/>
          <w:color w:val="FF0000"/>
          <w:szCs w:val="24"/>
          <w:u w:val="single"/>
        </w:rPr>
      </w:pPr>
    </w:p>
    <w:p w:rsidR="00901FC8" w:rsidRPr="000E336E" w:rsidRDefault="00901FC8" w:rsidP="00901FC8">
      <w:pPr>
        <w:rPr>
          <w:rFonts w:ascii="Arial" w:hAnsi="Arial" w:cs="Arial"/>
          <w:bCs/>
        </w:rPr>
      </w:pPr>
    </w:p>
    <w:p w:rsidR="00901FC8" w:rsidRPr="00441309" w:rsidRDefault="00901FC8" w:rsidP="00901FC8">
      <w:pPr>
        <w:ind w:left="540" w:hanging="540"/>
        <w:jc w:val="both"/>
        <w:rPr>
          <w:rFonts w:ascii="Arial" w:hAnsi="Arial" w:cs="Arial"/>
          <w:color w:val="FF0000"/>
        </w:rPr>
      </w:pPr>
      <w:r w:rsidRPr="00441309">
        <w:rPr>
          <w:rFonts w:ascii="Arial" w:hAnsi="Arial" w:cs="Arial"/>
          <w:color w:val="FF0000"/>
        </w:rPr>
        <w:t xml:space="preserve">                                         </w:t>
      </w:r>
    </w:p>
    <w:p w:rsidR="00901FC8" w:rsidRDefault="00901FC8" w:rsidP="00901FC8"/>
    <w:p w:rsidR="009A1AF1" w:rsidRDefault="009A1AF1"/>
    <w:sectPr w:rsidR="009A1AF1" w:rsidSect="00283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48" w:rsidRDefault="00EE0448" w:rsidP="00F7678A">
      <w:r>
        <w:separator/>
      </w:r>
    </w:p>
  </w:endnote>
  <w:endnote w:type="continuationSeparator" w:id="0">
    <w:p w:rsidR="00EE0448" w:rsidRDefault="00EE0448" w:rsidP="00F7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25" w:rsidRPr="00FC1D34" w:rsidRDefault="00F7678A" w:rsidP="00743D4E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Zastupitelstvo Olomouckého kraje dne 29. 4. 2016             </w:t>
    </w:r>
    <w:r w:rsidR="00831524">
      <w:rPr>
        <w:rFonts w:ascii="Arial" w:hAnsi="Arial"/>
        <w:i/>
        <w:sz w:val="20"/>
        <w:szCs w:val="20"/>
      </w:rPr>
      <w:tab/>
      <w:t xml:space="preserve">       </w:t>
    </w:r>
    <w:r w:rsidR="00831524" w:rsidRPr="00FC1D34">
      <w:rPr>
        <w:rFonts w:ascii="Arial" w:hAnsi="Arial"/>
        <w:i/>
        <w:sz w:val="20"/>
        <w:szCs w:val="20"/>
      </w:rPr>
      <w:t xml:space="preserve">Strana </w:t>
    </w:r>
    <w:r w:rsidR="00831524" w:rsidRPr="00FC1D34">
      <w:rPr>
        <w:rFonts w:ascii="Arial" w:hAnsi="Arial"/>
        <w:i/>
        <w:sz w:val="20"/>
        <w:szCs w:val="20"/>
      </w:rPr>
      <w:fldChar w:fldCharType="begin"/>
    </w:r>
    <w:r w:rsidR="00831524" w:rsidRPr="00FC1D34">
      <w:rPr>
        <w:rFonts w:ascii="Arial" w:hAnsi="Arial"/>
        <w:i/>
        <w:sz w:val="20"/>
        <w:szCs w:val="20"/>
      </w:rPr>
      <w:instrText xml:space="preserve"> PAGE </w:instrText>
    </w:r>
    <w:r w:rsidR="00831524"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1</w:t>
    </w:r>
    <w:r w:rsidR="00831524" w:rsidRPr="00FC1D34">
      <w:rPr>
        <w:rFonts w:ascii="Arial" w:hAnsi="Arial"/>
        <w:i/>
        <w:sz w:val="20"/>
        <w:szCs w:val="20"/>
      </w:rPr>
      <w:fldChar w:fldCharType="end"/>
    </w:r>
    <w:r w:rsidR="00831524" w:rsidRPr="00FC1D34">
      <w:rPr>
        <w:rFonts w:ascii="Arial" w:hAnsi="Arial"/>
        <w:i/>
        <w:sz w:val="20"/>
        <w:szCs w:val="20"/>
      </w:rPr>
      <w:t xml:space="preserve"> (celkem </w:t>
    </w:r>
    <w:r w:rsidR="00831524" w:rsidRPr="00FC1D34">
      <w:rPr>
        <w:rFonts w:ascii="Arial" w:hAnsi="Arial"/>
        <w:i/>
        <w:sz w:val="20"/>
        <w:szCs w:val="20"/>
      </w:rPr>
      <w:fldChar w:fldCharType="begin"/>
    </w:r>
    <w:r w:rsidR="00831524" w:rsidRPr="00FC1D34">
      <w:rPr>
        <w:rFonts w:ascii="Arial" w:hAnsi="Arial"/>
        <w:i/>
        <w:sz w:val="20"/>
        <w:szCs w:val="20"/>
      </w:rPr>
      <w:instrText xml:space="preserve"> NUMPAGES </w:instrText>
    </w:r>
    <w:r w:rsidR="00831524"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10</w:t>
    </w:r>
    <w:r w:rsidR="00831524" w:rsidRPr="00FC1D34">
      <w:rPr>
        <w:rFonts w:ascii="Arial" w:hAnsi="Arial"/>
        <w:i/>
        <w:sz w:val="20"/>
        <w:szCs w:val="20"/>
      </w:rPr>
      <w:fldChar w:fldCharType="end"/>
    </w:r>
    <w:r w:rsidR="00831524" w:rsidRPr="00FC1D34">
      <w:rPr>
        <w:rFonts w:ascii="Arial" w:hAnsi="Arial"/>
        <w:i/>
        <w:sz w:val="20"/>
        <w:szCs w:val="20"/>
      </w:rPr>
      <w:t>)</w:t>
    </w:r>
  </w:p>
  <w:p w:rsidR="00A149A7" w:rsidRPr="00A149A7" w:rsidRDefault="00F92D72" w:rsidP="00A149A7">
    <w:pP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20. </w:t>
    </w:r>
    <w:r w:rsidR="00831524" w:rsidRPr="00FC1D34">
      <w:rPr>
        <w:rFonts w:ascii="Arial" w:hAnsi="Arial"/>
        <w:i/>
        <w:sz w:val="20"/>
        <w:szCs w:val="20"/>
      </w:rPr>
      <w:t xml:space="preserve">– </w:t>
    </w:r>
    <w:r w:rsidR="00831524" w:rsidRPr="00A149A7">
      <w:rPr>
        <w:rFonts w:ascii="Arial" w:hAnsi="Arial"/>
        <w:i/>
        <w:sz w:val="20"/>
        <w:szCs w:val="20"/>
      </w:rPr>
      <w:t>Žádosti o poskytnutí individuálních dotací na zajištění regionálních funkcí knihoven v Olomouckém kraji v roce 2016</w:t>
    </w:r>
  </w:p>
  <w:p w:rsidR="00A40325" w:rsidRDefault="00F742CF">
    <w:pPr>
      <w:pStyle w:val="Zpat"/>
    </w:pPr>
  </w:p>
  <w:p w:rsidR="00A40325" w:rsidRDefault="00F74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B4" w:rsidRPr="00FC1D34" w:rsidRDefault="00C921A1" w:rsidP="00743D4E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 Olomouckého kraje dne 29. 4. 2016</w:t>
    </w:r>
    <w:r>
      <w:rPr>
        <w:rFonts w:ascii="Arial" w:hAnsi="Arial"/>
        <w:i/>
        <w:sz w:val="20"/>
        <w:szCs w:val="20"/>
      </w:rPr>
      <w:tab/>
      <w:t xml:space="preserve">                                              </w:t>
    </w:r>
    <w:r w:rsidR="00831524">
      <w:rPr>
        <w:rFonts w:ascii="Arial" w:hAnsi="Arial"/>
        <w:i/>
        <w:sz w:val="20"/>
        <w:szCs w:val="20"/>
      </w:rPr>
      <w:tab/>
      <w:t xml:space="preserve">                                                                                        </w:t>
    </w:r>
    <w:r w:rsidR="00831524" w:rsidRPr="00FC1D34">
      <w:rPr>
        <w:rFonts w:ascii="Arial" w:hAnsi="Arial"/>
        <w:i/>
        <w:sz w:val="20"/>
        <w:szCs w:val="20"/>
      </w:rPr>
      <w:t xml:space="preserve">Strana </w:t>
    </w:r>
    <w:r w:rsidR="00831524" w:rsidRPr="00FC1D34">
      <w:rPr>
        <w:rFonts w:ascii="Arial" w:hAnsi="Arial"/>
        <w:i/>
        <w:sz w:val="20"/>
        <w:szCs w:val="20"/>
      </w:rPr>
      <w:fldChar w:fldCharType="begin"/>
    </w:r>
    <w:r w:rsidR="00831524" w:rsidRPr="00FC1D34">
      <w:rPr>
        <w:rFonts w:ascii="Arial" w:hAnsi="Arial"/>
        <w:i/>
        <w:sz w:val="20"/>
        <w:szCs w:val="20"/>
      </w:rPr>
      <w:instrText xml:space="preserve"> PAGE </w:instrText>
    </w:r>
    <w:r w:rsidR="00831524"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4</w:t>
    </w:r>
    <w:r w:rsidR="00831524" w:rsidRPr="00FC1D34">
      <w:rPr>
        <w:rFonts w:ascii="Arial" w:hAnsi="Arial"/>
        <w:i/>
        <w:sz w:val="20"/>
        <w:szCs w:val="20"/>
      </w:rPr>
      <w:fldChar w:fldCharType="end"/>
    </w:r>
    <w:r w:rsidR="00831524" w:rsidRPr="00FC1D34">
      <w:rPr>
        <w:rFonts w:ascii="Arial" w:hAnsi="Arial"/>
        <w:i/>
        <w:sz w:val="20"/>
        <w:szCs w:val="20"/>
      </w:rPr>
      <w:t xml:space="preserve"> (celkem </w:t>
    </w:r>
    <w:r w:rsidR="00831524" w:rsidRPr="00FC1D34">
      <w:rPr>
        <w:rFonts w:ascii="Arial" w:hAnsi="Arial"/>
        <w:i/>
        <w:sz w:val="20"/>
        <w:szCs w:val="20"/>
      </w:rPr>
      <w:fldChar w:fldCharType="begin"/>
    </w:r>
    <w:r w:rsidR="00831524" w:rsidRPr="00FC1D34">
      <w:rPr>
        <w:rFonts w:ascii="Arial" w:hAnsi="Arial"/>
        <w:i/>
        <w:sz w:val="20"/>
        <w:szCs w:val="20"/>
      </w:rPr>
      <w:instrText xml:space="preserve"> NUMPAGES </w:instrText>
    </w:r>
    <w:r w:rsidR="00831524"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10</w:t>
    </w:r>
    <w:r w:rsidR="00831524" w:rsidRPr="00FC1D34">
      <w:rPr>
        <w:rFonts w:ascii="Arial" w:hAnsi="Arial"/>
        <w:i/>
        <w:sz w:val="20"/>
        <w:szCs w:val="20"/>
      </w:rPr>
      <w:fldChar w:fldCharType="end"/>
    </w:r>
    <w:r w:rsidR="00831524" w:rsidRPr="00FC1D34">
      <w:rPr>
        <w:rFonts w:ascii="Arial" w:hAnsi="Arial"/>
        <w:i/>
        <w:sz w:val="20"/>
        <w:szCs w:val="20"/>
      </w:rPr>
      <w:t>)</w:t>
    </w:r>
  </w:p>
  <w:p w:rsidR="00A149A7" w:rsidRDefault="00F92D72" w:rsidP="00A149A7">
    <w:pPr>
      <w:rPr>
        <w:b/>
        <w:bCs/>
      </w:rPr>
    </w:pPr>
    <w:r>
      <w:rPr>
        <w:rFonts w:ascii="Arial" w:hAnsi="Arial"/>
        <w:i/>
        <w:sz w:val="20"/>
        <w:szCs w:val="20"/>
      </w:rPr>
      <w:t>20.</w:t>
    </w:r>
    <w:r w:rsidR="00831524" w:rsidRPr="00FC1D34">
      <w:rPr>
        <w:rFonts w:ascii="Arial" w:hAnsi="Arial"/>
        <w:i/>
        <w:sz w:val="20"/>
        <w:szCs w:val="20"/>
      </w:rPr>
      <w:t xml:space="preserve"> – </w:t>
    </w:r>
    <w:r w:rsidR="00831524" w:rsidRPr="00A149A7">
      <w:rPr>
        <w:rFonts w:ascii="Arial" w:hAnsi="Arial"/>
        <w:i/>
        <w:sz w:val="20"/>
        <w:szCs w:val="20"/>
      </w:rPr>
      <w:t>Žádosti o poskytnutí individuálních dotací na zajištění regionálních funkcí knihoven v Olomouckém kraji v roce 2016</w:t>
    </w:r>
  </w:p>
  <w:p w:rsidR="00ED0CB4" w:rsidRDefault="00831524" w:rsidP="00ED0CB4">
    <w:pPr>
      <w:tabs>
        <w:tab w:val="left" w:pos="3119"/>
        <w:tab w:val="left" w:pos="9825"/>
      </w:tabs>
      <w:autoSpaceDE w:val="0"/>
      <w:autoSpaceDN w:val="0"/>
      <w:adjustRightInd w:val="0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Příloha č. 1 – Tabulka žadatelů</w:t>
    </w:r>
    <w:r w:rsidRPr="00F03388">
      <w:rPr>
        <w:rFonts w:ascii="Arial" w:hAnsi="Arial"/>
        <w:i/>
        <w:sz w:val="20"/>
        <w:szCs w:val="20"/>
      </w:rPr>
      <w:t xml:space="preserve"> o poskytnutí dotací na regionální funkce v roce 2016</w:t>
    </w:r>
    <w:r>
      <w:rPr>
        <w:rFonts w:ascii="Arial" w:hAnsi="Arial"/>
        <w:i/>
        <w:sz w:val="20"/>
        <w:szCs w:val="20"/>
      </w:rPr>
      <w:tab/>
    </w:r>
  </w:p>
  <w:p w:rsidR="00ED0CB4" w:rsidRDefault="00F742CF" w:rsidP="00743D4E">
    <w:pPr>
      <w:tabs>
        <w:tab w:val="left" w:pos="3119"/>
      </w:tabs>
      <w:autoSpaceDE w:val="0"/>
      <w:autoSpaceDN w:val="0"/>
      <w:adjustRightInd w:val="0"/>
      <w:rPr>
        <w:rFonts w:ascii="Arial" w:hAnsi="Arial"/>
        <w:i/>
        <w:sz w:val="20"/>
        <w:szCs w:val="20"/>
      </w:rPr>
    </w:pPr>
  </w:p>
  <w:p w:rsidR="00ED0CB4" w:rsidRDefault="00F742CF">
    <w:pPr>
      <w:pStyle w:val="Zpat"/>
    </w:pPr>
  </w:p>
  <w:p w:rsidR="00ED0CB4" w:rsidRDefault="00F742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D8" w:rsidRDefault="00F742C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D8" w:rsidRPr="00FC1D34" w:rsidRDefault="00C921A1" w:rsidP="00FC1D34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Zastupitelstvo Olomouckého kraje dne 29. 4. 2016                                                    </w:t>
    </w:r>
    <w:r w:rsidR="00831524" w:rsidRPr="00FC1D34">
      <w:rPr>
        <w:rFonts w:ascii="Arial" w:hAnsi="Arial"/>
        <w:i/>
        <w:sz w:val="20"/>
        <w:szCs w:val="20"/>
      </w:rPr>
      <w:t xml:space="preserve">Strana </w:t>
    </w:r>
    <w:r w:rsidR="00831524" w:rsidRPr="00FC1D34">
      <w:rPr>
        <w:rFonts w:ascii="Arial" w:hAnsi="Arial"/>
        <w:i/>
        <w:sz w:val="20"/>
        <w:szCs w:val="20"/>
      </w:rPr>
      <w:fldChar w:fldCharType="begin"/>
    </w:r>
    <w:r w:rsidR="00831524" w:rsidRPr="00FC1D34">
      <w:rPr>
        <w:rFonts w:ascii="Arial" w:hAnsi="Arial"/>
        <w:i/>
        <w:sz w:val="20"/>
        <w:szCs w:val="20"/>
      </w:rPr>
      <w:instrText xml:space="preserve"> PAGE </w:instrText>
    </w:r>
    <w:r w:rsidR="00831524"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10</w:t>
    </w:r>
    <w:r w:rsidR="00831524" w:rsidRPr="00FC1D34">
      <w:rPr>
        <w:rFonts w:ascii="Arial" w:hAnsi="Arial"/>
        <w:i/>
        <w:sz w:val="20"/>
        <w:szCs w:val="20"/>
      </w:rPr>
      <w:fldChar w:fldCharType="end"/>
    </w:r>
    <w:r w:rsidR="00831524" w:rsidRPr="00FC1D34">
      <w:rPr>
        <w:rFonts w:ascii="Arial" w:hAnsi="Arial"/>
        <w:i/>
        <w:sz w:val="20"/>
        <w:szCs w:val="20"/>
      </w:rPr>
      <w:t xml:space="preserve"> (celkem </w:t>
    </w:r>
    <w:r w:rsidR="00831524" w:rsidRPr="00FC1D34">
      <w:rPr>
        <w:rFonts w:ascii="Arial" w:hAnsi="Arial"/>
        <w:i/>
        <w:sz w:val="20"/>
        <w:szCs w:val="20"/>
      </w:rPr>
      <w:fldChar w:fldCharType="begin"/>
    </w:r>
    <w:r w:rsidR="00831524" w:rsidRPr="00FC1D34">
      <w:rPr>
        <w:rFonts w:ascii="Arial" w:hAnsi="Arial"/>
        <w:i/>
        <w:sz w:val="20"/>
        <w:szCs w:val="20"/>
      </w:rPr>
      <w:instrText xml:space="preserve"> NUMPAGES </w:instrText>
    </w:r>
    <w:r w:rsidR="00831524"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10</w:t>
    </w:r>
    <w:r w:rsidR="00831524" w:rsidRPr="00FC1D34">
      <w:rPr>
        <w:rFonts w:ascii="Arial" w:hAnsi="Arial"/>
        <w:i/>
        <w:sz w:val="20"/>
        <w:szCs w:val="20"/>
      </w:rPr>
      <w:fldChar w:fldCharType="end"/>
    </w:r>
    <w:r w:rsidR="00831524" w:rsidRPr="00FC1D34">
      <w:rPr>
        <w:rFonts w:ascii="Arial" w:hAnsi="Arial"/>
        <w:i/>
        <w:sz w:val="20"/>
        <w:szCs w:val="20"/>
      </w:rPr>
      <w:t>)</w:t>
    </w:r>
  </w:p>
  <w:p w:rsidR="0061330D" w:rsidRPr="00A149A7" w:rsidRDefault="00F92D72" w:rsidP="00AD2ED4">
    <w:pPr>
      <w:jc w:val="both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20. </w:t>
    </w:r>
    <w:r w:rsidR="00831524" w:rsidRPr="00FC1D34">
      <w:rPr>
        <w:rFonts w:ascii="Arial" w:hAnsi="Arial"/>
        <w:i/>
        <w:sz w:val="20"/>
        <w:szCs w:val="20"/>
      </w:rPr>
      <w:t xml:space="preserve">– </w:t>
    </w:r>
    <w:r w:rsidR="00831524" w:rsidRPr="00A149A7">
      <w:rPr>
        <w:rFonts w:ascii="Arial" w:hAnsi="Arial"/>
        <w:i/>
        <w:sz w:val="20"/>
        <w:szCs w:val="20"/>
      </w:rPr>
      <w:t>Žádosti o poskytnutí individuálních dotací na zajištění regionálních funkcí knihoven v Olomouckém kraji v roce 2016</w:t>
    </w:r>
  </w:p>
  <w:p w:rsidR="00891ED8" w:rsidRPr="00FB2F79" w:rsidRDefault="00831524" w:rsidP="00FB2F79">
    <w:pPr>
      <w:tabs>
        <w:tab w:val="left" w:pos="3119"/>
      </w:tabs>
      <w:autoSpaceDE w:val="0"/>
      <w:autoSpaceDN w:val="0"/>
      <w:adjustRightInd w:val="0"/>
      <w:rPr>
        <w:rFonts w:ascii="Arial" w:hAnsi="Arial"/>
        <w:i/>
        <w:sz w:val="20"/>
        <w:szCs w:val="20"/>
      </w:rPr>
    </w:pPr>
    <w:r w:rsidRPr="00FB2F79">
      <w:rPr>
        <w:rFonts w:ascii="Arial" w:hAnsi="Arial"/>
        <w:i/>
        <w:sz w:val="20"/>
        <w:szCs w:val="20"/>
      </w:rPr>
      <w:t>Příloha č.</w:t>
    </w:r>
    <w:r>
      <w:rPr>
        <w:rFonts w:ascii="Arial" w:hAnsi="Arial"/>
        <w:i/>
        <w:sz w:val="20"/>
        <w:szCs w:val="20"/>
      </w:rPr>
      <w:t xml:space="preserve"> 2</w:t>
    </w:r>
    <w:r w:rsidRPr="00FB2F79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– Vzorová veřejnoprávní smlouva o poskytnutí dotace</w:t>
    </w:r>
    <w:r w:rsidRPr="00FB2F79">
      <w:rPr>
        <w:rFonts w:ascii="Arial" w:hAnsi="Arial"/>
        <w:i/>
        <w:sz w:val="20"/>
        <w:szCs w:val="20"/>
      </w:rPr>
      <w:t xml:space="preserve"> na </w:t>
    </w:r>
    <w:r>
      <w:rPr>
        <w:rFonts w:ascii="Arial" w:hAnsi="Arial"/>
        <w:i/>
        <w:sz w:val="20"/>
        <w:szCs w:val="20"/>
      </w:rPr>
      <w:t xml:space="preserve">regionální funkce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D8" w:rsidRPr="00FC1D34" w:rsidRDefault="00831524" w:rsidP="00FE7081">
    <w:pPr>
      <w:pStyle w:val="Zpat"/>
      <w:pBdr>
        <w:top w:val="single" w:sz="4" w:space="0" w:color="auto"/>
      </w:pBdr>
      <w:rPr>
        <w:rFonts w:ascii="Arial" w:hAnsi="Arial"/>
        <w:i/>
        <w:sz w:val="20"/>
        <w:szCs w:val="20"/>
      </w:rPr>
    </w:pPr>
    <w:r w:rsidRPr="00FC1D34">
      <w:rPr>
        <w:rFonts w:ascii="Arial" w:hAnsi="Arial"/>
        <w:i/>
        <w:sz w:val="20"/>
        <w:szCs w:val="20"/>
      </w:rPr>
      <w:t xml:space="preserve">Rada Olomouckého kraje </w:t>
    </w:r>
    <w:r>
      <w:rPr>
        <w:rFonts w:ascii="Arial" w:hAnsi="Arial"/>
        <w:i/>
        <w:sz w:val="20"/>
        <w:szCs w:val="20"/>
      </w:rPr>
      <w:t>26</w:t>
    </w:r>
    <w:r w:rsidRPr="00FE7081">
      <w:rPr>
        <w:rFonts w:ascii="Arial" w:hAnsi="Arial"/>
        <w:i/>
        <w:sz w:val="20"/>
        <w:szCs w:val="20"/>
        <w:highlight w:val="yellow"/>
      </w:rPr>
      <w:t>. 11. 2015</w:t>
    </w:r>
    <w:r w:rsidRPr="00FC1D34">
      <w:rPr>
        <w:rFonts w:ascii="Arial" w:hAnsi="Arial"/>
        <w:i/>
        <w:sz w:val="20"/>
        <w:szCs w:val="20"/>
      </w:rPr>
      <w:t xml:space="preserve">                                                                    Strana </w:t>
    </w:r>
    <w:r w:rsidRPr="00FC1D34">
      <w:rPr>
        <w:rFonts w:ascii="Arial" w:hAnsi="Arial"/>
        <w:i/>
        <w:sz w:val="20"/>
        <w:szCs w:val="20"/>
      </w:rPr>
      <w:fldChar w:fldCharType="begin"/>
    </w:r>
    <w:r w:rsidRPr="00FC1D34">
      <w:rPr>
        <w:rFonts w:ascii="Arial" w:hAnsi="Arial"/>
        <w:i/>
        <w:sz w:val="20"/>
        <w:szCs w:val="20"/>
      </w:rPr>
      <w:instrText xml:space="preserve"> PAGE </w:instrText>
    </w:r>
    <w:r w:rsidRPr="00FC1D34">
      <w:rPr>
        <w:rFonts w:ascii="Arial" w:hAnsi="Arial"/>
        <w:i/>
        <w:sz w:val="20"/>
        <w:szCs w:val="20"/>
      </w:rPr>
      <w:fldChar w:fldCharType="separate"/>
    </w:r>
    <w:r>
      <w:rPr>
        <w:rFonts w:ascii="Arial" w:hAnsi="Arial"/>
        <w:i/>
        <w:noProof/>
        <w:sz w:val="20"/>
        <w:szCs w:val="20"/>
      </w:rPr>
      <w:t>42</w:t>
    </w:r>
    <w:r w:rsidRPr="00FC1D34">
      <w:rPr>
        <w:rFonts w:ascii="Arial" w:hAnsi="Arial"/>
        <w:i/>
        <w:sz w:val="20"/>
        <w:szCs w:val="20"/>
      </w:rPr>
      <w:fldChar w:fldCharType="end"/>
    </w:r>
    <w:r w:rsidRPr="00FC1D34">
      <w:rPr>
        <w:rFonts w:ascii="Arial" w:hAnsi="Arial"/>
        <w:i/>
        <w:sz w:val="20"/>
        <w:szCs w:val="20"/>
      </w:rPr>
      <w:t xml:space="preserve"> (celkem </w:t>
    </w:r>
    <w:r w:rsidRPr="00FC1D34">
      <w:rPr>
        <w:rFonts w:ascii="Arial" w:hAnsi="Arial"/>
        <w:i/>
        <w:sz w:val="20"/>
        <w:szCs w:val="20"/>
      </w:rPr>
      <w:fldChar w:fldCharType="begin"/>
    </w:r>
    <w:r w:rsidRPr="00FC1D34">
      <w:rPr>
        <w:rFonts w:ascii="Arial" w:hAnsi="Arial"/>
        <w:i/>
        <w:sz w:val="20"/>
        <w:szCs w:val="20"/>
      </w:rPr>
      <w:instrText xml:space="preserve"> NUMPAGES </w:instrText>
    </w:r>
    <w:r w:rsidRPr="00FC1D34">
      <w:rPr>
        <w:rFonts w:ascii="Arial" w:hAnsi="Arial"/>
        <w:i/>
        <w:sz w:val="20"/>
        <w:szCs w:val="20"/>
      </w:rPr>
      <w:fldChar w:fldCharType="separate"/>
    </w:r>
    <w:r w:rsidR="00F742CF">
      <w:rPr>
        <w:rFonts w:ascii="Arial" w:hAnsi="Arial"/>
        <w:i/>
        <w:noProof/>
        <w:sz w:val="20"/>
        <w:szCs w:val="20"/>
      </w:rPr>
      <w:t>10</w:t>
    </w:r>
    <w:r w:rsidRPr="00FC1D34">
      <w:rPr>
        <w:rFonts w:ascii="Arial" w:hAnsi="Arial"/>
        <w:i/>
        <w:sz w:val="20"/>
        <w:szCs w:val="20"/>
      </w:rPr>
      <w:fldChar w:fldCharType="end"/>
    </w:r>
    <w:r w:rsidRPr="00FC1D34">
      <w:rPr>
        <w:rFonts w:ascii="Arial" w:hAnsi="Arial"/>
        <w:i/>
        <w:sz w:val="20"/>
        <w:szCs w:val="20"/>
      </w:rPr>
      <w:t>)</w:t>
    </w:r>
  </w:p>
  <w:p w:rsidR="00891ED8" w:rsidRPr="00FB2F79" w:rsidRDefault="00831524" w:rsidP="00FB2F79">
    <w:pPr>
      <w:tabs>
        <w:tab w:val="left" w:pos="3119"/>
      </w:tabs>
      <w:autoSpaceDE w:val="0"/>
      <w:autoSpaceDN w:val="0"/>
      <w:adjustRightInd w:val="0"/>
      <w:rPr>
        <w:rFonts w:ascii="Arial" w:hAnsi="Arial"/>
        <w:i/>
        <w:sz w:val="20"/>
        <w:szCs w:val="20"/>
      </w:rPr>
    </w:pPr>
    <w:r w:rsidRPr="00FC1D34">
      <w:rPr>
        <w:rFonts w:ascii="Arial" w:hAnsi="Arial"/>
        <w:i/>
        <w:sz w:val="20"/>
        <w:szCs w:val="20"/>
      </w:rPr>
      <w:t>11.</w:t>
    </w:r>
    <w:r>
      <w:rPr>
        <w:rFonts w:ascii="Arial" w:hAnsi="Arial"/>
        <w:i/>
        <w:sz w:val="20"/>
        <w:szCs w:val="20"/>
      </w:rPr>
      <w:t>2.</w:t>
    </w:r>
    <w:r w:rsidRPr="00FC1D34">
      <w:rPr>
        <w:rFonts w:ascii="Arial" w:hAnsi="Arial"/>
        <w:i/>
        <w:sz w:val="20"/>
        <w:szCs w:val="20"/>
      </w:rPr>
      <w:t xml:space="preserve"> – Dotační program Olomouckého kraje Program </w:t>
    </w:r>
    <w:r>
      <w:rPr>
        <w:rFonts w:ascii="Arial" w:hAnsi="Arial"/>
        <w:i/>
        <w:sz w:val="20"/>
        <w:szCs w:val="20"/>
      </w:rPr>
      <w:t xml:space="preserve">podpory kultury v Olomouckém kraji – vyhlášení </w:t>
    </w:r>
    <w:r w:rsidRPr="00FB2F79">
      <w:rPr>
        <w:rFonts w:ascii="Arial" w:hAnsi="Arial"/>
        <w:i/>
        <w:sz w:val="20"/>
        <w:szCs w:val="20"/>
      </w:rPr>
      <w:t>Příloha č. 3 Vzor veřejnoprávní smlouvy o poskytnu</w:t>
    </w:r>
    <w:r>
      <w:rPr>
        <w:rFonts w:ascii="Arial" w:hAnsi="Arial"/>
        <w:i/>
        <w:sz w:val="20"/>
        <w:szCs w:val="20"/>
      </w:rPr>
      <w:t>tí dotace na akci dle dotačního</w:t>
    </w:r>
    <w:r w:rsidRPr="00FB2F79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 xml:space="preserve">titulu 1: Víceletá </w:t>
    </w:r>
    <w:r w:rsidRPr="00FB2F79">
      <w:rPr>
        <w:rFonts w:ascii="Arial" w:hAnsi="Arial"/>
        <w:i/>
        <w:sz w:val="20"/>
        <w:szCs w:val="20"/>
      </w:rPr>
      <w:t>podpora významných kulturních akcí</w:t>
    </w:r>
  </w:p>
  <w:p w:rsidR="00891ED8" w:rsidRDefault="00F742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48" w:rsidRDefault="00EE0448" w:rsidP="00F7678A">
      <w:r>
        <w:separator/>
      </w:r>
    </w:p>
  </w:footnote>
  <w:footnote w:type="continuationSeparator" w:id="0">
    <w:p w:rsidR="00EE0448" w:rsidRDefault="00EE0448" w:rsidP="00F7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30" w:rsidRDefault="00F742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D8" w:rsidRDefault="00F742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DD" w:rsidRPr="001B250E" w:rsidRDefault="00831524" w:rsidP="002C7BDD">
    <w:pPr>
      <w:pStyle w:val="Zkladntext"/>
      <w:spacing w:after="240"/>
      <w:rPr>
        <w:rFonts w:cs="Arial"/>
        <w:i/>
        <w:iCs/>
      </w:rPr>
    </w:pPr>
    <w:r w:rsidRPr="004D43C5">
      <w:rPr>
        <w:rFonts w:cs="Arial"/>
        <w:szCs w:val="24"/>
        <w:u w:val="single"/>
      </w:rPr>
      <w:t>Příloha č. 2</w:t>
    </w:r>
    <w:r w:rsidRPr="001B250E">
      <w:rPr>
        <w:rFonts w:cs="Arial"/>
        <w:i/>
        <w:szCs w:val="24"/>
      </w:rPr>
      <w:t xml:space="preserve"> </w:t>
    </w:r>
    <w:r w:rsidRPr="001B250E">
      <w:rPr>
        <w:i/>
      </w:rPr>
      <w:t xml:space="preserve"> – </w:t>
    </w:r>
    <w:r w:rsidRPr="001B250E">
      <w:rPr>
        <w:rFonts w:cs="Arial"/>
        <w:i/>
        <w:iCs/>
      </w:rPr>
      <w:t xml:space="preserve">Vzorová veřejnoprávní smlouva o poskytnutí dotace na regionální funkce         </w:t>
    </w:r>
  </w:p>
  <w:p w:rsidR="00891ED8" w:rsidRDefault="00F742C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D8" w:rsidRDefault="00F742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D92"/>
    <w:multiLevelType w:val="multilevel"/>
    <w:tmpl w:val="BFB6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>
    <w:nsid w:val="5EE70E10"/>
    <w:multiLevelType w:val="hybridMultilevel"/>
    <w:tmpl w:val="6F9A08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472AB"/>
    <w:multiLevelType w:val="hybridMultilevel"/>
    <w:tmpl w:val="D2B63870"/>
    <w:lvl w:ilvl="0" w:tplc="9162F2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6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D4B31A0"/>
    <w:multiLevelType w:val="multilevel"/>
    <w:tmpl w:val="B63CC8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C8"/>
    <w:rsid w:val="000E1FBA"/>
    <w:rsid w:val="0014022F"/>
    <w:rsid w:val="003816A1"/>
    <w:rsid w:val="00450382"/>
    <w:rsid w:val="00464B06"/>
    <w:rsid w:val="00535EEE"/>
    <w:rsid w:val="00656982"/>
    <w:rsid w:val="00831524"/>
    <w:rsid w:val="008A7D5B"/>
    <w:rsid w:val="008E1FCF"/>
    <w:rsid w:val="00901FC8"/>
    <w:rsid w:val="009A1AF1"/>
    <w:rsid w:val="00C551D6"/>
    <w:rsid w:val="00C921A1"/>
    <w:rsid w:val="00E06D9F"/>
    <w:rsid w:val="00E741CB"/>
    <w:rsid w:val="00EE0448"/>
    <w:rsid w:val="00F742CF"/>
    <w:rsid w:val="00F7678A"/>
    <w:rsid w:val="00F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901FC8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901FC8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Tabulkatuntext16nasted">
    <w:name w:val="Tabulka tučný text_16 na střed"/>
    <w:basedOn w:val="Normln"/>
    <w:rsid w:val="00901FC8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901FC8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901FC8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901FC8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901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F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01F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1F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1FC8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901FC8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01FC8"/>
    <w:rPr>
      <w:rFonts w:ascii="Arial" w:eastAsia="Times New Roman" w:hAnsi="Arial" w:cs="Times New Roman"/>
      <w:bCs/>
      <w:sz w:val="24"/>
      <w:szCs w:val="20"/>
    </w:rPr>
  </w:style>
  <w:style w:type="character" w:styleId="Hypertextovodkaz">
    <w:name w:val="Hyperlink"/>
    <w:rsid w:val="00901FC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01F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1FC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90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5698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2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2C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901FC8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901FC8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Tabulkatuntext16nasted">
    <w:name w:val="Tabulka tučný text_16 na střed"/>
    <w:basedOn w:val="Normln"/>
    <w:rsid w:val="00901FC8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901FC8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901FC8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901FC8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901F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F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F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01F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1F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1FC8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901FC8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01FC8"/>
    <w:rPr>
      <w:rFonts w:ascii="Arial" w:eastAsia="Times New Roman" w:hAnsi="Arial" w:cs="Times New Roman"/>
      <w:bCs/>
      <w:sz w:val="24"/>
      <w:szCs w:val="20"/>
    </w:rPr>
  </w:style>
  <w:style w:type="character" w:styleId="Hypertextovodkaz">
    <w:name w:val="Hyperlink"/>
    <w:rsid w:val="00901FC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901F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1FC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90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5698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2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2C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-olomoucky.cz/vyuctovani-prispevku-cl-351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3038</Words>
  <Characters>17927</Characters>
  <Application>Microsoft Office Word</Application>
  <DocSecurity>4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Vrbová Jitka</cp:lastModifiedBy>
  <cp:revision>2</cp:revision>
  <cp:lastPrinted>2016-04-08T09:01:00Z</cp:lastPrinted>
  <dcterms:created xsi:type="dcterms:W3CDTF">2016-04-08T09:01:00Z</dcterms:created>
  <dcterms:modified xsi:type="dcterms:W3CDTF">2016-04-08T09:01:00Z</dcterms:modified>
</cp:coreProperties>
</file>