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720FE3" w:rsidP="00720FE3">
      <w:pPr>
        <w:pStyle w:val="Zkladntextodsazendek"/>
        <w:ind w:left="0"/>
      </w:pPr>
      <w:r w:rsidRPr="00ED7961">
        <w:t>Zastupitelstvo Olomouckého kraje usnesením č. UZ/</w:t>
      </w:r>
      <w:r>
        <w:t>2/12/2012</w:t>
      </w:r>
      <w:r w:rsidRPr="00ED7961">
        <w:t xml:space="preserve"> ze dne </w:t>
      </w:r>
      <w:proofErr w:type="gramStart"/>
      <w:r>
        <w:t>21.12.2012</w:t>
      </w:r>
      <w:proofErr w:type="gramEnd"/>
      <w:r w:rsidRPr="00ED7961">
        <w:t xml:space="preserve"> schválilo rozpočet Olomouckého kraje na rok 201</w:t>
      </w:r>
      <w:r>
        <w:t>3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2013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 ke schvalování investic pro zastupitele Olomouckého kraje a Krajský úřad Olomouckého kraje. </w:t>
      </w:r>
      <w:r w:rsidRPr="00ED7961">
        <w:t xml:space="preserve">Dále zmocnilo Radu Olomouckého kraje </w:t>
      </w:r>
      <w:r>
        <w:t xml:space="preserve">k rozdělování dotací na přímé náklady na vzdělávání, které budou poukazovány zálohově školským příspěvkovým organizacím zřizovanými obcemi Olomouckého kraje a příspěvkovým organizacím z oblasti školství zřizovanými Olomouckým krajem, </w:t>
      </w:r>
      <w:r w:rsidRPr="00ED7961">
        <w:t>a současně zmocnilo Radu Olomouckého kraje</w:t>
      </w:r>
      <w:r>
        <w:t xml:space="preserve"> k provádění rozpočtových změn, týkajících se dílčího čerpání úvěrového rámce z EIB.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31.12.2012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31.12.2012 na zvláštních bankovních účtech určených pro financování půjček z EIB a k zapojení zůstatků k 31.12.2012 z úvěrového rámce KB do rozpočtu Olomouckého kraje roku 2013, k zapojení zůstatku k 31.12.2012 určeného na financování projektu "Dobrovolnické možnosti podpory seniorů a sociálně vyloučených občanů v EU" do rozpočtu Olomouckého kraje roku 2013 a k provádění rozpočtových změn, týkajících se dílčích čerpání z úvěrového rámce z Komerční banky, a.s.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       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720FE3" w:rsidRPr="00720FE3">
        <w:t xml:space="preserve">UZ/2/12/2012 ze dne </w:t>
      </w:r>
      <w:proofErr w:type="gramStart"/>
      <w:r w:rsidR="00720FE3" w:rsidRPr="00720FE3">
        <w:t>21.12.2012</w:t>
      </w:r>
      <w:proofErr w:type="gramEnd"/>
      <w:r w:rsidR="00720FE3" w:rsidRPr="00720FE3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FE7924">
        <w:rPr>
          <w:rFonts w:ascii="Arial" w:hAnsi="Arial" w:cs="Arial"/>
        </w:rPr>
        <w:t>10.10</w:t>
      </w:r>
      <w:r w:rsidR="00457C61">
        <w:rPr>
          <w:rFonts w:ascii="Arial" w:hAnsi="Arial" w:cs="Arial"/>
        </w:rPr>
        <w:t>.201</w:t>
      </w:r>
      <w:r w:rsidR="00720FE3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6C7B9A" w:rsidRPr="00D43EF4">
        <w:rPr>
          <w:rFonts w:ascii="Arial" w:hAnsi="Arial" w:cs="Arial"/>
        </w:rPr>
        <w:t>rozpočtov</w:t>
      </w:r>
      <w:r w:rsidR="006C7B9A">
        <w:rPr>
          <w:rFonts w:ascii="Arial" w:hAnsi="Arial" w:cs="Arial"/>
        </w:rPr>
        <w:t>é</w:t>
      </w:r>
      <w:r w:rsidR="006C7B9A" w:rsidRPr="00D43EF4">
        <w:rPr>
          <w:rFonts w:ascii="Arial" w:hAnsi="Arial" w:cs="Arial"/>
        </w:rPr>
        <w:t xml:space="preserve"> změn</w:t>
      </w:r>
      <w:r w:rsidR="006C7B9A">
        <w:rPr>
          <w:rFonts w:ascii="Arial" w:hAnsi="Arial" w:cs="Arial"/>
        </w:rPr>
        <w:t>y</w:t>
      </w:r>
      <w:r w:rsidR="008647B9">
        <w:rPr>
          <w:rFonts w:ascii="Arial" w:hAnsi="Arial" w:cs="Arial"/>
        </w:rPr>
        <w:t xml:space="preserve"> č. </w:t>
      </w:r>
      <w:r w:rsidR="00FE7924">
        <w:rPr>
          <w:rFonts w:ascii="Arial" w:hAnsi="Arial" w:cs="Arial"/>
        </w:rPr>
        <w:t>427</w:t>
      </w:r>
      <w:r w:rsidR="006C7B9A">
        <w:rPr>
          <w:rFonts w:ascii="Arial" w:hAnsi="Arial" w:cs="Arial"/>
        </w:rPr>
        <w:t xml:space="preserve">/13 - </w:t>
      </w:r>
      <w:r w:rsidR="00FE7924">
        <w:rPr>
          <w:rFonts w:ascii="Arial" w:hAnsi="Arial" w:cs="Arial"/>
        </w:rPr>
        <w:t>451</w:t>
      </w:r>
      <w:r w:rsidR="00720FE3">
        <w:rPr>
          <w:rFonts w:ascii="Arial" w:hAnsi="Arial" w:cs="Arial"/>
        </w:rPr>
        <w:t>/13</w:t>
      </w:r>
      <w:r w:rsidR="00CE058D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C872E1" w:rsidRDefault="00C872E1" w:rsidP="00C872E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FE7924">
        <w:rPr>
          <w:rFonts w:ascii="Arial" w:hAnsi="Arial" w:cs="Arial"/>
        </w:rPr>
        <w:t>23.10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FE7924">
        <w:rPr>
          <w:rFonts w:ascii="Arial" w:hAnsi="Arial" w:cs="Arial"/>
        </w:rPr>
        <w:t>452</w:t>
      </w:r>
      <w:r w:rsidR="00720FE3">
        <w:rPr>
          <w:rFonts w:ascii="Arial" w:hAnsi="Arial" w:cs="Arial"/>
        </w:rPr>
        <w:t>/13</w:t>
      </w:r>
      <w:r>
        <w:rPr>
          <w:rFonts w:ascii="Arial" w:hAnsi="Arial" w:cs="Arial"/>
        </w:rPr>
        <w:t xml:space="preserve"> </w:t>
      </w:r>
      <w:r w:rsidR="00720F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FE7924">
        <w:rPr>
          <w:rFonts w:ascii="Arial" w:hAnsi="Arial" w:cs="Arial"/>
        </w:rPr>
        <w:t>477</w:t>
      </w:r>
      <w:r w:rsidR="00D91C8F">
        <w:rPr>
          <w:rFonts w:ascii="Arial" w:hAnsi="Arial" w:cs="Arial"/>
        </w:rPr>
        <w:t xml:space="preserve">/13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FE7924">
        <w:rPr>
          <w:rFonts w:ascii="Arial" w:hAnsi="Arial" w:cs="Arial"/>
        </w:rPr>
        <w:t>14.11</w:t>
      </w:r>
      <w:r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FE7924">
        <w:rPr>
          <w:rFonts w:ascii="Arial" w:hAnsi="Arial" w:cs="Arial"/>
        </w:rPr>
        <w:t>479</w:t>
      </w:r>
      <w:r>
        <w:rPr>
          <w:rFonts w:ascii="Arial" w:hAnsi="Arial" w:cs="Arial"/>
        </w:rPr>
        <w:t xml:space="preserve">/13 - </w:t>
      </w:r>
      <w:r w:rsidR="00FE7924">
        <w:rPr>
          <w:rFonts w:ascii="Arial" w:hAnsi="Arial" w:cs="Arial"/>
        </w:rPr>
        <w:t>514</w:t>
      </w:r>
      <w:r>
        <w:rPr>
          <w:rFonts w:ascii="Arial" w:hAnsi="Arial" w:cs="Arial"/>
        </w:rPr>
        <w:t xml:space="preserve">/13 </w:t>
      </w:r>
      <w:r w:rsidR="00BC3890">
        <w:rPr>
          <w:rFonts w:ascii="Arial" w:hAnsi="Arial" w:cs="Arial"/>
        </w:rPr>
        <w:t xml:space="preserve">a 517/13 - 518/13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3</w:t>
      </w:r>
    </w:p>
    <w:p w:rsidR="00ED02F0" w:rsidRDefault="003C73F8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E12AA6">
        <w:rPr>
          <w:rFonts w:ascii="Arial" w:hAnsi="Arial" w:cs="Arial"/>
        </w:rPr>
        <w:t xml:space="preserve"> </w:t>
      </w:r>
      <w:proofErr w:type="gramStart"/>
      <w:r w:rsidR="00FE7924">
        <w:rPr>
          <w:rFonts w:ascii="Arial" w:hAnsi="Arial" w:cs="Arial"/>
        </w:rPr>
        <w:t>23.10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</w:t>
      </w:r>
      <w:r w:rsidR="00CE058D">
        <w:rPr>
          <w:rFonts w:ascii="Arial" w:hAnsi="Arial" w:cs="Arial"/>
        </w:rPr>
        <w:t>odsouhlasil</w:t>
      </w:r>
      <w:r w:rsidRPr="00D43EF4">
        <w:rPr>
          <w:rFonts w:ascii="Arial" w:hAnsi="Arial" w:cs="Arial"/>
        </w:rPr>
        <w:t>a rozpočtov</w:t>
      </w:r>
      <w:r w:rsidR="00720FE3">
        <w:rPr>
          <w:rFonts w:ascii="Arial" w:hAnsi="Arial" w:cs="Arial"/>
        </w:rPr>
        <w:t>ou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FE7924">
        <w:rPr>
          <w:rFonts w:ascii="Arial" w:hAnsi="Arial" w:cs="Arial"/>
        </w:rPr>
        <w:t>478</w:t>
      </w:r>
      <w:r w:rsidR="00720FE3">
        <w:rPr>
          <w:rFonts w:ascii="Arial" w:hAnsi="Arial" w:cs="Arial"/>
        </w:rPr>
        <w:t>/13</w:t>
      </w:r>
      <w:r w:rsidR="00BD4E86">
        <w:rPr>
          <w:rFonts w:ascii="Arial" w:hAnsi="Arial" w:cs="Arial"/>
        </w:rPr>
        <w:t xml:space="preserve"> </w:t>
      </w:r>
      <w:r w:rsidR="00ED02F0">
        <w:rPr>
          <w:rFonts w:ascii="Arial" w:hAnsi="Arial" w:cs="Arial"/>
        </w:rPr>
        <w:t xml:space="preserve">- </w:t>
      </w:r>
      <w:r w:rsidR="00ED02F0" w:rsidRPr="00D43EF4">
        <w:rPr>
          <w:rFonts w:ascii="Arial" w:hAnsi="Arial" w:cs="Arial"/>
        </w:rPr>
        <w:t xml:space="preserve">Příloha č. </w:t>
      </w:r>
      <w:r w:rsidR="006C7B9A">
        <w:rPr>
          <w:rFonts w:ascii="Arial" w:hAnsi="Arial" w:cs="Arial"/>
        </w:rPr>
        <w:t>4</w:t>
      </w:r>
    </w:p>
    <w:p w:rsidR="006C7B9A" w:rsidRDefault="006C7B9A" w:rsidP="006C7B9A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FE7924">
        <w:rPr>
          <w:rFonts w:ascii="Arial" w:hAnsi="Arial" w:cs="Arial"/>
        </w:rPr>
        <w:t>14.11</w:t>
      </w:r>
      <w:r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odsouhlasil</w:t>
      </w:r>
      <w:r w:rsidRPr="00D43EF4">
        <w:rPr>
          <w:rFonts w:ascii="Arial" w:hAnsi="Arial" w:cs="Arial"/>
        </w:rPr>
        <w:t>a rozpočtov</w:t>
      </w:r>
      <w:r w:rsidR="00FE7924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FE792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FE7924">
        <w:rPr>
          <w:rFonts w:ascii="Arial" w:hAnsi="Arial" w:cs="Arial"/>
        </w:rPr>
        <w:t>515/13 - 516</w:t>
      </w:r>
      <w:r>
        <w:rPr>
          <w:rFonts w:ascii="Arial" w:hAnsi="Arial" w:cs="Arial"/>
        </w:rPr>
        <w:t xml:space="preserve">/13 -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720FE3" w:rsidRDefault="00720FE3" w:rsidP="00ED02F0">
      <w:pPr>
        <w:jc w:val="both"/>
        <w:rPr>
          <w:rFonts w:ascii="Arial" w:hAnsi="Arial" w:cs="Arial"/>
        </w:rPr>
      </w:pP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6C7B9A">
      <w:pPr>
        <w:rPr>
          <w:rFonts w:ascii="Arial" w:hAnsi="Arial" w:cs="Arial"/>
        </w:rPr>
      </w:pPr>
      <w:r w:rsidRPr="006C7B9A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FE7924">
        <w:rPr>
          <w:rFonts w:ascii="Arial" w:hAnsi="Arial" w:cs="Arial"/>
        </w:rPr>
        <w:t>10.10</w:t>
      </w:r>
      <w:r w:rsidR="00720FE3">
        <w:rPr>
          <w:rFonts w:ascii="Arial" w:hAnsi="Arial" w:cs="Arial"/>
        </w:rPr>
        <w:t>.2013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(strana </w:t>
      </w:r>
      <w:r w:rsidR="00D416A1">
        <w:rPr>
          <w:rFonts w:ascii="Arial" w:hAnsi="Arial" w:cs="Arial"/>
        </w:rPr>
        <w:t>3</w:t>
      </w:r>
      <w:r w:rsidR="006C7B9A">
        <w:rPr>
          <w:rFonts w:ascii="Arial" w:hAnsi="Arial" w:cs="Arial"/>
        </w:rPr>
        <w:t xml:space="preserve"> - 1</w:t>
      </w:r>
      <w:r w:rsidR="00FE7924">
        <w:rPr>
          <w:rFonts w:ascii="Arial" w:hAnsi="Arial" w:cs="Arial"/>
        </w:rPr>
        <w:t>7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FE7924">
        <w:rPr>
          <w:rFonts w:ascii="Arial" w:hAnsi="Arial" w:cs="Arial"/>
        </w:rPr>
        <w:t>23.10</w:t>
      </w:r>
      <w:r w:rsidR="00720FE3">
        <w:rPr>
          <w:rFonts w:ascii="Arial" w:hAnsi="Arial" w:cs="Arial"/>
        </w:rPr>
        <w:t>.2013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791C08">
        <w:rPr>
          <w:rFonts w:ascii="Arial" w:hAnsi="Arial" w:cs="Arial"/>
        </w:rPr>
        <w:t xml:space="preserve"> </w:t>
      </w:r>
      <w:r w:rsidR="006C7B9A">
        <w:rPr>
          <w:rFonts w:ascii="Arial" w:hAnsi="Arial" w:cs="Arial"/>
        </w:rPr>
        <w:t>1</w:t>
      </w:r>
      <w:r w:rsidR="00FE7924">
        <w:rPr>
          <w:rFonts w:ascii="Arial" w:hAnsi="Arial" w:cs="Arial"/>
        </w:rPr>
        <w:t>8</w:t>
      </w:r>
      <w:r w:rsidR="00720FE3">
        <w:rPr>
          <w:rFonts w:ascii="Arial" w:hAnsi="Arial" w:cs="Arial"/>
        </w:rPr>
        <w:t xml:space="preserve"> - </w:t>
      </w:r>
      <w:r w:rsidR="00FE7924">
        <w:rPr>
          <w:rFonts w:ascii="Arial" w:hAnsi="Arial" w:cs="Arial"/>
        </w:rPr>
        <w:t>30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E12AA6" w:rsidRPr="00D43EF4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FE7924">
        <w:rPr>
          <w:rFonts w:ascii="Arial" w:hAnsi="Arial" w:cs="Arial"/>
        </w:rPr>
        <w:t>14.11</w:t>
      </w:r>
      <w:r>
        <w:rPr>
          <w:rFonts w:ascii="Arial" w:hAnsi="Arial" w:cs="Arial"/>
        </w:rPr>
        <w:t>.2013</w:t>
      </w:r>
      <w:proofErr w:type="gramEnd"/>
    </w:p>
    <w:p w:rsidR="00E12AA6" w:rsidRDefault="00E12AA6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FE7924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- </w:t>
      </w:r>
      <w:r w:rsidR="00FE7924">
        <w:rPr>
          <w:rFonts w:ascii="Arial" w:hAnsi="Arial" w:cs="Arial"/>
        </w:rPr>
        <w:t>5</w:t>
      </w:r>
      <w:r w:rsidR="00BC3890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711E2A" w:rsidRPr="00D43EF4" w:rsidRDefault="00711E2A" w:rsidP="00711E2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 navržená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FE7924">
        <w:rPr>
          <w:rFonts w:ascii="Arial" w:hAnsi="Arial" w:cs="Arial"/>
        </w:rPr>
        <w:t>23.10</w:t>
      </w:r>
      <w:r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ke schválení</w:t>
      </w:r>
    </w:p>
    <w:p w:rsidR="00711E2A" w:rsidRDefault="00711E2A" w:rsidP="00711E2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FE7924">
        <w:rPr>
          <w:rFonts w:ascii="Arial" w:hAnsi="Arial" w:cs="Arial"/>
        </w:rPr>
        <w:t>5</w:t>
      </w:r>
      <w:r w:rsidR="00BC3890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E12AA6">
        <w:rPr>
          <w:rFonts w:ascii="Arial" w:hAnsi="Arial" w:cs="Arial"/>
        </w:rPr>
        <w:t>5</w:t>
      </w:r>
    </w:p>
    <w:p w:rsidR="003A0B1A" w:rsidRPr="00D43EF4" w:rsidRDefault="003A0B1A" w:rsidP="003A0B1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FE7924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FE792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navržen</w:t>
      </w:r>
      <w:r w:rsidR="00FE7924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E12AA6">
        <w:rPr>
          <w:rFonts w:ascii="Arial" w:hAnsi="Arial" w:cs="Arial"/>
        </w:rPr>
        <w:t xml:space="preserve"> </w:t>
      </w:r>
      <w:proofErr w:type="gramStart"/>
      <w:r w:rsidR="00FE7924">
        <w:rPr>
          <w:rFonts w:ascii="Arial" w:hAnsi="Arial" w:cs="Arial"/>
        </w:rPr>
        <w:t>14.11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ke schválení</w:t>
      </w:r>
    </w:p>
    <w:p w:rsidR="003A0B1A" w:rsidRDefault="003A0B1A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940823">
        <w:rPr>
          <w:rFonts w:ascii="Arial" w:hAnsi="Arial" w:cs="Arial"/>
        </w:rPr>
        <w:t xml:space="preserve"> </w:t>
      </w:r>
      <w:r w:rsidR="00FE7924">
        <w:rPr>
          <w:rFonts w:ascii="Arial" w:hAnsi="Arial" w:cs="Arial"/>
        </w:rPr>
        <w:t>5</w:t>
      </w:r>
      <w:r w:rsidR="00BC3890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3A2D8C">
        <w:rPr>
          <w:rFonts w:ascii="Arial" w:hAnsi="Arial" w:cs="Arial"/>
        </w:rPr>
        <w:t>6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720FE3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D5F36">
        <w:rPr>
          <w:rFonts w:ascii="Arial" w:hAnsi="Arial" w:cs="Arial"/>
        </w:rPr>
        <w:t xml:space="preserve"> </w:t>
      </w:r>
      <w:r w:rsidR="00FE7924">
        <w:rPr>
          <w:rFonts w:ascii="Arial" w:hAnsi="Arial" w:cs="Arial"/>
        </w:rPr>
        <w:t>5</w:t>
      </w:r>
      <w:r w:rsidR="00BC3890">
        <w:rPr>
          <w:rFonts w:ascii="Arial" w:hAnsi="Arial" w:cs="Arial"/>
        </w:rPr>
        <w:t>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FE7924">
      <w:rPr>
        <w:rFonts w:ascii="Arial" w:hAnsi="Arial" w:cs="Arial"/>
        <w:i/>
        <w:sz w:val="20"/>
        <w:szCs w:val="20"/>
      </w:rPr>
      <w:t>22.11</w:t>
    </w:r>
    <w:r w:rsidR="006C7B9A">
      <w:rPr>
        <w:rFonts w:ascii="Arial" w:hAnsi="Arial" w:cs="Arial"/>
        <w:i/>
        <w:sz w:val="20"/>
        <w:szCs w:val="20"/>
      </w:rPr>
      <w:t>.</w:t>
    </w:r>
    <w:r w:rsidR="0016339C">
      <w:rPr>
        <w:rFonts w:ascii="Arial" w:hAnsi="Arial" w:cs="Arial"/>
        <w:i/>
        <w:sz w:val="20"/>
        <w:szCs w:val="20"/>
      </w:rPr>
      <w:t>201</w:t>
    </w:r>
    <w:r w:rsidR="007946C1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C3890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791C08">
      <w:rPr>
        <w:rFonts w:ascii="Arial" w:hAnsi="Arial" w:cs="Arial"/>
        <w:i/>
        <w:sz w:val="20"/>
        <w:szCs w:val="20"/>
      </w:rPr>
      <w:t xml:space="preserve"> </w:t>
    </w:r>
    <w:r w:rsidR="00FE7924">
      <w:rPr>
        <w:rFonts w:ascii="Arial" w:hAnsi="Arial" w:cs="Arial"/>
        <w:i/>
        <w:sz w:val="20"/>
        <w:szCs w:val="20"/>
      </w:rPr>
      <w:t>5</w:t>
    </w:r>
    <w:r w:rsidR="00BC3890">
      <w:rPr>
        <w:rFonts w:ascii="Arial" w:hAnsi="Arial" w:cs="Arial"/>
        <w:i/>
        <w:sz w:val="20"/>
        <w:szCs w:val="20"/>
      </w:rPr>
      <w:t>4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FE7924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.1.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7946C1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219EC"/>
    <w:rsid w:val="00125171"/>
    <w:rsid w:val="00136DEE"/>
    <w:rsid w:val="0013730E"/>
    <w:rsid w:val="00140125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C7B9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1E2A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2A1A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C3890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E79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4420-B384-4F70-BBC3-69FB83A3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2013-04-08T07:17:00Z</cp:lastPrinted>
  <dcterms:created xsi:type="dcterms:W3CDTF">2013-11-11T06:56:00Z</dcterms:created>
  <dcterms:modified xsi:type="dcterms:W3CDTF">2013-11-14T08:58:00Z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