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D5" w:rsidRDefault="00C048D5" w:rsidP="00C048D5">
      <w:pPr>
        <w:pStyle w:val="Radadvodovzprva"/>
      </w:pPr>
      <w:r>
        <w:t>Důvodová zpráva:</w:t>
      </w:r>
    </w:p>
    <w:p w:rsidR="005F235E" w:rsidRDefault="00F47249" w:rsidP="005F235E">
      <w:pPr>
        <w:spacing w:after="120"/>
        <w:jc w:val="both"/>
        <w:rPr>
          <w:rFonts w:ascii="Arial" w:hAnsi="Arial" w:cs="Arial"/>
        </w:rPr>
      </w:pPr>
      <w:r>
        <w:rPr>
          <w:rFonts w:ascii="Arial" w:hAnsi="Arial" w:cs="Arial"/>
        </w:rPr>
        <w:t xml:space="preserve">Olomoucký kraj </w:t>
      </w:r>
      <w:r w:rsidR="0099496A">
        <w:rPr>
          <w:rFonts w:ascii="Arial" w:hAnsi="Arial" w:cs="Arial"/>
        </w:rPr>
        <w:t>společně se statutárním městem Olomouc od roku 200</w:t>
      </w:r>
      <w:r w:rsidR="009B622F">
        <w:rPr>
          <w:rFonts w:ascii="Arial" w:hAnsi="Arial" w:cs="Arial"/>
        </w:rPr>
        <w:t>4</w:t>
      </w:r>
      <w:r w:rsidR="0099496A">
        <w:rPr>
          <w:rFonts w:ascii="Arial" w:hAnsi="Arial" w:cs="Arial"/>
        </w:rPr>
        <w:t xml:space="preserve"> finančně podporuje </w:t>
      </w:r>
      <w:r w:rsidR="00D47F2C">
        <w:rPr>
          <w:rFonts w:ascii="Arial" w:hAnsi="Arial" w:cs="Arial"/>
        </w:rPr>
        <w:t xml:space="preserve">fungování turistické slevové karty </w:t>
      </w:r>
      <w:r>
        <w:rPr>
          <w:rFonts w:ascii="Arial" w:hAnsi="Arial" w:cs="Arial"/>
        </w:rPr>
        <w:t xml:space="preserve">Olomouc region </w:t>
      </w:r>
      <w:proofErr w:type="spellStart"/>
      <w:r>
        <w:rPr>
          <w:rFonts w:ascii="Arial" w:hAnsi="Arial" w:cs="Arial"/>
        </w:rPr>
        <w:t>Card</w:t>
      </w:r>
      <w:proofErr w:type="spellEnd"/>
      <w:r w:rsidR="0099496A">
        <w:rPr>
          <w:rFonts w:ascii="Arial" w:hAnsi="Arial" w:cs="Arial"/>
        </w:rPr>
        <w:t>. Podíl Olomouckého kraje činí</w:t>
      </w:r>
      <w:r w:rsidR="00A652D1">
        <w:rPr>
          <w:rFonts w:ascii="Arial" w:hAnsi="Arial" w:cs="Arial"/>
        </w:rPr>
        <w:t xml:space="preserve"> 65 % a </w:t>
      </w:r>
      <w:r w:rsidR="0099496A">
        <w:rPr>
          <w:rFonts w:ascii="Arial" w:hAnsi="Arial" w:cs="Arial"/>
        </w:rPr>
        <w:t xml:space="preserve">podíl </w:t>
      </w:r>
      <w:r w:rsidR="00A652D1">
        <w:rPr>
          <w:rFonts w:ascii="Arial" w:hAnsi="Arial" w:cs="Arial"/>
        </w:rPr>
        <w:t>statutární</w:t>
      </w:r>
      <w:r w:rsidR="0099496A">
        <w:rPr>
          <w:rFonts w:ascii="Arial" w:hAnsi="Arial" w:cs="Arial"/>
        </w:rPr>
        <w:t>ho</w:t>
      </w:r>
      <w:r w:rsidR="00A652D1">
        <w:rPr>
          <w:rFonts w:ascii="Arial" w:hAnsi="Arial" w:cs="Arial"/>
        </w:rPr>
        <w:t xml:space="preserve"> měst</w:t>
      </w:r>
      <w:r w:rsidR="0099496A">
        <w:rPr>
          <w:rFonts w:ascii="Arial" w:hAnsi="Arial" w:cs="Arial"/>
        </w:rPr>
        <w:t>a</w:t>
      </w:r>
      <w:r w:rsidR="00A652D1">
        <w:rPr>
          <w:rFonts w:ascii="Arial" w:hAnsi="Arial" w:cs="Arial"/>
        </w:rPr>
        <w:t xml:space="preserve"> Olomouc 35 %</w:t>
      </w:r>
      <w:r w:rsidR="0099496A">
        <w:rPr>
          <w:rFonts w:ascii="Arial" w:hAnsi="Arial" w:cs="Arial"/>
        </w:rPr>
        <w:t>.</w:t>
      </w:r>
      <w:r w:rsidR="00A652D1">
        <w:rPr>
          <w:rFonts w:ascii="Arial" w:hAnsi="Arial" w:cs="Arial"/>
        </w:rPr>
        <w:t xml:space="preserve"> </w:t>
      </w:r>
      <w:r w:rsidR="005F235E" w:rsidRPr="005F235E">
        <w:rPr>
          <w:rFonts w:ascii="Arial" w:hAnsi="Arial" w:cs="Arial"/>
        </w:rPr>
        <w:t xml:space="preserve">Ve výběrovém řízení byl jako administrátor pro období 2005 – 2010 vybrán RNDr. Ivan Marek. </w:t>
      </w:r>
      <w:r w:rsidR="005F235E" w:rsidRPr="00F84B93">
        <w:rPr>
          <w:rFonts w:ascii="Arial" w:hAnsi="Arial" w:cs="Arial"/>
          <w:b/>
        </w:rPr>
        <w:t xml:space="preserve">Finance jsou poskytovány oběma partnery na základě smlouvy </w:t>
      </w:r>
      <w:r w:rsidR="00037606">
        <w:rPr>
          <w:rFonts w:ascii="Arial" w:hAnsi="Arial" w:cs="Arial"/>
          <w:b/>
        </w:rPr>
        <w:br/>
      </w:r>
      <w:r w:rsidR="005F235E" w:rsidRPr="00F84B93">
        <w:rPr>
          <w:rFonts w:ascii="Arial" w:hAnsi="Arial" w:cs="Arial"/>
          <w:b/>
        </w:rPr>
        <w:t>o příspěvku.</w:t>
      </w:r>
      <w:r w:rsidR="005F235E" w:rsidRPr="005F235E">
        <w:rPr>
          <w:rFonts w:ascii="Arial" w:hAnsi="Arial" w:cs="Arial"/>
        </w:rPr>
        <w:t xml:space="preserve"> </w:t>
      </w:r>
    </w:p>
    <w:p w:rsidR="00FB1E75" w:rsidRDefault="004A7595" w:rsidP="00FB1E75">
      <w:pPr>
        <w:spacing w:after="120"/>
        <w:jc w:val="both"/>
        <w:rPr>
          <w:rFonts w:ascii="Arial" w:hAnsi="Arial" w:cs="Arial"/>
        </w:rPr>
      </w:pPr>
      <w:r>
        <w:rPr>
          <w:rFonts w:ascii="Arial" w:hAnsi="Arial" w:cs="Arial"/>
        </w:rPr>
        <w:t xml:space="preserve">Od roku 2008 se začal připravovat projekt na digitalizaci Olomouc region </w:t>
      </w:r>
      <w:proofErr w:type="spellStart"/>
      <w:r>
        <w:rPr>
          <w:rFonts w:ascii="Arial" w:hAnsi="Arial" w:cs="Arial"/>
        </w:rPr>
        <w:t>Card</w:t>
      </w:r>
      <w:proofErr w:type="spellEnd"/>
      <w:r>
        <w:rPr>
          <w:rFonts w:ascii="Arial" w:hAnsi="Arial" w:cs="Arial"/>
        </w:rPr>
        <w:t>, který měl výrazně zasáhnout do způsobu administrace karty. Z důvodu odkladu tohoto projektu byl odložen i výběr nového administrátora a p</w:t>
      </w:r>
      <w:r w:rsidR="00FB1E75">
        <w:rPr>
          <w:rFonts w:ascii="Arial" w:hAnsi="Arial" w:cs="Arial"/>
        </w:rPr>
        <w:t xml:space="preserve">ro rok 2011 </w:t>
      </w:r>
      <w:r>
        <w:rPr>
          <w:rFonts w:ascii="Arial" w:hAnsi="Arial" w:cs="Arial"/>
        </w:rPr>
        <w:t xml:space="preserve">byla </w:t>
      </w:r>
      <w:r w:rsidR="00FB1E75">
        <w:rPr>
          <w:rFonts w:ascii="Arial" w:hAnsi="Arial" w:cs="Arial"/>
        </w:rPr>
        <w:t xml:space="preserve">uzavřena nová smlouva o poskytnutí příspěvku </w:t>
      </w:r>
      <w:r w:rsidR="005F235E">
        <w:rPr>
          <w:rFonts w:ascii="Arial" w:hAnsi="Arial" w:cs="Arial"/>
        </w:rPr>
        <w:t xml:space="preserve">s </w:t>
      </w:r>
      <w:r w:rsidR="00FB1E75">
        <w:rPr>
          <w:rFonts w:ascii="Arial" w:hAnsi="Arial" w:cs="Arial"/>
        </w:rPr>
        <w:t>RNDr. Ivan</w:t>
      </w:r>
      <w:r w:rsidR="005F235E">
        <w:rPr>
          <w:rFonts w:ascii="Arial" w:hAnsi="Arial" w:cs="Arial"/>
        </w:rPr>
        <w:t>em</w:t>
      </w:r>
      <w:r w:rsidR="00FB1E75">
        <w:rPr>
          <w:rFonts w:ascii="Arial" w:hAnsi="Arial" w:cs="Arial"/>
        </w:rPr>
        <w:t xml:space="preserve"> Mark</w:t>
      </w:r>
      <w:r w:rsidR="005F235E">
        <w:rPr>
          <w:rFonts w:ascii="Arial" w:hAnsi="Arial" w:cs="Arial"/>
        </w:rPr>
        <w:t>em</w:t>
      </w:r>
      <w:r>
        <w:rPr>
          <w:rFonts w:ascii="Arial" w:hAnsi="Arial" w:cs="Arial"/>
        </w:rPr>
        <w:t xml:space="preserve"> (smlouva 2010/03825/KH/DSM schválená usnesením ZOK č. UZ/16/48/2010 dne 24. 9. 2010.) Ta byla </w:t>
      </w:r>
      <w:r w:rsidR="00FB1E75">
        <w:rPr>
          <w:rFonts w:ascii="Arial" w:hAnsi="Arial" w:cs="Arial"/>
        </w:rPr>
        <w:t>dodatkem prodloužena na rok 2012</w:t>
      </w:r>
      <w:r w:rsidR="00B556BD">
        <w:rPr>
          <w:rFonts w:ascii="Arial" w:hAnsi="Arial" w:cs="Arial"/>
        </w:rPr>
        <w:t xml:space="preserve"> </w:t>
      </w:r>
      <w:r>
        <w:rPr>
          <w:rFonts w:ascii="Arial" w:hAnsi="Arial" w:cs="Arial"/>
        </w:rPr>
        <w:t>a následně na rok 2013 (</w:t>
      </w:r>
      <w:r w:rsidR="0099496A">
        <w:rPr>
          <w:rFonts w:ascii="Arial" w:hAnsi="Arial" w:cs="Arial"/>
        </w:rPr>
        <w:t xml:space="preserve">dodatek </w:t>
      </w:r>
      <w:r w:rsidR="00B556BD">
        <w:rPr>
          <w:rFonts w:ascii="Arial" w:hAnsi="Arial" w:cs="Arial"/>
        </w:rPr>
        <w:t>č.</w:t>
      </w:r>
      <w:r w:rsidR="0099496A">
        <w:rPr>
          <w:rFonts w:ascii="Arial" w:hAnsi="Arial" w:cs="Arial"/>
        </w:rPr>
        <w:t xml:space="preserve"> 1</w:t>
      </w:r>
      <w:r w:rsidR="00B556BD">
        <w:rPr>
          <w:rFonts w:ascii="Arial" w:hAnsi="Arial" w:cs="Arial"/>
        </w:rPr>
        <w:t xml:space="preserve"> schválen</w:t>
      </w:r>
      <w:r w:rsidR="0099496A">
        <w:rPr>
          <w:rFonts w:ascii="Arial" w:hAnsi="Arial" w:cs="Arial"/>
        </w:rPr>
        <w:t>ý</w:t>
      </w:r>
      <w:r w:rsidR="00B556BD">
        <w:rPr>
          <w:rFonts w:ascii="Arial" w:hAnsi="Arial" w:cs="Arial"/>
        </w:rPr>
        <w:t xml:space="preserve"> usnesením ZOK č. </w:t>
      </w:r>
      <w:r w:rsidR="00B556BD" w:rsidRPr="00B556BD">
        <w:rPr>
          <w:rFonts w:ascii="Arial" w:hAnsi="Arial" w:cs="Arial"/>
        </w:rPr>
        <w:t>UZ/22/5/2011 dne 16. 12. 2011</w:t>
      </w:r>
      <w:r>
        <w:rPr>
          <w:rFonts w:ascii="Arial" w:hAnsi="Arial" w:cs="Arial"/>
        </w:rPr>
        <w:t xml:space="preserve"> a dodatek č. 2 schválený usnesením ZOK </w:t>
      </w:r>
      <w:r w:rsidR="00037606">
        <w:rPr>
          <w:rFonts w:ascii="Arial" w:hAnsi="Arial" w:cs="Arial"/>
        </w:rPr>
        <w:t>UZ/26/6/2012 ze dne 21. 9. 2012</w:t>
      </w:r>
      <w:r w:rsidR="00B556BD">
        <w:rPr>
          <w:rFonts w:ascii="Arial" w:hAnsi="Arial" w:cs="Arial"/>
        </w:rPr>
        <w:t>)</w:t>
      </w:r>
      <w:r w:rsidR="00FB1E75">
        <w:rPr>
          <w:rFonts w:ascii="Arial" w:hAnsi="Arial" w:cs="Arial"/>
        </w:rPr>
        <w:t>. V letošním roce mělo v návaznosti na projekt „</w:t>
      </w:r>
      <w:proofErr w:type="spellStart"/>
      <w:r w:rsidR="00B556BD">
        <w:rPr>
          <w:rFonts w:ascii="Arial" w:hAnsi="Arial" w:cs="Arial"/>
        </w:rPr>
        <w:t>M</w:t>
      </w:r>
      <w:r w:rsidR="00FB1E75">
        <w:rPr>
          <w:rFonts w:ascii="Arial" w:hAnsi="Arial" w:cs="Arial"/>
        </w:rPr>
        <w:t>inidigitalizace</w:t>
      </w:r>
      <w:proofErr w:type="spellEnd"/>
      <w:r w:rsidR="00FB1E75">
        <w:rPr>
          <w:rFonts w:ascii="Arial" w:hAnsi="Arial" w:cs="Arial"/>
        </w:rPr>
        <w:t xml:space="preserve"> Olomouc </w:t>
      </w:r>
      <w:r w:rsidR="00B556BD">
        <w:rPr>
          <w:rFonts w:ascii="Arial" w:hAnsi="Arial" w:cs="Arial"/>
        </w:rPr>
        <w:t xml:space="preserve">region </w:t>
      </w:r>
      <w:proofErr w:type="spellStart"/>
      <w:r w:rsidR="00B556BD">
        <w:rPr>
          <w:rFonts w:ascii="Arial" w:hAnsi="Arial" w:cs="Arial"/>
        </w:rPr>
        <w:t>Card</w:t>
      </w:r>
      <w:proofErr w:type="spellEnd"/>
      <w:r w:rsidR="00B556BD">
        <w:rPr>
          <w:rFonts w:ascii="Arial" w:hAnsi="Arial" w:cs="Arial"/>
        </w:rPr>
        <w:t xml:space="preserve">“ </w:t>
      </w:r>
      <w:r w:rsidR="00FB1E75">
        <w:rPr>
          <w:rFonts w:ascii="Arial" w:hAnsi="Arial" w:cs="Arial"/>
        </w:rPr>
        <w:t>dojít k výběru nového administrátora. Protože nebyl dosud pr</w:t>
      </w:r>
      <w:r w:rsidR="00B556BD">
        <w:rPr>
          <w:rFonts w:ascii="Arial" w:hAnsi="Arial" w:cs="Arial"/>
        </w:rPr>
        <w:t>o</w:t>
      </w:r>
      <w:r w:rsidR="00FB1E75">
        <w:rPr>
          <w:rFonts w:ascii="Arial" w:hAnsi="Arial" w:cs="Arial"/>
        </w:rPr>
        <w:t xml:space="preserve">jekt zahájen, dohodli se zástupci kraje </w:t>
      </w:r>
      <w:r w:rsidR="00037606">
        <w:rPr>
          <w:rFonts w:ascii="Arial" w:hAnsi="Arial" w:cs="Arial"/>
        </w:rPr>
        <w:br/>
      </w:r>
      <w:r w:rsidR="00FB1E75">
        <w:rPr>
          <w:rFonts w:ascii="Arial" w:hAnsi="Arial" w:cs="Arial"/>
        </w:rPr>
        <w:t xml:space="preserve">a města na </w:t>
      </w:r>
      <w:r w:rsidR="00FB1E75" w:rsidRPr="0099496A">
        <w:rPr>
          <w:rFonts w:ascii="Arial" w:hAnsi="Arial" w:cs="Arial"/>
          <w:b/>
        </w:rPr>
        <w:t xml:space="preserve">prodloužení smlouvy o příspěvku na zajištění administrace Olomouc region </w:t>
      </w:r>
      <w:proofErr w:type="spellStart"/>
      <w:r w:rsidR="00FB1E75" w:rsidRPr="0099496A">
        <w:rPr>
          <w:rFonts w:ascii="Arial" w:hAnsi="Arial" w:cs="Arial"/>
          <w:b/>
        </w:rPr>
        <w:t>Card</w:t>
      </w:r>
      <w:proofErr w:type="spellEnd"/>
      <w:r w:rsidR="00FB1E75">
        <w:rPr>
          <w:rFonts w:ascii="Arial" w:hAnsi="Arial" w:cs="Arial"/>
        </w:rPr>
        <w:t xml:space="preserve"> s RNDr. Ivanem Markem o další rok</w:t>
      </w:r>
      <w:r w:rsidR="0099496A">
        <w:rPr>
          <w:rFonts w:ascii="Arial" w:hAnsi="Arial" w:cs="Arial"/>
        </w:rPr>
        <w:t xml:space="preserve">, a to </w:t>
      </w:r>
      <w:r w:rsidR="0099496A" w:rsidRPr="0099496A">
        <w:rPr>
          <w:rFonts w:ascii="Arial" w:hAnsi="Arial" w:cs="Arial"/>
          <w:b/>
        </w:rPr>
        <w:t xml:space="preserve">dodatkem č. </w:t>
      </w:r>
      <w:r w:rsidR="00037606">
        <w:rPr>
          <w:rFonts w:ascii="Arial" w:hAnsi="Arial" w:cs="Arial"/>
          <w:b/>
        </w:rPr>
        <w:t>3</w:t>
      </w:r>
      <w:r w:rsidR="0099496A">
        <w:rPr>
          <w:rFonts w:ascii="Arial" w:hAnsi="Arial" w:cs="Arial"/>
        </w:rPr>
        <w:t xml:space="preserve"> ke smlouvě o poskytnutí příspěvku</w:t>
      </w:r>
      <w:r w:rsidR="00FB1E75">
        <w:rPr>
          <w:rFonts w:ascii="Arial" w:hAnsi="Arial" w:cs="Arial"/>
        </w:rPr>
        <w:t xml:space="preserve">. </w:t>
      </w:r>
    </w:p>
    <w:p w:rsidR="0017162D" w:rsidRPr="0017162D" w:rsidRDefault="0017162D" w:rsidP="0017162D">
      <w:pPr>
        <w:tabs>
          <w:tab w:val="left" w:pos="900"/>
        </w:tabs>
        <w:spacing w:after="120"/>
        <w:jc w:val="both"/>
        <w:rPr>
          <w:rFonts w:ascii="Arial" w:hAnsi="Arial" w:cs="Arial"/>
          <w:b/>
        </w:rPr>
      </w:pPr>
      <w:r w:rsidRPr="0017162D">
        <w:rPr>
          <w:rFonts w:ascii="Arial" w:hAnsi="Arial" w:cs="Arial"/>
          <w:bCs/>
        </w:rPr>
        <w:t xml:space="preserve">Firma RNDr. Ivan Marek </w:t>
      </w:r>
      <w:r w:rsidRPr="0017162D">
        <w:rPr>
          <w:rFonts w:ascii="Arial" w:hAnsi="Arial" w:cs="Arial"/>
        </w:rPr>
        <w:t xml:space="preserve">předložila </w:t>
      </w:r>
      <w:r w:rsidRPr="0017162D">
        <w:rPr>
          <w:rFonts w:ascii="Arial" w:hAnsi="Arial" w:cs="Arial"/>
          <w:b/>
        </w:rPr>
        <w:t xml:space="preserve">návrh rozpočtu Olomouc region </w:t>
      </w:r>
      <w:proofErr w:type="spellStart"/>
      <w:r w:rsidRPr="0017162D">
        <w:rPr>
          <w:rFonts w:ascii="Arial" w:hAnsi="Arial" w:cs="Arial"/>
          <w:b/>
        </w:rPr>
        <w:t>Card</w:t>
      </w:r>
      <w:proofErr w:type="spellEnd"/>
      <w:r w:rsidRPr="0017162D">
        <w:rPr>
          <w:rFonts w:ascii="Arial" w:hAnsi="Arial" w:cs="Arial"/>
          <w:b/>
        </w:rPr>
        <w:t xml:space="preserve"> na rok 201</w:t>
      </w:r>
      <w:r w:rsidR="00C701F4">
        <w:rPr>
          <w:rFonts w:ascii="Arial" w:hAnsi="Arial" w:cs="Arial"/>
          <w:b/>
        </w:rPr>
        <w:t>4</w:t>
      </w:r>
      <w:r w:rsidRPr="0017162D">
        <w:rPr>
          <w:rFonts w:ascii="Arial" w:hAnsi="Arial" w:cs="Arial"/>
          <w:b/>
        </w:rPr>
        <w:t xml:space="preserve">, </w:t>
      </w:r>
      <w:r w:rsidRPr="0017162D">
        <w:rPr>
          <w:rFonts w:ascii="Arial" w:hAnsi="Arial" w:cs="Arial"/>
        </w:rPr>
        <w:t xml:space="preserve">kdy celkové náklady činí </w:t>
      </w:r>
      <w:r w:rsidR="000A2A96">
        <w:rPr>
          <w:rFonts w:ascii="Arial" w:hAnsi="Arial" w:cs="Arial"/>
        </w:rPr>
        <w:t>1 2</w:t>
      </w:r>
      <w:r w:rsidR="00C701F4">
        <w:rPr>
          <w:rFonts w:ascii="Arial" w:hAnsi="Arial" w:cs="Arial"/>
        </w:rPr>
        <w:t>9</w:t>
      </w:r>
      <w:r w:rsidR="00BD4036">
        <w:rPr>
          <w:rFonts w:ascii="Arial" w:hAnsi="Arial" w:cs="Arial"/>
        </w:rPr>
        <w:t>8</w:t>
      </w:r>
      <w:r w:rsidR="00C701F4">
        <w:rPr>
          <w:rFonts w:ascii="Arial" w:hAnsi="Arial" w:cs="Arial"/>
        </w:rPr>
        <w:t> </w:t>
      </w:r>
      <w:r w:rsidR="00BD4036">
        <w:rPr>
          <w:rFonts w:ascii="Arial" w:hAnsi="Arial" w:cs="Arial"/>
        </w:rPr>
        <w:t>000</w:t>
      </w:r>
      <w:r w:rsidR="000A2A96">
        <w:rPr>
          <w:rFonts w:ascii="Arial" w:hAnsi="Arial" w:cs="Arial"/>
        </w:rPr>
        <w:t xml:space="preserve"> </w:t>
      </w:r>
      <w:r w:rsidRPr="0017162D">
        <w:rPr>
          <w:rFonts w:ascii="Arial" w:hAnsi="Arial" w:cs="Arial"/>
        </w:rPr>
        <w:t xml:space="preserve">Kč, výnosy </w:t>
      </w:r>
      <w:r w:rsidR="00C701F4">
        <w:rPr>
          <w:rFonts w:ascii="Arial" w:hAnsi="Arial" w:cs="Arial"/>
        </w:rPr>
        <w:t>726</w:t>
      </w:r>
      <w:r w:rsidR="000A2A96">
        <w:rPr>
          <w:rFonts w:ascii="Arial" w:hAnsi="Arial" w:cs="Arial"/>
        </w:rPr>
        <w:t> 000</w:t>
      </w:r>
      <w:r w:rsidRPr="0017162D">
        <w:rPr>
          <w:rFonts w:ascii="Arial" w:hAnsi="Arial" w:cs="Arial"/>
        </w:rPr>
        <w:t xml:space="preserve"> Kč a </w:t>
      </w:r>
      <w:r w:rsidRPr="0017162D">
        <w:rPr>
          <w:rFonts w:ascii="Arial" w:hAnsi="Arial" w:cs="Arial"/>
          <w:b/>
        </w:rPr>
        <w:t xml:space="preserve">částka nutná na dofinancování projektu je </w:t>
      </w:r>
      <w:r w:rsidR="000A2A96">
        <w:rPr>
          <w:rFonts w:ascii="Arial" w:hAnsi="Arial" w:cs="Arial"/>
          <w:b/>
        </w:rPr>
        <w:t>5</w:t>
      </w:r>
      <w:r w:rsidR="00C701F4">
        <w:rPr>
          <w:rFonts w:ascii="Arial" w:hAnsi="Arial" w:cs="Arial"/>
          <w:b/>
        </w:rPr>
        <w:t>7</w:t>
      </w:r>
      <w:r w:rsidR="00BD4036">
        <w:rPr>
          <w:rFonts w:ascii="Arial" w:hAnsi="Arial" w:cs="Arial"/>
          <w:b/>
        </w:rPr>
        <w:t>2</w:t>
      </w:r>
      <w:r w:rsidR="00C701F4">
        <w:rPr>
          <w:rFonts w:ascii="Arial" w:hAnsi="Arial" w:cs="Arial"/>
          <w:b/>
        </w:rPr>
        <w:t> </w:t>
      </w:r>
      <w:r w:rsidR="00BD4036">
        <w:rPr>
          <w:rFonts w:ascii="Arial" w:hAnsi="Arial" w:cs="Arial"/>
          <w:b/>
        </w:rPr>
        <w:t>000</w:t>
      </w:r>
      <w:r w:rsidRPr="0017162D">
        <w:rPr>
          <w:rFonts w:ascii="Arial" w:hAnsi="Arial" w:cs="Arial"/>
          <w:b/>
        </w:rPr>
        <w:t xml:space="preserve"> Kč. </w:t>
      </w:r>
      <w:r w:rsidRPr="0017162D">
        <w:rPr>
          <w:rFonts w:ascii="Arial" w:hAnsi="Arial" w:cs="Arial"/>
        </w:rPr>
        <w:t>Na financování se podílí</w:t>
      </w:r>
      <w:r w:rsidRPr="0017162D">
        <w:rPr>
          <w:rFonts w:ascii="Arial" w:hAnsi="Arial" w:cs="Arial"/>
          <w:b/>
        </w:rPr>
        <w:t xml:space="preserve"> Olomoucký kraj 65% </w:t>
      </w:r>
      <w:r w:rsidRPr="0017162D">
        <w:rPr>
          <w:rFonts w:ascii="Arial" w:hAnsi="Arial" w:cs="Arial"/>
        </w:rPr>
        <w:t>a</w:t>
      </w:r>
      <w:r w:rsidRPr="0017162D">
        <w:rPr>
          <w:rFonts w:ascii="Arial" w:hAnsi="Arial" w:cs="Arial"/>
          <w:b/>
        </w:rPr>
        <w:t xml:space="preserve"> statutární město Olomouc 35%, </w:t>
      </w:r>
      <w:r w:rsidRPr="0017162D">
        <w:rPr>
          <w:rFonts w:ascii="Arial" w:hAnsi="Arial" w:cs="Arial"/>
        </w:rPr>
        <w:t xml:space="preserve">tj. </w:t>
      </w:r>
      <w:r w:rsidR="000A2A96">
        <w:rPr>
          <w:rFonts w:ascii="Arial" w:hAnsi="Arial" w:cs="Arial"/>
          <w:b/>
        </w:rPr>
        <w:t>3</w:t>
      </w:r>
      <w:r w:rsidR="004351EE">
        <w:rPr>
          <w:rFonts w:ascii="Arial" w:hAnsi="Arial" w:cs="Arial"/>
          <w:b/>
        </w:rPr>
        <w:t>71</w:t>
      </w:r>
      <w:r w:rsidR="000A2A96">
        <w:rPr>
          <w:rFonts w:ascii="Arial" w:hAnsi="Arial" w:cs="Arial"/>
          <w:b/>
        </w:rPr>
        <w:t> </w:t>
      </w:r>
      <w:r w:rsidR="004351EE">
        <w:rPr>
          <w:rFonts w:ascii="Arial" w:hAnsi="Arial" w:cs="Arial"/>
          <w:b/>
        </w:rPr>
        <w:t>800</w:t>
      </w:r>
      <w:r w:rsidRPr="0017162D">
        <w:rPr>
          <w:rFonts w:ascii="Arial" w:hAnsi="Arial" w:cs="Arial"/>
          <w:b/>
        </w:rPr>
        <w:t xml:space="preserve"> Kč Olomoucký kraj </w:t>
      </w:r>
      <w:r w:rsidRPr="0017162D">
        <w:rPr>
          <w:rFonts w:ascii="Arial" w:hAnsi="Arial" w:cs="Arial"/>
          <w:b/>
        </w:rPr>
        <w:br/>
      </w:r>
      <w:r w:rsidRPr="0017162D">
        <w:rPr>
          <w:rFonts w:ascii="Arial" w:hAnsi="Arial" w:cs="Arial"/>
        </w:rPr>
        <w:t>a</w:t>
      </w:r>
      <w:r w:rsidRPr="0017162D">
        <w:rPr>
          <w:rFonts w:ascii="Arial" w:hAnsi="Arial" w:cs="Arial"/>
          <w:b/>
        </w:rPr>
        <w:t xml:space="preserve"> </w:t>
      </w:r>
      <w:r w:rsidR="00C701F4">
        <w:rPr>
          <w:rFonts w:ascii="Arial" w:hAnsi="Arial" w:cs="Arial"/>
          <w:b/>
        </w:rPr>
        <w:t>20</w:t>
      </w:r>
      <w:r w:rsidR="00745C5E">
        <w:rPr>
          <w:rFonts w:ascii="Arial" w:hAnsi="Arial" w:cs="Arial"/>
          <w:b/>
        </w:rPr>
        <w:t>0</w:t>
      </w:r>
      <w:r w:rsidR="000A2A96">
        <w:rPr>
          <w:rFonts w:ascii="Arial" w:hAnsi="Arial" w:cs="Arial"/>
          <w:b/>
        </w:rPr>
        <w:t> </w:t>
      </w:r>
      <w:r w:rsidR="00745C5E">
        <w:rPr>
          <w:rFonts w:ascii="Arial" w:hAnsi="Arial" w:cs="Arial"/>
          <w:b/>
        </w:rPr>
        <w:t>200</w:t>
      </w:r>
      <w:r w:rsidRPr="0017162D">
        <w:rPr>
          <w:rFonts w:ascii="Arial" w:hAnsi="Arial" w:cs="Arial"/>
          <w:b/>
        </w:rPr>
        <w:t xml:space="preserve"> Kč statutární město Olomouc. </w:t>
      </w:r>
    </w:p>
    <w:p w:rsidR="0085081D" w:rsidRDefault="0017162D" w:rsidP="0017162D">
      <w:pPr>
        <w:tabs>
          <w:tab w:val="left" w:pos="900"/>
        </w:tabs>
        <w:spacing w:after="120"/>
        <w:jc w:val="both"/>
        <w:rPr>
          <w:rFonts w:ascii="Arial" w:hAnsi="Arial" w:cs="Arial"/>
        </w:rPr>
      </w:pPr>
      <w:r>
        <w:rPr>
          <w:rFonts w:ascii="Arial" w:hAnsi="Arial" w:cs="Arial"/>
        </w:rPr>
        <w:t>V</w:t>
      </w:r>
      <w:r w:rsidRPr="0017162D">
        <w:rPr>
          <w:rFonts w:ascii="Arial" w:hAnsi="Arial" w:cs="Arial"/>
        </w:rPr>
        <w:t> roce 201</w:t>
      </w:r>
      <w:r w:rsidR="00037606">
        <w:rPr>
          <w:rFonts w:ascii="Arial" w:hAnsi="Arial" w:cs="Arial"/>
        </w:rPr>
        <w:t>3</w:t>
      </w:r>
      <w:r w:rsidRPr="0017162D">
        <w:rPr>
          <w:rFonts w:ascii="Arial" w:hAnsi="Arial" w:cs="Arial"/>
        </w:rPr>
        <w:t xml:space="preserve"> </w:t>
      </w:r>
      <w:r>
        <w:rPr>
          <w:rFonts w:ascii="Arial" w:hAnsi="Arial" w:cs="Arial"/>
        </w:rPr>
        <w:t xml:space="preserve">Kč </w:t>
      </w:r>
      <w:r w:rsidRPr="0017162D">
        <w:rPr>
          <w:rFonts w:ascii="Arial" w:hAnsi="Arial" w:cs="Arial"/>
        </w:rPr>
        <w:t xml:space="preserve">vynaložil Olomoucký kraj na dofinancování Olomouc region </w:t>
      </w:r>
      <w:proofErr w:type="spellStart"/>
      <w:r w:rsidRPr="0017162D">
        <w:rPr>
          <w:rFonts w:ascii="Arial" w:hAnsi="Arial" w:cs="Arial"/>
        </w:rPr>
        <w:t>Card</w:t>
      </w:r>
      <w:proofErr w:type="spellEnd"/>
      <w:r w:rsidRPr="0017162D">
        <w:rPr>
          <w:rFonts w:ascii="Arial" w:hAnsi="Arial" w:cs="Arial"/>
        </w:rPr>
        <w:t xml:space="preserve"> </w:t>
      </w:r>
      <w:r w:rsidR="0099496A">
        <w:rPr>
          <w:rFonts w:ascii="Arial" w:hAnsi="Arial" w:cs="Arial"/>
        </w:rPr>
        <w:br/>
      </w:r>
      <w:r w:rsidR="00037606">
        <w:rPr>
          <w:rFonts w:ascii="Arial" w:hAnsi="Arial" w:cs="Arial"/>
        </w:rPr>
        <w:t>371</w:t>
      </w:r>
      <w:r w:rsidRPr="0017162D">
        <w:rPr>
          <w:rFonts w:ascii="Arial" w:hAnsi="Arial" w:cs="Arial"/>
        </w:rPr>
        <w:t xml:space="preserve"> </w:t>
      </w:r>
      <w:r w:rsidR="00037606">
        <w:rPr>
          <w:rFonts w:ascii="Arial" w:hAnsi="Arial" w:cs="Arial"/>
        </w:rPr>
        <w:t>800</w:t>
      </w:r>
      <w:r w:rsidRPr="0017162D">
        <w:rPr>
          <w:rFonts w:ascii="Arial" w:hAnsi="Arial" w:cs="Arial"/>
        </w:rPr>
        <w:t xml:space="preserve"> </w:t>
      </w:r>
      <w:r>
        <w:rPr>
          <w:rFonts w:ascii="Arial" w:hAnsi="Arial" w:cs="Arial"/>
        </w:rPr>
        <w:t xml:space="preserve">Kč. </w:t>
      </w:r>
    </w:p>
    <w:p w:rsidR="00C701F4" w:rsidRDefault="00C701F4" w:rsidP="00C701F4">
      <w:pPr>
        <w:spacing w:after="120"/>
        <w:jc w:val="both"/>
        <w:rPr>
          <w:rFonts w:ascii="Arial" w:hAnsi="Arial" w:cs="Arial"/>
        </w:rPr>
      </w:pPr>
      <w:r>
        <w:rPr>
          <w:rFonts w:ascii="Arial" w:hAnsi="Arial" w:cs="Arial"/>
        </w:rPr>
        <w:t>V roce 2013 mělo v návaznosti na projekt „</w:t>
      </w:r>
      <w:proofErr w:type="spellStart"/>
      <w:r>
        <w:rPr>
          <w:rFonts w:ascii="Arial" w:hAnsi="Arial" w:cs="Arial"/>
        </w:rPr>
        <w:t>Minidigitalizace</w:t>
      </w:r>
      <w:proofErr w:type="spellEnd"/>
      <w:r>
        <w:rPr>
          <w:rFonts w:ascii="Arial" w:hAnsi="Arial" w:cs="Arial"/>
        </w:rPr>
        <w:t xml:space="preserve"> Olomouc region </w:t>
      </w:r>
      <w:proofErr w:type="spellStart"/>
      <w:r>
        <w:rPr>
          <w:rFonts w:ascii="Arial" w:hAnsi="Arial" w:cs="Arial"/>
        </w:rPr>
        <w:t>Card</w:t>
      </w:r>
      <w:proofErr w:type="spellEnd"/>
      <w:r>
        <w:rPr>
          <w:rFonts w:ascii="Arial" w:hAnsi="Arial" w:cs="Arial"/>
        </w:rPr>
        <w:t xml:space="preserve">“ dojít k uzavření nových smluvních vztahů. Protože však nebyl dosud projekt zahájen, </w:t>
      </w:r>
      <w:r w:rsidRPr="000100D4">
        <w:rPr>
          <w:rFonts w:ascii="Arial" w:hAnsi="Arial" w:cs="Arial"/>
          <w:b/>
        </w:rPr>
        <w:t xml:space="preserve">dohodli se zástupci kraje a města na jednání </w:t>
      </w:r>
      <w:r w:rsidR="00745C5E" w:rsidRPr="000100D4">
        <w:rPr>
          <w:rFonts w:ascii="Arial" w:hAnsi="Arial" w:cs="Arial"/>
          <w:b/>
        </w:rPr>
        <w:t>dne 7. října</w:t>
      </w:r>
      <w:r w:rsidRPr="000100D4">
        <w:rPr>
          <w:rFonts w:ascii="Arial" w:hAnsi="Arial" w:cs="Arial"/>
          <w:b/>
        </w:rPr>
        <w:t xml:space="preserve"> </w:t>
      </w:r>
      <w:r w:rsidR="00745C5E" w:rsidRPr="000100D4">
        <w:rPr>
          <w:rFonts w:ascii="Arial" w:hAnsi="Arial" w:cs="Arial"/>
          <w:b/>
        </w:rPr>
        <w:t>2013 na</w:t>
      </w:r>
      <w:r w:rsidRPr="000100D4">
        <w:rPr>
          <w:rFonts w:ascii="Arial" w:hAnsi="Arial" w:cs="Arial"/>
          <w:b/>
        </w:rPr>
        <w:t xml:space="preserve"> prodloužení stávající smlouvy o spolupráci o další rok a na následujících krocích:</w:t>
      </w:r>
      <w:r w:rsidRPr="00745C5E">
        <w:rPr>
          <w:rFonts w:ascii="Arial" w:hAnsi="Arial" w:cs="Arial"/>
        </w:rPr>
        <w:t xml:space="preserve"> </w:t>
      </w:r>
    </w:p>
    <w:p w:rsidR="00C701F4" w:rsidRPr="00745C5E" w:rsidRDefault="00C701F4" w:rsidP="00745C5E">
      <w:pPr>
        <w:pStyle w:val="Odstavecseseznamem"/>
        <w:numPr>
          <w:ilvl w:val="0"/>
          <w:numId w:val="33"/>
        </w:numPr>
        <w:spacing w:after="240"/>
        <w:ind w:left="425" w:hanging="425"/>
        <w:jc w:val="both"/>
        <w:rPr>
          <w:rFonts w:ascii="Arial" w:hAnsi="Arial" w:cs="Arial"/>
        </w:rPr>
      </w:pPr>
      <w:r w:rsidRPr="00745C5E">
        <w:rPr>
          <w:rFonts w:ascii="Arial" w:hAnsi="Arial" w:cs="Arial"/>
        </w:rPr>
        <w:t xml:space="preserve">Výše příspěvků kraje a města na rok 2014: </w:t>
      </w:r>
    </w:p>
    <w:p w:rsidR="00C701F4" w:rsidRPr="00745C5E" w:rsidRDefault="00C701F4" w:rsidP="00745C5E">
      <w:pPr>
        <w:pStyle w:val="Odstavecseseznamem"/>
        <w:numPr>
          <w:ilvl w:val="0"/>
          <w:numId w:val="36"/>
        </w:numPr>
        <w:spacing w:after="120"/>
        <w:jc w:val="both"/>
        <w:rPr>
          <w:rFonts w:ascii="Arial" w:hAnsi="Arial" w:cs="Arial"/>
        </w:rPr>
      </w:pPr>
      <w:r w:rsidRPr="00745C5E">
        <w:rPr>
          <w:rFonts w:ascii="Arial" w:hAnsi="Arial" w:cs="Arial"/>
        </w:rPr>
        <w:t>Olomoucký  kraj - 371 800 Kč (</w:t>
      </w:r>
      <w:r w:rsidRPr="000100D4">
        <w:rPr>
          <w:rFonts w:ascii="Arial" w:hAnsi="Arial" w:cs="Arial"/>
          <w:b/>
        </w:rPr>
        <w:t>stejná výše jako v roce 2013</w:t>
      </w:r>
      <w:r w:rsidRPr="00745C5E">
        <w:rPr>
          <w:rFonts w:ascii="Arial" w:hAnsi="Arial" w:cs="Arial"/>
        </w:rPr>
        <w:t>)</w:t>
      </w:r>
    </w:p>
    <w:p w:rsidR="00C701F4" w:rsidRPr="00745C5E" w:rsidRDefault="00745C5E" w:rsidP="00745C5E">
      <w:pPr>
        <w:pStyle w:val="Odstavecseseznamem"/>
        <w:numPr>
          <w:ilvl w:val="0"/>
          <w:numId w:val="36"/>
        </w:numPr>
        <w:spacing w:after="120"/>
        <w:jc w:val="both"/>
        <w:rPr>
          <w:rFonts w:ascii="Arial" w:hAnsi="Arial" w:cs="Arial"/>
          <w:color w:val="FF0000"/>
        </w:rPr>
      </w:pPr>
      <w:r w:rsidRPr="00745C5E">
        <w:rPr>
          <w:rFonts w:ascii="Arial" w:hAnsi="Arial" w:cs="Arial"/>
        </w:rPr>
        <w:t>Statutární město Olomouc - 200 200</w:t>
      </w:r>
      <w:r w:rsidR="00C701F4" w:rsidRPr="00745C5E">
        <w:rPr>
          <w:rFonts w:ascii="Arial" w:hAnsi="Arial" w:cs="Arial"/>
        </w:rPr>
        <w:t xml:space="preserve"> Kč </w:t>
      </w:r>
      <w:r w:rsidRPr="00745C5E">
        <w:rPr>
          <w:rFonts w:ascii="Arial" w:hAnsi="Arial" w:cs="Arial"/>
        </w:rPr>
        <w:t>(stejná výše jako v roce 2013)</w:t>
      </w:r>
      <w:r w:rsidR="00C701F4" w:rsidRPr="00745C5E">
        <w:rPr>
          <w:rFonts w:ascii="Arial" w:hAnsi="Arial" w:cs="Arial"/>
        </w:rPr>
        <w:t xml:space="preserve">   </w:t>
      </w:r>
    </w:p>
    <w:p w:rsidR="00745C5E" w:rsidRPr="00745C5E" w:rsidRDefault="00C701F4" w:rsidP="00745C5E">
      <w:pPr>
        <w:pStyle w:val="Odstavecseseznamem"/>
        <w:numPr>
          <w:ilvl w:val="0"/>
          <w:numId w:val="33"/>
        </w:numPr>
        <w:spacing w:after="480"/>
        <w:ind w:left="425" w:hanging="425"/>
        <w:jc w:val="both"/>
        <w:rPr>
          <w:rFonts w:ascii="Arial" w:hAnsi="Arial" w:cs="Arial"/>
        </w:rPr>
      </w:pPr>
      <w:r w:rsidRPr="00745C5E">
        <w:rPr>
          <w:rFonts w:ascii="Arial" w:hAnsi="Arial" w:cs="Arial"/>
        </w:rPr>
        <w:t>Statutární město Olomouc vyjedná se svými organizacemi - DPMO a.s. a ZOO Olomouc stejnou výši refundací na rok 2014 jako v roce 2013</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t xml:space="preserve">Statutární město Olomouc vyjedná s majitelem </w:t>
      </w:r>
      <w:proofErr w:type="spellStart"/>
      <w:r w:rsidRPr="00745C5E">
        <w:rPr>
          <w:rFonts w:ascii="Arial" w:hAnsi="Arial" w:cs="Arial"/>
        </w:rPr>
        <w:t>Vet</w:t>
      </w:r>
      <w:r w:rsidR="00745C5E">
        <w:rPr>
          <w:rFonts w:ascii="Arial" w:hAnsi="Arial" w:cs="Arial"/>
        </w:rPr>
        <w:t>eran</w:t>
      </w:r>
      <w:proofErr w:type="spellEnd"/>
      <w:r w:rsidR="00745C5E">
        <w:rPr>
          <w:rFonts w:ascii="Arial" w:hAnsi="Arial" w:cs="Arial"/>
        </w:rPr>
        <w:t xml:space="preserve"> </w:t>
      </w:r>
      <w:proofErr w:type="spellStart"/>
      <w:r w:rsidR="00745C5E">
        <w:rPr>
          <w:rFonts w:ascii="Arial" w:hAnsi="Arial" w:cs="Arial"/>
        </w:rPr>
        <w:t>Areny</w:t>
      </w:r>
      <w:proofErr w:type="spellEnd"/>
      <w:r w:rsidR="00745C5E">
        <w:rPr>
          <w:rFonts w:ascii="Arial" w:hAnsi="Arial" w:cs="Arial"/>
        </w:rPr>
        <w:t xml:space="preserve"> stejné podmínky </w:t>
      </w:r>
      <w:r w:rsidRPr="00745C5E">
        <w:rPr>
          <w:rFonts w:ascii="Arial" w:hAnsi="Arial" w:cs="Arial"/>
        </w:rPr>
        <w:t xml:space="preserve">refundací vstupného do muzea na rok 2014 jako roce 2013 </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t xml:space="preserve">Administrátor zajistí grafické </w:t>
      </w:r>
      <w:r w:rsidR="00745C5E">
        <w:rPr>
          <w:rFonts w:ascii="Arial" w:hAnsi="Arial" w:cs="Arial"/>
        </w:rPr>
        <w:t>zpracování brožury k produktu „</w:t>
      </w:r>
      <w:r w:rsidRPr="00745C5E">
        <w:rPr>
          <w:rFonts w:ascii="Arial" w:hAnsi="Arial" w:cs="Arial"/>
        </w:rPr>
        <w:t xml:space="preserve">Olomouc region </w:t>
      </w:r>
      <w:proofErr w:type="spellStart"/>
      <w:r w:rsidRPr="00745C5E">
        <w:rPr>
          <w:rFonts w:ascii="Arial" w:hAnsi="Arial" w:cs="Arial"/>
        </w:rPr>
        <w:t>Card</w:t>
      </w:r>
      <w:proofErr w:type="spellEnd"/>
      <w:r w:rsidRPr="00745C5E">
        <w:rPr>
          <w:rFonts w:ascii="Arial" w:hAnsi="Arial" w:cs="Arial"/>
        </w:rPr>
        <w:t>“ na rok 2014</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0100D4">
        <w:rPr>
          <w:rFonts w:ascii="Arial" w:hAnsi="Arial" w:cs="Arial"/>
          <w:b/>
        </w:rPr>
        <w:t>Olomoucký kraj</w:t>
      </w:r>
      <w:r w:rsidRPr="00745C5E">
        <w:rPr>
          <w:rFonts w:ascii="Arial" w:hAnsi="Arial" w:cs="Arial"/>
        </w:rPr>
        <w:t xml:space="preserve"> následně zabezpečí tisk brožury k produktu </w:t>
      </w:r>
      <w:r w:rsidR="00745C5E" w:rsidRPr="00745C5E">
        <w:rPr>
          <w:rFonts w:ascii="Arial" w:hAnsi="Arial" w:cs="Arial"/>
        </w:rPr>
        <w:t>„</w:t>
      </w:r>
      <w:r w:rsidRPr="00745C5E">
        <w:rPr>
          <w:rFonts w:ascii="Arial" w:hAnsi="Arial" w:cs="Arial"/>
        </w:rPr>
        <w:t xml:space="preserve">Olomouc region </w:t>
      </w:r>
      <w:proofErr w:type="spellStart"/>
      <w:r w:rsidRPr="00745C5E">
        <w:rPr>
          <w:rFonts w:ascii="Arial" w:hAnsi="Arial" w:cs="Arial"/>
        </w:rPr>
        <w:t>Card</w:t>
      </w:r>
      <w:proofErr w:type="spellEnd"/>
      <w:r w:rsidRPr="00745C5E">
        <w:rPr>
          <w:rFonts w:ascii="Arial" w:hAnsi="Arial" w:cs="Arial"/>
        </w:rPr>
        <w:t>“ v rámci své</w:t>
      </w:r>
      <w:r w:rsidR="00745C5E" w:rsidRPr="00745C5E">
        <w:rPr>
          <w:rFonts w:ascii="Arial" w:hAnsi="Arial" w:cs="Arial"/>
        </w:rPr>
        <w:t>ho edičního plánu na rok 2014 (</w:t>
      </w:r>
      <w:r w:rsidRPr="00745C5E">
        <w:rPr>
          <w:rFonts w:ascii="Arial" w:hAnsi="Arial" w:cs="Arial"/>
        </w:rPr>
        <w:t xml:space="preserve">náklad – cca 6 500 ks v ceně </w:t>
      </w:r>
      <w:r w:rsidR="000100D4">
        <w:rPr>
          <w:rFonts w:ascii="Arial" w:hAnsi="Arial" w:cs="Arial"/>
        </w:rPr>
        <w:t xml:space="preserve">do </w:t>
      </w:r>
      <w:r w:rsidRPr="00745C5E">
        <w:rPr>
          <w:rFonts w:ascii="Arial" w:hAnsi="Arial" w:cs="Arial"/>
        </w:rPr>
        <w:t>100 000 Kč</w:t>
      </w:r>
      <w:r w:rsidR="000100D4">
        <w:rPr>
          <w:rFonts w:ascii="Arial" w:hAnsi="Arial" w:cs="Arial"/>
        </w:rPr>
        <w:t xml:space="preserve"> vč. DPH</w:t>
      </w:r>
      <w:r w:rsidRPr="00745C5E">
        <w:rPr>
          <w:rFonts w:ascii="Arial" w:hAnsi="Arial" w:cs="Arial"/>
        </w:rPr>
        <w:t>)</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t>Administrátor projektu ORC  bude respektovat záv</w:t>
      </w:r>
      <w:r w:rsidR="00745C5E" w:rsidRPr="00745C5E">
        <w:rPr>
          <w:rFonts w:ascii="Arial" w:hAnsi="Arial" w:cs="Arial"/>
        </w:rPr>
        <w:t xml:space="preserve">ěry města a kraje týkající </w:t>
      </w:r>
      <w:r w:rsidR="00682FA7" w:rsidRPr="00745C5E">
        <w:rPr>
          <w:rFonts w:ascii="Arial" w:hAnsi="Arial" w:cs="Arial"/>
        </w:rPr>
        <w:t>se financování</w:t>
      </w:r>
      <w:r w:rsidRPr="00745C5E">
        <w:rPr>
          <w:rFonts w:ascii="Arial" w:hAnsi="Arial" w:cs="Arial"/>
        </w:rPr>
        <w:t xml:space="preserve"> projektu na rok 2014 </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lastRenderedPageBreak/>
        <w:t>Administrátor projektu zachov</w:t>
      </w:r>
      <w:r w:rsidR="00745C5E" w:rsidRPr="00745C5E">
        <w:rPr>
          <w:rFonts w:ascii="Arial" w:hAnsi="Arial" w:cs="Arial"/>
        </w:rPr>
        <w:t>á stávající stav počtu</w:t>
      </w:r>
      <w:r w:rsidRPr="00745C5E">
        <w:rPr>
          <w:rFonts w:ascii="Arial" w:hAnsi="Arial" w:cs="Arial"/>
        </w:rPr>
        <w:t xml:space="preserve"> zapojených </w:t>
      </w:r>
      <w:r w:rsidR="004D54A7" w:rsidRPr="00745C5E">
        <w:rPr>
          <w:rFonts w:ascii="Arial" w:hAnsi="Arial" w:cs="Arial"/>
        </w:rPr>
        <w:t>subjektů a prodejců</w:t>
      </w:r>
      <w:r w:rsidRPr="00745C5E">
        <w:rPr>
          <w:rFonts w:ascii="Arial" w:hAnsi="Arial" w:cs="Arial"/>
        </w:rPr>
        <w:t xml:space="preserve"> ORC v roce 2014 jako v roce 2013</w:t>
      </w:r>
      <w:r w:rsidR="000100D4">
        <w:rPr>
          <w:rFonts w:ascii="Arial" w:hAnsi="Arial" w:cs="Arial"/>
        </w:rPr>
        <w:t>.</w:t>
      </w:r>
      <w:r w:rsidRPr="00745C5E">
        <w:rPr>
          <w:rFonts w:ascii="Arial" w:hAnsi="Arial" w:cs="Arial"/>
        </w:rPr>
        <w:t xml:space="preserve"> </w:t>
      </w:r>
    </w:p>
    <w:p w:rsidR="00263ADC" w:rsidRDefault="0099496A" w:rsidP="0099496A">
      <w:pPr>
        <w:spacing w:after="120"/>
        <w:jc w:val="both"/>
        <w:rPr>
          <w:rFonts w:ascii="Arial" w:hAnsi="Arial" w:cs="Arial"/>
          <w:b/>
        </w:rPr>
      </w:pPr>
      <w:r>
        <w:rPr>
          <w:rFonts w:ascii="Arial" w:hAnsi="Arial" w:cs="Arial"/>
        </w:rPr>
        <w:t>V návaznosti na výše uvedené informace p</w:t>
      </w:r>
      <w:r w:rsidRPr="00D45BD4">
        <w:rPr>
          <w:rFonts w:ascii="Arial" w:hAnsi="Arial" w:cs="Arial"/>
        </w:rPr>
        <w:t xml:space="preserve">ředkládáme </w:t>
      </w:r>
      <w:r w:rsidR="00BE5419">
        <w:rPr>
          <w:rFonts w:ascii="Arial" w:hAnsi="Arial" w:cs="Arial"/>
        </w:rPr>
        <w:t>Zastupitelstvu</w:t>
      </w:r>
      <w:r w:rsidRPr="00D45BD4">
        <w:rPr>
          <w:rFonts w:ascii="Arial" w:hAnsi="Arial" w:cs="Arial"/>
        </w:rPr>
        <w:t xml:space="preserve"> Olomouckého kraje</w:t>
      </w:r>
      <w:r w:rsidRPr="00952E38">
        <w:rPr>
          <w:rFonts w:ascii="Arial" w:hAnsi="Arial" w:cs="Arial"/>
          <w:b/>
        </w:rPr>
        <w:t xml:space="preserve"> </w:t>
      </w:r>
      <w:r w:rsidR="00BE5419">
        <w:rPr>
          <w:rFonts w:ascii="Arial" w:hAnsi="Arial" w:cs="Arial"/>
          <w:b/>
        </w:rPr>
        <w:t xml:space="preserve">ke schválení </w:t>
      </w:r>
      <w:r w:rsidRPr="00952E38">
        <w:rPr>
          <w:rFonts w:ascii="Arial" w:hAnsi="Arial" w:cs="Arial"/>
          <w:b/>
        </w:rPr>
        <w:t xml:space="preserve">Dodatek č. </w:t>
      </w:r>
      <w:r w:rsidR="00037606">
        <w:rPr>
          <w:rFonts w:ascii="Arial" w:hAnsi="Arial" w:cs="Arial"/>
          <w:b/>
        </w:rPr>
        <w:t>3</w:t>
      </w:r>
      <w:r w:rsidRPr="00952E38">
        <w:rPr>
          <w:rFonts w:ascii="Arial" w:hAnsi="Arial" w:cs="Arial"/>
          <w:b/>
        </w:rPr>
        <w:t xml:space="preserve"> ke smlouvě o </w:t>
      </w:r>
      <w:r>
        <w:rPr>
          <w:rFonts w:ascii="Arial" w:hAnsi="Arial" w:cs="Arial"/>
          <w:b/>
        </w:rPr>
        <w:t>poskytnutí příspěvku</w:t>
      </w:r>
      <w:r w:rsidRPr="00952E38">
        <w:rPr>
          <w:rFonts w:ascii="Arial" w:hAnsi="Arial" w:cs="Arial"/>
          <w:b/>
        </w:rPr>
        <w:t xml:space="preserve"> na zajištění fungování Olomouc region </w:t>
      </w:r>
      <w:proofErr w:type="spellStart"/>
      <w:r w:rsidRPr="00952E38">
        <w:rPr>
          <w:rFonts w:ascii="Arial" w:hAnsi="Arial" w:cs="Arial"/>
          <w:b/>
        </w:rPr>
        <w:t>Card</w:t>
      </w:r>
      <w:proofErr w:type="spellEnd"/>
      <w:r w:rsidRPr="00952E38">
        <w:rPr>
          <w:rFonts w:ascii="Arial" w:hAnsi="Arial" w:cs="Arial"/>
          <w:b/>
        </w:rPr>
        <w:t xml:space="preserve"> v roce 201</w:t>
      </w:r>
      <w:r w:rsidR="00037606">
        <w:rPr>
          <w:rFonts w:ascii="Arial" w:hAnsi="Arial" w:cs="Arial"/>
          <w:b/>
        </w:rPr>
        <w:t>4</w:t>
      </w:r>
      <w:r w:rsidRPr="00952E38">
        <w:rPr>
          <w:rFonts w:ascii="Arial" w:hAnsi="Arial" w:cs="Arial"/>
          <w:b/>
        </w:rPr>
        <w:t xml:space="preserve"> </w:t>
      </w:r>
      <w:r w:rsidRPr="00D45BD4">
        <w:rPr>
          <w:rFonts w:ascii="Arial" w:hAnsi="Arial" w:cs="Arial"/>
        </w:rPr>
        <w:t>s</w:t>
      </w:r>
      <w:r>
        <w:rPr>
          <w:rFonts w:ascii="Arial" w:hAnsi="Arial" w:cs="Arial"/>
        </w:rPr>
        <w:t> RNDr. Ivanem Markem</w:t>
      </w:r>
      <w:r w:rsidRPr="00D45BD4">
        <w:rPr>
          <w:rFonts w:ascii="Arial" w:hAnsi="Arial" w:cs="Arial"/>
        </w:rPr>
        <w:t>.</w:t>
      </w:r>
      <w:r w:rsidRPr="00952E38">
        <w:rPr>
          <w:rFonts w:ascii="Arial" w:hAnsi="Arial" w:cs="Arial"/>
          <w:b/>
        </w:rPr>
        <w:t xml:space="preserve"> </w:t>
      </w:r>
    </w:p>
    <w:p w:rsidR="0099496A" w:rsidRDefault="0099496A" w:rsidP="0099496A">
      <w:pPr>
        <w:spacing w:after="120"/>
        <w:jc w:val="both"/>
        <w:rPr>
          <w:rFonts w:ascii="Arial" w:hAnsi="Arial" w:cs="Arial"/>
          <w:b/>
        </w:rPr>
      </w:pPr>
      <w:r>
        <w:rPr>
          <w:rFonts w:ascii="Arial" w:hAnsi="Arial" w:cs="Arial"/>
          <w:b/>
        </w:rPr>
        <w:t>Změny se týkají následujících záležitostí:</w:t>
      </w:r>
    </w:p>
    <w:p w:rsidR="0099496A" w:rsidRDefault="0099496A" w:rsidP="0099496A">
      <w:pPr>
        <w:numPr>
          <w:ilvl w:val="0"/>
          <w:numId w:val="26"/>
        </w:numPr>
        <w:ind w:left="714" w:hanging="357"/>
        <w:jc w:val="both"/>
        <w:rPr>
          <w:rFonts w:ascii="Arial" w:hAnsi="Arial" w:cs="Arial"/>
        </w:rPr>
      </w:pPr>
      <w:r>
        <w:rPr>
          <w:rFonts w:ascii="Arial" w:hAnsi="Arial" w:cs="Arial"/>
        </w:rPr>
        <w:t xml:space="preserve">poskytnutí příspěvku ve výši </w:t>
      </w:r>
      <w:r w:rsidR="00C701F4">
        <w:rPr>
          <w:rFonts w:ascii="Arial" w:hAnsi="Arial" w:cs="Arial"/>
        </w:rPr>
        <w:t>371 800</w:t>
      </w:r>
      <w:r w:rsidR="000A2A96">
        <w:rPr>
          <w:rFonts w:ascii="Arial" w:hAnsi="Arial" w:cs="Arial"/>
        </w:rPr>
        <w:t xml:space="preserve"> Kč </w:t>
      </w:r>
      <w:r>
        <w:rPr>
          <w:rFonts w:ascii="Arial" w:hAnsi="Arial" w:cs="Arial"/>
        </w:rPr>
        <w:t>v roce 201</w:t>
      </w:r>
      <w:r w:rsidR="00037606">
        <w:rPr>
          <w:rFonts w:ascii="Arial" w:hAnsi="Arial" w:cs="Arial"/>
        </w:rPr>
        <w:t>4</w:t>
      </w:r>
      <w:r w:rsidR="00DB4076">
        <w:rPr>
          <w:rFonts w:ascii="Arial" w:hAnsi="Arial" w:cs="Arial"/>
        </w:rPr>
        <w:t>,</w:t>
      </w:r>
    </w:p>
    <w:p w:rsidR="001D2E59" w:rsidRPr="00D45BD4" w:rsidRDefault="001D2E59" w:rsidP="0099496A">
      <w:pPr>
        <w:numPr>
          <w:ilvl w:val="0"/>
          <w:numId w:val="26"/>
        </w:numPr>
        <w:ind w:left="714" w:hanging="357"/>
        <w:jc w:val="both"/>
        <w:rPr>
          <w:rFonts w:ascii="Arial" w:hAnsi="Arial" w:cs="Arial"/>
        </w:rPr>
      </w:pPr>
      <w:r>
        <w:rPr>
          <w:rFonts w:ascii="Arial" w:hAnsi="Arial" w:cs="Arial"/>
        </w:rPr>
        <w:t>tomu odpovídající te</w:t>
      </w:r>
      <w:r w:rsidR="00263ADC">
        <w:rPr>
          <w:rFonts w:ascii="Arial" w:hAnsi="Arial" w:cs="Arial"/>
        </w:rPr>
        <w:t>r</w:t>
      </w:r>
      <w:r>
        <w:rPr>
          <w:rFonts w:ascii="Arial" w:hAnsi="Arial" w:cs="Arial"/>
        </w:rPr>
        <w:t xml:space="preserve">míny užití příspěvku, podání jeho vyúčtování a zpráv </w:t>
      </w:r>
      <w:r w:rsidR="000A2A96">
        <w:rPr>
          <w:rFonts w:ascii="Arial" w:hAnsi="Arial" w:cs="Arial"/>
        </w:rPr>
        <w:br/>
      </w:r>
      <w:r>
        <w:rPr>
          <w:rFonts w:ascii="Arial" w:hAnsi="Arial" w:cs="Arial"/>
        </w:rPr>
        <w:t>o fungování karty</w:t>
      </w:r>
      <w:r w:rsidR="00DB4076">
        <w:rPr>
          <w:rFonts w:ascii="Arial" w:hAnsi="Arial" w:cs="Arial"/>
        </w:rPr>
        <w:t>,</w:t>
      </w:r>
    </w:p>
    <w:p w:rsidR="0099496A" w:rsidRDefault="0099496A" w:rsidP="0099496A">
      <w:pPr>
        <w:spacing w:before="120" w:after="120"/>
        <w:jc w:val="both"/>
        <w:rPr>
          <w:rFonts w:ascii="Arial" w:hAnsi="Arial" w:cs="Arial"/>
        </w:rPr>
      </w:pPr>
      <w:r w:rsidRPr="00952E38">
        <w:rPr>
          <w:rFonts w:ascii="Arial" w:hAnsi="Arial" w:cs="Arial"/>
          <w:b/>
        </w:rPr>
        <w:t xml:space="preserve">V dodatku </w:t>
      </w:r>
      <w:r w:rsidRPr="00D45BD4">
        <w:rPr>
          <w:rFonts w:ascii="Arial" w:hAnsi="Arial" w:cs="Arial"/>
        </w:rPr>
        <w:t xml:space="preserve">ke smlouvě o </w:t>
      </w:r>
      <w:r w:rsidR="001D2E59">
        <w:rPr>
          <w:rFonts w:ascii="Arial" w:hAnsi="Arial" w:cs="Arial"/>
        </w:rPr>
        <w:t>poskytnutí příspěvku</w:t>
      </w:r>
      <w:r w:rsidRPr="00D45BD4">
        <w:rPr>
          <w:rFonts w:ascii="Arial" w:hAnsi="Arial" w:cs="Arial"/>
        </w:rPr>
        <w:t xml:space="preserve"> </w:t>
      </w:r>
      <w:r w:rsidRPr="00952E38">
        <w:rPr>
          <w:rFonts w:ascii="Arial" w:hAnsi="Arial" w:cs="Arial"/>
          <w:b/>
        </w:rPr>
        <w:t>jsou uveden</w:t>
      </w:r>
      <w:r w:rsidR="0034139E">
        <w:rPr>
          <w:rFonts w:ascii="Arial" w:hAnsi="Arial" w:cs="Arial"/>
          <w:b/>
        </w:rPr>
        <w:t>a</w:t>
      </w:r>
      <w:r w:rsidRPr="00952E38">
        <w:rPr>
          <w:rFonts w:ascii="Arial" w:hAnsi="Arial" w:cs="Arial"/>
          <w:b/>
        </w:rPr>
        <w:t xml:space="preserve"> cel</w:t>
      </w:r>
      <w:r w:rsidR="0034139E">
        <w:rPr>
          <w:rFonts w:ascii="Arial" w:hAnsi="Arial" w:cs="Arial"/>
          <w:b/>
        </w:rPr>
        <w:t>á</w:t>
      </w:r>
      <w:r w:rsidRPr="00952E38">
        <w:rPr>
          <w:rFonts w:ascii="Arial" w:hAnsi="Arial" w:cs="Arial"/>
          <w:b/>
        </w:rPr>
        <w:t xml:space="preserve"> znění odstavců stávající smlouvy, </w:t>
      </w:r>
      <w:r w:rsidRPr="00D45BD4">
        <w:rPr>
          <w:rFonts w:ascii="Arial" w:hAnsi="Arial" w:cs="Arial"/>
        </w:rPr>
        <w:t xml:space="preserve">která jsou doplněna či upravena, </w:t>
      </w:r>
      <w:r w:rsidRPr="00952E38">
        <w:rPr>
          <w:rFonts w:ascii="Arial" w:hAnsi="Arial" w:cs="Arial"/>
          <w:b/>
        </w:rPr>
        <w:t>změny jsou v textu vyznačeny podbarvením.</w:t>
      </w:r>
      <w:r w:rsidRPr="00CB108F">
        <w:rPr>
          <w:rFonts w:ascii="Arial" w:hAnsi="Arial" w:cs="Arial"/>
        </w:rPr>
        <w:t xml:space="preserve"> Dodatek prošel stan</w:t>
      </w:r>
      <w:r w:rsidR="00BE5419">
        <w:rPr>
          <w:rFonts w:ascii="Arial" w:hAnsi="Arial" w:cs="Arial"/>
        </w:rPr>
        <w:t>dartním připomínkovacím řízením v rámci KÚOK</w:t>
      </w:r>
      <w:r w:rsidRPr="00CB108F">
        <w:rPr>
          <w:rFonts w:ascii="Arial" w:hAnsi="Arial" w:cs="Arial"/>
        </w:rPr>
        <w:t xml:space="preserve">. </w:t>
      </w:r>
    </w:p>
    <w:p w:rsidR="00E1391B" w:rsidRPr="000A4008" w:rsidRDefault="00E1391B" w:rsidP="0099496A">
      <w:pPr>
        <w:spacing w:before="120" w:after="120"/>
        <w:jc w:val="both"/>
        <w:rPr>
          <w:rFonts w:ascii="Arial" w:hAnsi="Arial" w:cs="Arial"/>
        </w:rPr>
      </w:pPr>
      <w:r w:rsidRPr="000A4008">
        <w:rPr>
          <w:rFonts w:ascii="Arial" w:hAnsi="Arial" w:cs="Arial"/>
        </w:rPr>
        <w:t xml:space="preserve">Příspěvek zakládá veřejnou podporu a je tedy poskytován v režimu de </w:t>
      </w:r>
      <w:proofErr w:type="spellStart"/>
      <w:r w:rsidRPr="000A4008">
        <w:rPr>
          <w:rFonts w:ascii="Arial" w:hAnsi="Arial" w:cs="Arial"/>
        </w:rPr>
        <w:t>minimis</w:t>
      </w:r>
      <w:proofErr w:type="spellEnd"/>
      <w:r w:rsidRPr="000A4008">
        <w:rPr>
          <w:rFonts w:ascii="Arial" w:hAnsi="Arial" w:cs="Arial"/>
        </w:rPr>
        <w:t>. Příslušné ustanovení je uvedeno v prvotní smlouvě</w:t>
      </w:r>
      <w:r w:rsidR="00A63803" w:rsidRPr="000A4008">
        <w:rPr>
          <w:rFonts w:ascii="Arial" w:hAnsi="Arial" w:cs="Arial"/>
        </w:rPr>
        <w:t xml:space="preserve"> z roku 2010</w:t>
      </w:r>
      <w:r w:rsidRPr="000A4008">
        <w:rPr>
          <w:rFonts w:ascii="Arial" w:hAnsi="Arial" w:cs="Arial"/>
        </w:rPr>
        <w:t>.</w:t>
      </w:r>
    </w:p>
    <w:p w:rsidR="0017162D" w:rsidRPr="002042FA" w:rsidRDefault="002D27A4" w:rsidP="00BE5419">
      <w:pPr>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5E7320">
        <w:rPr>
          <w:rFonts w:ascii="Arial" w:hAnsi="Arial" w:cs="Arial"/>
        </w:rPr>
        <w:t>Materiál projedna</w:t>
      </w:r>
      <w:r>
        <w:rPr>
          <w:rFonts w:ascii="Arial" w:hAnsi="Arial" w:cs="Arial"/>
        </w:rPr>
        <w:t>la Rada Olomouckého kraje dne 14. 11. 2013</w:t>
      </w:r>
      <w:r w:rsidRPr="005E7320">
        <w:rPr>
          <w:rFonts w:ascii="Arial" w:hAnsi="Arial" w:cs="Arial"/>
        </w:rPr>
        <w:t xml:space="preserve"> a svým usnesením </w:t>
      </w:r>
      <w:r>
        <w:rPr>
          <w:rFonts w:ascii="Arial" w:hAnsi="Arial" w:cs="Arial"/>
        </w:rPr>
        <w:br/>
      </w:r>
      <w:r w:rsidRPr="005E7320">
        <w:rPr>
          <w:rFonts w:ascii="Arial" w:hAnsi="Arial" w:cs="Arial"/>
        </w:rPr>
        <w:t xml:space="preserve">č. </w:t>
      </w:r>
      <w:r w:rsidR="009D527D" w:rsidRPr="009D527D">
        <w:rPr>
          <w:rFonts w:ascii="Arial" w:hAnsi="Arial" w:cs="Arial"/>
        </w:rPr>
        <w:t>UR/25/4/2013</w:t>
      </w:r>
      <w:r w:rsidRPr="005E7320">
        <w:rPr>
          <w:rFonts w:ascii="Arial" w:hAnsi="Arial" w:cs="Arial"/>
        </w:rPr>
        <w:t xml:space="preserve"> souhlasila s poskytnutím příspěvku</w:t>
      </w:r>
      <w:r>
        <w:rPr>
          <w:rFonts w:ascii="Arial" w:hAnsi="Arial" w:cs="Arial"/>
        </w:rPr>
        <w:t xml:space="preserve"> RNDr. Ivanu Markovi</w:t>
      </w:r>
      <w:r w:rsidRPr="005E7320">
        <w:rPr>
          <w:rFonts w:ascii="Arial" w:hAnsi="Arial" w:cs="Arial"/>
        </w:rPr>
        <w:t xml:space="preserve"> </w:t>
      </w:r>
      <w:r>
        <w:rPr>
          <w:rFonts w:ascii="Arial" w:hAnsi="Arial" w:cs="Arial"/>
        </w:rPr>
        <w:br/>
        <w:t xml:space="preserve">a s </w:t>
      </w:r>
      <w:r w:rsidRPr="005E7320">
        <w:rPr>
          <w:rFonts w:ascii="Arial" w:hAnsi="Arial" w:cs="Arial"/>
        </w:rPr>
        <w:t xml:space="preserve">uzavřením </w:t>
      </w:r>
      <w:r>
        <w:rPr>
          <w:rFonts w:ascii="Arial" w:hAnsi="Arial" w:cs="Arial"/>
        </w:rPr>
        <w:t>D</w:t>
      </w:r>
      <w:r w:rsidRPr="005E7320">
        <w:rPr>
          <w:rFonts w:ascii="Arial" w:hAnsi="Arial" w:cs="Arial"/>
        </w:rPr>
        <w:t xml:space="preserve">odatku č. </w:t>
      </w:r>
      <w:r>
        <w:rPr>
          <w:rFonts w:ascii="Arial" w:hAnsi="Arial" w:cs="Arial"/>
        </w:rPr>
        <w:t>3</w:t>
      </w:r>
      <w:r w:rsidRPr="005E7320">
        <w:rPr>
          <w:rFonts w:ascii="Arial" w:hAnsi="Arial" w:cs="Arial"/>
        </w:rPr>
        <w:t xml:space="preserve"> ke smlouvě o poskytnutí příspěvku na zajištění Olomouc region </w:t>
      </w:r>
      <w:proofErr w:type="spellStart"/>
      <w:r w:rsidRPr="005E7320">
        <w:rPr>
          <w:rFonts w:ascii="Arial" w:hAnsi="Arial" w:cs="Arial"/>
        </w:rPr>
        <w:t>Card</w:t>
      </w:r>
      <w:proofErr w:type="spellEnd"/>
      <w:r w:rsidRPr="005E7320">
        <w:rPr>
          <w:rFonts w:ascii="Arial" w:hAnsi="Arial" w:cs="Arial"/>
        </w:rPr>
        <w:t xml:space="preserve"> v roce 201</w:t>
      </w:r>
      <w:r>
        <w:rPr>
          <w:rFonts w:ascii="Arial" w:hAnsi="Arial" w:cs="Arial"/>
        </w:rPr>
        <w:t>4.</w:t>
      </w:r>
      <w:r w:rsidRPr="005E7320">
        <w:rPr>
          <w:rFonts w:ascii="Arial" w:hAnsi="Arial" w:cs="Arial"/>
        </w:rPr>
        <w:t xml:space="preserve"> Současně </w:t>
      </w:r>
      <w:r w:rsidRPr="002042FA">
        <w:rPr>
          <w:rFonts w:ascii="Arial" w:hAnsi="Arial" w:cs="Arial"/>
          <w:b/>
        </w:rPr>
        <w:t>Rada Olomouckého kraje doporučila Zastupitelstvu Olomouckého kraje schválit poskytnutí příspěvku RNDr. Ivanu Markovi,</w:t>
      </w:r>
      <w:r w:rsidRPr="002042FA">
        <w:rPr>
          <w:rFonts w:ascii="Arial" w:hAnsi="Arial" w:cs="Arial"/>
          <w:b/>
          <w:bCs/>
        </w:rPr>
        <w:t xml:space="preserve"> IČ: 44903383 ve výši 371 800 Kč na administraci Olomouc region </w:t>
      </w:r>
      <w:proofErr w:type="spellStart"/>
      <w:r w:rsidRPr="002042FA">
        <w:rPr>
          <w:rFonts w:ascii="Arial" w:hAnsi="Arial" w:cs="Arial"/>
          <w:b/>
          <w:bCs/>
        </w:rPr>
        <w:t>Card</w:t>
      </w:r>
      <w:proofErr w:type="spellEnd"/>
      <w:r w:rsidRPr="002042FA">
        <w:rPr>
          <w:rFonts w:ascii="Arial" w:hAnsi="Arial" w:cs="Arial"/>
          <w:b/>
          <w:bCs/>
        </w:rPr>
        <w:t xml:space="preserve"> v roce 2014</w:t>
      </w:r>
      <w:r w:rsidR="002042FA">
        <w:rPr>
          <w:rFonts w:ascii="Arial" w:hAnsi="Arial" w:cs="Arial"/>
          <w:b/>
          <w:bCs/>
        </w:rPr>
        <w:t>,</w:t>
      </w:r>
      <w:r w:rsidRPr="002042FA">
        <w:rPr>
          <w:rFonts w:ascii="Arial" w:hAnsi="Arial" w:cs="Arial"/>
          <w:b/>
          <w:bCs/>
        </w:rPr>
        <w:t xml:space="preserve"> </w:t>
      </w:r>
      <w:r w:rsidR="002042FA">
        <w:rPr>
          <w:rFonts w:ascii="Arial" w:hAnsi="Arial" w:cs="Arial"/>
          <w:b/>
          <w:bCs/>
        </w:rPr>
        <w:t xml:space="preserve">schválit </w:t>
      </w:r>
      <w:r w:rsidRPr="002042FA">
        <w:rPr>
          <w:rFonts w:ascii="Arial" w:hAnsi="Arial" w:cs="Arial"/>
          <w:b/>
        </w:rPr>
        <w:t>uzavřen</w:t>
      </w:r>
      <w:bookmarkStart w:id="0" w:name="_GoBack"/>
      <w:bookmarkEnd w:id="0"/>
      <w:r w:rsidRPr="002042FA">
        <w:rPr>
          <w:rFonts w:ascii="Arial" w:hAnsi="Arial" w:cs="Arial"/>
          <w:b/>
        </w:rPr>
        <w:t>í Dodatku č. 3 ke smlouvě o poskytnutí příspěvku pro rok 2014</w:t>
      </w:r>
      <w:r w:rsidR="00AC7853">
        <w:rPr>
          <w:rFonts w:ascii="Arial" w:hAnsi="Arial" w:cs="Arial"/>
          <w:b/>
        </w:rPr>
        <w:t xml:space="preserve"> a uložit Ing. Jiřímu Rozbořilovi, hejtmanovi Olomouckého kraje, podepsat dodatek </w:t>
      </w:r>
      <w:proofErr w:type="gramStart"/>
      <w:r w:rsidR="00AC7853">
        <w:rPr>
          <w:rFonts w:ascii="Arial" w:hAnsi="Arial" w:cs="Arial"/>
          <w:b/>
        </w:rPr>
        <w:t>č.3</w:t>
      </w:r>
      <w:r w:rsidRPr="002042FA">
        <w:rPr>
          <w:rFonts w:ascii="Arial" w:hAnsi="Arial" w:cs="Arial"/>
          <w:b/>
        </w:rPr>
        <w:t>.</w:t>
      </w:r>
      <w:proofErr w:type="gramEnd"/>
    </w:p>
    <w:p w:rsidR="0017162D" w:rsidRPr="0017162D" w:rsidRDefault="0017162D" w:rsidP="00BD2EF0">
      <w:pPr>
        <w:tabs>
          <w:tab w:val="left" w:pos="900"/>
        </w:tabs>
        <w:spacing w:afterLines="60" w:after="144"/>
        <w:jc w:val="both"/>
        <w:rPr>
          <w:rFonts w:ascii="Arial" w:hAnsi="Arial" w:cs="Arial"/>
          <w:bCs/>
        </w:rPr>
      </w:pPr>
    </w:p>
    <w:p w:rsidR="003554EA" w:rsidRDefault="003554EA" w:rsidP="00FB5E6D">
      <w:pPr>
        <w:widowControl w:val="0"/>
        <w:jc w:val="both"/>
        <w:rPr>
          <w:rFonts w:ascii="Arial" w:hAnsi="Arial"/>
          <w:szCs w:val="20"/>
          <w:u w:val="single"/>
        </w:rPr>
      </w:pPr>
    </w:p>
    <w:p w:rsidR="0017162D" w:rsidRPr="0017162D" w:rsidRDefault="0017162D" w:rsidP="00FB5E6D">
      <w:pPr>
        <w:widowControl w:val="0"/>
        <w:spacing w:before="240" w:after="120"/>
        <w:jc w:val="both"/>
        <w:rPr>
          <w:rFonts w:ascii="Arial" w:hAnsi="Arial"/>
          <w:szCs w:val="20"/>
          <w:u w:val="single"/>
        </w:rPr>
      </w:pPr>
      <w:r w:rsidRPr="0017162D">
        <w:rPr>
          <w:rFonts w:ascii="Arial" w:hAnsi="Arial"/>
          <w:szCs w:val="20"/>
          <w:u w:val="single"/>
        </w:rPr>
        <w:t>Přílohy:</w:t>
      </w:r>
    </w:p>
    <w:p w:rsidR="0017162D" w:rsidRPr="0017162D" w:rsidRDefault="0017162D" w:rsidP="00FB5E6D">
      <w:pPr>
        <w:pStyle w:val="Zkladntextodsazen"/>
        <w:tabs>
          <w:tab w:val="left" w:pos="900"/>
        </w:tabs>
        <w:spacing w:after="60"/>
        <w:ind w:left="0"/>
        <w:jc w:val="both"/>
        <w:rPr>
          <w:bCs/>
        </w:rPr>
      </w:pPr>
      <w:r w:rsidRPr="0017162D">
        <w:rPr>
          <w:bCs/>
        </w:rPr>
        <w:t xml:space="preserve">Příloha č. 1 – Dodatek č. </w:t>
      </w:r>
      <w:r w:rsidR="002D2748">
        <w:rPr>
          <w:bCs/>
        </w:rPr>
        <w:t>3</w:t>
      </w:r>
      <w:r w:rsidRPr="0017162D">
        <w:rPr>
          <w:bCs/>
        </w:rPr>
        <w:t xml:space="preserve"> ke smlouvě o poskytnutí příspěvku na O</w:t>
      </w:r>
      <w:r w:rsidR="00C701F4">
        <w:rPr>
          <w:bCs/>
        </w:rPr>
        <w:t>lo</w:t>
      </w:r>
      <w:r w:rsidR="00FB5E6D">
        <w:rPr>
          <w:bCs/>
        </w:rPr>
        <w:t xml:space="preserve">mouc region </w:t>
      </w:r>
      <w:proofErr w:type="spellStart"/>
      <w:r w:rsidR="00FB5E6D">
        <w:rPr>
          <w:bCs/>
        </w:rPr>
        <w:t>Card</w:t>
      </w:r>
      <w:proofErr w:type="spellEnd"/>
      <w:r w:rsidR="00FB5E6D">
        <w:rPr>
          <w:bCs/>
        </w:rPr>
        <w:t xml:space="preserve"> (strana 3 - 8</w:t>
      </w:r>
      <w:r w:rsidRPr="0017162D">
        <w:rPr>
          <w:bCs/>
        </w:rPr>
        <w:t>)</w:t>
      </w:r>
    </w:p>
    <w:p w:rsidR="0017162D" w:rsidRDefault="0017162D" w:rsidP="00FB5E6D">
      <w:pPr>
        <w:pStyle w:val="Zkladntextodsazen"/>
        <w:tabs>
          <w:tab w:val="left" w:pos="900"/>
        </w:tabs>
        <w:spacing w:after="60"/>
        <w:ind w:left="0"/>
        <w:jc w:val="both"/>
        <w:rPr>
          <w:bCs/>
        </w:rPr>
      </w:pPr>
      <w:r w:rsidRPr="0017162D">
        <w:rPr>
          <w:bCs/>
        </w:rPr>
        <w:t xml:space="preserve">Příloha č. 2 – Původní znění Smlouvy o poskytnutí příspěvku na Olomouc region </w:t>
      </w:r>
      <w:proofErr w:type="spellStart"/>
      <w:r w:rsidRPr="0017162D">
        <w:rPr>
          <w:bCs/>
        </w:rPr>
        <w:t>Card</w:t>
      </w:r>
      <w:proofErr w:type="spellEnd"/>
      <w:r w:rsidRPr="0017162D">
        <w:rPr>
          <w:bCs/>
        </w:rPr>
        <w:t xml:space="preserve"> </w:t>
      </w:r>
      <w:r w:rsidR="004D54A7">
        <w:rPr>
          <w:bCs/>
        </w:rPr>
        <w:t>(strana 9 - 17</w:t>
      </w:r>
      <w:r w:rsidRPr="0017162D">
        <w:rPr>
          <w:bCs/>
        </w:rPr>
        <w:t>)</w:t>
      </w:r>
    </w:p>
    <w:p w:rsidR="00C701F4" w:rsidRDefault="007D0173" w:rsidP="00FB5E6D">
      <w:pPr>
        <w:pStyle w:val="Zkladntextodsazen"/>
        <w:tabs>
          <w:tab w:val="left" w:pos="900"/>
        </w:tabs>
        <w:spacing w:after="60"/>
        <w:ind w:left="0"/>
        <w:jc w:val="both"/>
        <w:rPr>
          <w:bCs/>
        </w:rPr>
      </w:pPr>
      <w:r>
        <w:rPr>
          <w:bCs/>
        </w:rPr>
        <w:t>Příloha č. 3</w:t>
      </w:r>
      <w:r w:rsidR="00C701F4">
        <w:rPr>
          <w:bCs/>
        </w:rPr>
        <w:t xml:space="preserve"> – Finanční rozvaha Olomouc regi</w:t>
      </w:r>
      <w:r w:rsidR="004D54A7">
        <w:rPr>
          <w:bCs/>
        </w:rPr>
        <w:t xml:space="preserve">on </w:t>
      </w:r>
      <w:proofErr w:type="spellStart"/>
      <w:r w:rsidR="004D54A7">
        <w:rPr>
          <w:bCs/>
        </w:rPr>
        <w:t>Card</w:t>
      </w:r>
      <w:proofErr w:type="spellEnd"/>
      <w:r w:rsidR="004D54A7">
        <w:rPr>
          <w:bCs/>
        </w:rPr>
        <w:t xml:space="preserve"> na rok 2014 (strana </w:t>
      </w:r>
      <w:r>
        <w:rPr>
          <w:bCs/>
        </w:rPr>
        <w:t>18</w:t>
      </w:r>
      <w:r w:rsidR="00C701F4">
        <w:rPr>
          <w:bCs/>
        </w:rPr>
        <w:t>)</w:t>
      </w:r>
    </w:p>
    <w:p w:rsidR="00755AFD" w:rsidRDefault="00755AFD" w:rsidP="00F323EE">
      <w:pPr>
        <w:pStyle w:val="Zkladntextodsazen"/>
        <w:tabs>
          <w:tab w:val="left" w:pos="900"/>
        </w:tabs>
        <w:ind w:left="0"/>
        <w:jc w:val="both"/>
        <w:rPr>
          <w:bCs/>
          <w:sz w:val="23"/>
          <w:szCs w:val="23"/>
        </w:rPr>
        <w:sectPr w:rsidR="00755AFD" w:rsidSect="00220391">
          <w:footerReference w:type="even" r:id="rId8"/>
          <w:footerReference w:type="default" r:id="rId9"/>
          <w:pgSz w:w="11906" w:h="16838"/>
          <w:pgMar w:top="1418" w:right="1418" w:bottom="1418" w:left="1418" w:header="709" w:footer="709" w:gutter="0"/>
          <w:pgNumType w:start="1"/>
          <w:cols w:space="708"/>
          <w:docGrid w:linePitch="360"/>
        </w:sectPr>
      </w:pPr>
    </w:p>
    <w:p w:rsidR="00EE2091" w:rsidRDefault="00EE2091" w:rsidP="00EE2091">
      <w:pPr>
        <w:widowControl w:val="0"/>
        <w:jc w:val="center"/>
        <w:rPr>
          <w:rFonts w:ascii="Arial" w:hAnsi="Arial"/>
          <w:b/>
          <w:noProof/>
          <w:sz w:val="28"/>
          <w:szCs w:val="28"/>
        </w:rPr>
      </w:pPr>
      <w:r>
        <w:rPr>
          <w:rFonts w:ascii="Arial" w:hAnsi="Arial"/>
          <w:b/>
          <w:noProof/>
          <w:sz w:val="28"/>
          <w:szCs w:val="28"/>
        </w:rPr>
        <w:lastRenderedPageBreak/>
        <w:t>Dodatek č. 3 ke smlouvě č. 2010/03825/KH/DSM o poskytnutí příspěvku</w:t>
      </w:r>
    </w:p>
    <w:p w:rsidR="00EE2091" w:rsidRDefault="00EE2091" w:rsidP="00EE2091">
      <w:pPr>
        <w:jc w:val="center"/>
        <w:rPr>
          <w:rFonts w:ascii="Arial" w:hAnsi="Arial"/>
        </w:rPr>
      </w:pPr>
      <w:r>
        <w:rPr>
          <w:rFonts w:ascii="Arial" w:hAnsi="Arial"/>
        </w:rPr>
        <w:t>uzavřené dle ustanovení § 269 odst. 2 zákona č. 513/1991 Sb.,</w:t>
      </w:r>
    </w:p>
    <w:p w:rsidR="00EE2091" w:rsidRDefault="00EE2091" w:rsidP="00EE2091">
      <w:pPr>
        <w:jc w:val="center"/>
        <w:rPr>
          <w:rFonts w:ascii="Arial" w:hAnsi="Arial"/>
        </w:rPr>
      </w:pPr>
      <w:r>
        <w:rPr>
          <w:rFonts w:ascii="Arial" w:hAnsi="Arial"/>
        </w:rPr>
        <w:t>obchodního zákoníku, v platném znění</w:t>
      </w:r>
    </w:p>
    <w:p w:rsidR="00EE2091" w:rsidRDefault="00EE2091" w:rsidP="00EE2091"/>
    <w:p w:rsidR="00EE2091" w:rsidRDefault="00EE2091" w:rsidP="00EE2091">
      <w:pPr>
        <w:jc w:val="both"/>
        <w:rPr>
          <w:rFonts w:ascii="Arial" w:hAnsi="Arial"/>
        </w:rPr>
      </w:pPr>
      <w:r>
        <w:rPr>
          <w:rFonts w:ascii="Arial" w:hAnsi="Arial"/>
          <w:b/>
        </w:rPr>
        <w:t>Olomoucký kraj</w:t>
      </w:r>
    </w:p>
    <w:p w:rsidR="00EE2091" w:rsidRDefault="00EE2091" w:rsidP="00EE2091">
      <w:pPr>
        <w:jc w:val="both"/>
        <w:rPr>
          <w:rFonts w:ascii="Arial" w:hAnsi="Arial"/>
        </w:rPr>
      </w:pPr>
      <w:r>
        <w:rPr>
          <w:rFonts w:ascii="Arial" w:hAnsi="Arial"/>
        </w:rPr>
        <w:t>Jeremenkova 40a, 779 11 Olomouc</w:t>
      </w:r>
    </w:p>
    <w:p w:rsidR="00EE2091" w:rsidRDefault="00EE2091" w:rsidP="00EE2091">
      <w:pPr>
        <w:jc w:val="both"/>
        <w:rPr>
          <w:rFonts w:ascii="Arial" w:hAnsi="Arial"/>
        </w:rPr>
      </w:pPr>
      <w:r>
        <w:rPr>
          <w:rFonts w:ascii="Arial" w:hAnsi="Arial"/>
        </w:rPr>
        <w:t>IČ: 60609460</w:t>
      </w:r>
    </w:p>
    <w:p w:rsidR="00EE2091" w:rsidRDefault="00EE2091" w:rsidP="00EE2091">
      <w:pPr>
        <w:jc w:val="both"/>
        <w:rPr>
          <w:rFonts w:ascii="Arial" w:hAnsi="Arial"/>
        </w:rPr>
      </w:pPr>
      <w:r>
        <w:rPr>
          <w:rFonts w:ascii="Arial" w:hAnsi="Arial"/>
        </w:rPr>
        <w:t>Zastoupený: Ing. Jiřím Rozbořilem, hejtmanem Olomouckého kraje</w:t>
      </w:r>
    </w:p>
    <w:p w:rsidR="00EE2091" w:rsidRDefault="00EE2091" w:rsidP="00EE2091">
      <w:pPr>
        <w:tabs>
          <w:tab w:val="left" w:pos="3960"/>
        </w:tabs>
        <w:rPr>
          <w:rFonts w:ascii="Arial" w:hAnsi="Arial"/>
        </w:rPr>
      </w:pPr>
      <w:r>
        <w:rPr>
          <w:rFonts w:ascii="Arial" w:hAnsi="Arial"/>
        </w:rPr>
        <w:t xml:space="preserve">bankovní spojení: č. </w:t>
      </w:r>
      <w:proofErr w:type="spellStart"/>
      <w:r>
        <w:rPr>
          <w:rFonts w:ascii="Arial" w:hAnsi="Arial"/>
        </w:rPr>
        <w:t>ú.</w:t>
      </w:r>
      <w:proofErr w:type="spellEnd"/>
      <w:r>
        <w:rPr>
          <w:rFonts w:ascii="Arial" w:hAnsi="Arial"/>
        </w:rPr>
        <w:t>: 27-4228330207/0100, Komerční banka, a. s. Olomouc</w:t>
      </w:r>
    </w:p>
    <w:p w:rsidR="00EE2091" w:rsidRDefault="00EE2091" w:rsidP="00EE2091">
      <w:pPr>
        <w:jc w:val="both"/>
        <w:rPr>
          <w:rFonts w:ascii="Arial" w:hAnsi="Arial"/>
        </w:rPr>
      </w:pPr>
      <w:r>
        <w:rPr>
          <w:rFonts w:ascii="Arial" w:hAnsi="Arial"/>
        </w:rPr>
        <w:t xml:space="preserve">(dále jen: </w:t>
      </w:r>
      <w:r>
        <w:rPr>
          <w:rFonts w:ascii="Arial" w:hAnsi="Arial"/>
          <w:b/>
        </w:rPr>
        <w:t>poskytovatel</w:t>
      </w:r>
      <w:r>
        <w:rPr>
          <w:rFonts w:ascii="Arial" w:hAnsi="Arial"/>
        </w:rPr>
        <w:t>)</w:t>
      </w:r>
    </w:p>
    <w:p w:rsidR="00EE2091" w:rsidRDefault="00EE2091" w:rsidP="00EE2091">
      <w:pPr>
        <w:jc w:val="both"/>
        <w:rPr>
          <w:rFonts w:ascii="Arial" w:hAnsi="Arial"/>
          <w:b/>
        </w:rPr>
      </w:pPr>
    </w:p>
    <w:p w:rsidR="00EE2091" w:rsidRDefault="00EE2091" w:rsidP="00EE2091">
      <w:pPr>
        <w:jc w:val="both"/>
        <w:rPr>
          <w:rFonts w:ascii="Arial" w:hAnsi="Arial"/>
          <w:b/>
        </w:rPr>
      </w:pPr>
      <w:r>
        <w:rPr>
          <w:rFonts w:ascii="Arial" w:hAnsi="Arial"/>
          <w:b/>
        </w:rPr>
        <w:t>a</w:t>
      </w:r>
    </w:p>
    <w:p w:rsidR="00EE2091" w:rsidRDefault="00EE2091" w:rsidP="00EE2091">
      <w:pPr>
        <w:jc w:val="both"/>
        <w:rPr>
          <w:rFonts w:ascii="Arial" w:hAnsi="Arial"/>
          <w:b/>
        </w:rPr>
      </w:pPr>
    </w:p>
    <w:p w:rsidR="00EE2091" w:rsidRDefault="00EE2091" w:rsidP="00EE2091">
      <w:pPr>
        <w:tabs>
          <w:tab w:val="left" w:pos="3960"/>
        </w:tabs>
        <w:jc w:val="both"/>
        <w:rPr>
          <w:rFonts w:ascii="Arial" w:hAnsi="Arial"/>
          <w:b/>
          <w:dstrike/>
        </w:rPr>
      </w:pPr>
      <w:r>
        <w:rPr>
          <w:rFonts w:ascii="Arial" w:hAnsi="Arial"/>
          <w:b/>
        </w:rPr>
        <w:t>RNDr. Ivan Marek</w:t>
      </w:r>
    </w:p>
    <w:p w:rsidR="00EE2091" w:rsidRDefault="00EE2091" w:rsidP="00EE2091">
      <w:pPr>
        <w:tabs>
          <w:tab w:val="left" w:pos="3960"/>
        </w:tabs>
        <w:jc w:val="both"/>
        <w:rPr>
          <w:rFonts w:ascii="Arial" w:hAnsi="Arial"/>
        </w:rPr>
      </w:pPr>
      <w:r>
        <w:rPr>
          <w:rFonts w:ascii="Arial" w:hAnsi="Arial"/>
        </w:rPr>
        <w:t>Železniční 469/4</w:t>
      </w:r>
    </w:p>
    <w:p w:rsidR="00EE2091" w:rsidRDefault="00EE2091" w:rsidP="00EE2091">
      <w:pPr>
        <w:tabs>
          <w:tab w:val="left" w:pos="3960"/>
        </w:tabs>
        <w:jc w:val="both"/>
        <w:rPr>
          <w:rFonts w:ascii="Arial" w:hAnsi="Arial"/>
        </w:rPr>
      </w:pPr>
      <w:r>
        <w:rPr>
          <w:rFonts w:ascii="Arial" w:hAnsi="Arial"/>
        </w:rPr>
        <w:t xml:space="preserve">779 00  Olomouc - Chválkovice, </w:t>
      </w:r>
    </w:p>
    <w:p w:rsidR="00EE2091" w:rsidRDefault="00EE2091" w:rsidP="00EE2091">
      <w:pPr>
        <w:tabs>
          <w:tab w:val="left" w:pos="3960"/>
        </w:tabs>
        <w:jc w:val="both"/>
        <w:rPr>
          <w:rFonts w:ascii="Arial" w:hAnsi="Arial"/>
        </w:rPr>
      </w:pPr>
      <w:r>
        <w:rPr>
          <w:rFonts w:ascii="Arial" w:hAnsi="Arial"/>
        </w:rPr>
        <w:t>IČ: 44903383</w:t>
      </w:r>
    </w:p>
    <w:p w:rsidR="00EE2091" w:rsidRDefault="00EE2091" w:rsidP="00EE2091">
      <w:pPr>
        <w:tabs>
          <w:tab w:val="left" w:pos="3960"/>
        </w:tabs>
        <w:jc w:val="both"/>
        <w:rPr>
          <w:rFonts w:ascii="Arial" w:hAnsi="Arial"/>
        </w:rPr>
      </w:pPr>
      <w:r>
        <w:rPr>
          <w:rFonts w:ascii="Arial" w:hAnsi="Arial"/>
        </w:rPr>
        <w:t>DIČ: CZ530523063</w:t>
      </w:r>
    </w:p>
    <w:p w:rsidR="00EE2091" w:rsidRDefault="00EE2091" w:rsidP="00EE2091">
      <w:pPr>
        <w:tabs>
          <w:tab w:val="left" w:pos="3960"/>
        </w:tabs>
        <w:jc w:val="both"/>
        <w:rPr>
          <w:rFonts w:ascii="Arial" w:hAnsi="Arial"/>
        </w:rPr>
      </w:pPr>
      <w:r>
        <w:rPr>
          <w:rFonts w:ascii="Arial" w:hAnsi="Arial"/>
        </w:rPr>
        <w:t>bankovní spojení: Komerční banka Olomouc</w:t>
      </w:r>
    </w:p>
    <w:p w:rsidR="00EE2091" w:rsidRDefault="00EE2091" w:rsidP="00EE2091">
      <w:pPr>
        <w:tabs>
          <w:tab w:val="left" w:pos="3960"/>
        </w:tabs>
        <w:jc w:val="both"/>
        <w:rPr>
          <w:rFonts w:ascii="Arial" w:hAnsi="Arial"/>
        </w:rPr>
      </w:pPr>
      <w:r>
        <w:rPr>
          <w:rFonts w:ascii="Arial" w:hAnsi="Arial"/>
        </w:rPr>
        <w:t xml:space="preserve">č. </w:t>
      </w:r>
      <w:proofErr w:type="spellStart"/>
      <w:r>
        <w:rPr>
          <w:rFonts w:ascii="Arial" w:hAnsi="Arial"/>
        </w:rPr>
        <w:t>ú.</w:t>
      </w:r>
      <w:proofErr w:type="spellEnd"/>
      <w:r>
        <w:rPr>
          <w:rFonts w:ascii="Arial" w:hAnsi="Arial"/>
        </w:rPr>
        <w:t>: 35-7974110277/0100</w:t>
      </w:r>
    </w:p>
    <w:p w:rsidR="00EE2091" w:rsidRDefault="00EE2091" w:rsidP="00EE2091">
      <w:pPr>
        <w:jc w:val="both"/>
        <w:rPr>
          <w:rFonts w:ascii="Arial" w:hAnsi="Arial"/>
        </w:rPr>
      </w:pPr>
      <w:r>
        <w:rPr>
          <w:rFonts w:ascii="Arial" w:hAnsi="Arial"/>
        </w:rPr>
        <w:t xml:space="preserve">(dále jen: </w:t>
      </w:r>
      <w:r>
        <w:rPr>
          <w:rFonts w:ascii="Arial" w:hAnsi="Arial"/>
          <w:b/>
        </w:rPr>
        <w:t>příjemce</w:t>
      </w:r>
      <w:r>
        <w:rPr>
          <w:rFonts w:ascii="Arial" w:hAnsi="Arial"/>
        </w:rPr>
        <w:t>)</w:t>
      </w:r>
    </w:p>
    <w:p w:rsidR="00EE2091" w:rsidRDefault="00EE2091" w:rsidP="00EE2091">
      <w:pPr>
        <w:jc w:val="center"/>
        <w:rPr>
          <w:rFonts w:ascii="Arial" w:hAnsi="Arial" w:cs="Arial"/>
        </w:rPr>
      </w:pPr>
    </w:p>
    <w:p w:rsidR="00EE2091" w:rsidRDefault="00EE2091" w:rsidP="00EE2091">
      <w:pPr>
        <w:jc w:val="center"/>
        <w:rPr>
          <w:rFonts w:ascii="Arial" w:hAnsi="Arial" w:cs="Arial"/>
        </w:rPr>
      </w:pPr>
      <w:r>
        <w:rPr>
          <w:rFonts w:ascii="Arial" w:hAnsi="Arial" w:cs="Arial"/>
        </w:rPr>
        <w:t>uzavírají níže uvedeného dne, měsíce a roku</w:t>
      </w:r>
    </w:p>
    <w:p w:rsidR="00EE2091" w:rsidRDefault="00EE2091" w:rsidP="00EE2091">
      <w:pPr>
        <w:jc w:val="center"/>
        <w:rPr>
          <w:rFonts w:ascii="Arial" w:hAnsi="Arial" w:cs="Arial"/>
        </w:rPr>
      </w:pPr>
      <w:r>
        <w:rPr>
          <w:rFonts w:ascii="Arial" w:hAnsi="Arial" w:cs="Arial"/>
        </w:rPr>
        <w:t>tento dodatek č. 3 ke smlouvě o poskytnutí příspěvku ze dne 15. 12. 2010:</w:t>
      </w:r>
    </w:p>
    <w:p w:rsidR="00EE2091" w:rsidRDefault="00EE2091" w:rsidP="00EE2091"/>
    <w:p w:rsidR="00EE2091" w:rsidRDefault="00EE2091" w:rsidP="00EE2091"/>
    <w:p w:rsidR="00EE2091" w:rsidRDefault="00EE2091" w:rsidP="00EE2091">
      <w:pPr>
        <w:spacing w:after="120"/>
        <w:jc w:val="center"/>
        <w:rPr>
          <w:rFonts w:ascii="Arial" w:hAnsi="Arial" w:cs="Arial"/>
          <w:b/>
        </w:rPr>
      </w:pPr>
      <w:r>
        <w:rPr>
          <w:rFonts w:ascii="Arial" w:hAnsi="Arial" w:cs="Arial"/>
          <w:b/>
        </w:rPr>
        <w:t>I.</w:t>
      </w:r>
    </w:p>
    <w:p w:rsidR="00EE2091" w:rsidRDefault="00EE2091" w:rsidP="00EE2091">
      <w:pPr>
        <w:spacing w:after="120"/>
        <w:jc w:val="both"/>
        <w:rPr>
          <w:rFonts w:ascii="Arial" w:hAnsi="Arial" w:cs="Arial"/>
        </w:rPr>
      </w:pPr>
      <w:r>
        <w:rPr>
          <w:rFonts w:ascii="Arial" w:hAnsi="Arial" w:cs="Arial"/>
        </w:rPr>
        <w:t xml:space="preserve">Dne 15. 12. 2010 uzavřel Olomoucký kraj s RNDr. Ivanem Markem smlouvu </w:t>
      </w:r>
      <w:r>
        <w:rPr>
          <w:rFonts w:ascii="Arial" w:hAnsi="Arial" w:cs="Arial"/>
        </w:rPr>
        <w:br/>
        <w:t xml:space="preserve">o poskytnutí příspěvku, jejímž předmětem je poskytnutí příspěvku na zajištění fungování produktu „Olomouc region </w:t>
      </w:r>
      <w:proofErr w:type="spellStart"/>
      <w:r>
        <w:rPr>
          <w:rFonts w:ascii="Arial" w:hAnsi="Arial" w:cs="Arial"/>
        </w:rPr>
        <w:t>Card</w:t>
      </w:r>
      <w:proofErr w:type="spellEnd"/>
      <w:r>
        <w:rPr>
          <w:rFonts w:ascii="Arial" w:hAnsi="Arial" w:cs="Arial"/>
        </w:rPr>
        <w:t xml:space="preserve">“ (dále také „produkt </w:t>
      </w:r>
      <w:proofErr w:type="gramStart"/>
      <w:r>
        <w:rPr>
          <w:rFonts w:ascii="Arial" w:hAnsi="Arial" w:cs="Arial"/>
        </w:rPr>
        <w:t>ORC“) (dále</w:t>
      </w:r>
      <w:proofErr w:type="gramEnd"/>
      <w:r>
        <w:rPr>
          <w:rFonts w:ascii="Arial" w:hAnsi="Arial" w:cs="Arial"/>
        </w:rPr>
        <w:t xml:space="preserve"> jen „Smlouva“). Dne 23. 12. 2011 byl k této smlouvě uzavřen dodatek č. 1. </w:t>
      </w:r>
      <w:r>
        <w:rPr>
          <w:rFonts w:ascii="Arial" w:hAnsi="Arial" w:cs="Arial"/>
          <w:highlight w:val="lightGray"/>
        </w:rPr>
        <w:t xml:space="preserve">a dne </w:t>
      </w:r>
      <w:r>
        <w:rPr>
          <w:rFonts w:ascii="Arial" w:hAnsi="Arial" w:cs="Arial"/>
          <w:highlight w:val="lightGray"/>
        </w:rPr>
        <w:br/>
        <w:t>11. 10. 2012 byl k této smlouvě uzavřen dodatek č. 2</w:t>
      </w:r>
      <w:r>
        <w:rPr>
          <w:rFonts w:ascii="Arial" w:hAnsi="Arial" w:cs="Arial"/>
        </w:rPr>
        <w:t>.</w:t>
      </w:r>
    </w:p>
    <w:p w:rsidR="00EE2091" w:rsidRDefault="00EE2091" w:rsidP="00EE2091">
      <w:pPr>
        <w:spacing w:after="120"/>
        <w:jc w:val="both"/>
        <w:rPr>
          <w:rFonts w:ascii="Arial" w:hAnsi="Arial" w:cs="Arial"/>
        </w:rPr>
      </w:pPr>
    </w:p>
    <w:p w:rsidR="00EE2091" w:rsidRDefault="00EE2091" w:rsidP="00EE2091">
      <w:pPr>
        <w:spacing w:after="120"/>
        <w:jc w:val="both"/>
        <w:rPr>
          <w:rFonts w:ascii="Arial" w:hAnsi="Arial" w:cs="Arial"/>
        </w:rPr>
      </w:pPr>
    </w:p>
    <w:p w:rsidR="00EE2091" w:rsidRDefault="00EE2091" w:rsidP="00EE2091">
      <w:pPr>
        <w:spacing w:after="120"/>
        <w:jc w:val="center"/>
        <w:rPr>
          <w:rFonts w:ascii="Arial" w:hAnsi="Arial" w:cs="Arial"/>
          <w:b/>
        </w:rPr>
      </w:pPr>
      <w:r>
        <w:rPr>
          <w:rFonts w:ascii="Arial" w:hAnsi="Arial" w:cs="Arial"/>
          <w:b/>
        </w:rPr>
        <w:t>II.</w:t>
      </w:r>
    </w:p>
    <w:p w:rsidR="00EE2091" w:rsidRDefault="00EE2091" w:rsidP="00EE2091">
      <w:pPr>
        <w:spacing w:after="120"/>
        <w:jc w:val="both"/>
        <w:rPr>
          <w:rFonts w:ascii="Arial" w:hAnsi="Arial" w:cs="Arial"/>
        </w:rPr>
      </w:pPr>
      <w:r>
        <w:rPr>
          <w:rFonts w:ascii="Arial" w:hAnsi="Arial" w:cs="Arial"/>
        </w:rPr>
        <w:t>Smluvní strany se dohodly, že Smlouva ve znění dodatku č. 1 a 2 se mění takto:</w:t>
      </w:r>
    </w:p>
    <w:p w:rsidR="00EE2091" w:rsidRDefault="00EE2091" w:rsidP="00EE2091">
      <w:pPr>
        <w:numPr>
          <w:ilvl w:val="0"/>
          <w:numId w:val="30"/>
        </w:numPr>
        <w:spacing w:after="120"/>
        <w:ind w:left="426" w:hanging="426"/>
        <w:jc w:val="both"/>
        <w:rPr>
          <w:rFonts w:ascii="Arial" w:hAnsi="Arial" w:cs="Arial"/>
        </w:rPr>
      </w:pPr>
      <w:r>
        <w:rPr>
          <w:rFonts w:ascii="Arial" w:hAnsi="Arial" w:cs="Arial"/>
        </w:rPr>
        <w:t>Čl. I. odst. 1 nově zní: „Poskytovatel se na základě této smlouvy zavazuje poskytnout příjemci příspěvky v těchto výších:</w:t>
      </w:r>
    </w:p>
    <w:p w:rsidR="00EE2091" w:rsidRDefault="00EE2091" w:rsidP="00EE2091">
      <w:pPr>
        <w:spacing w:after="120"/>
        <w:ind w:left="357"/>
        <w:jc w:val="both"/>
        <w:rPr>
          <w:rFonts w:ascii="Arial" w:hAnsi="Arial" w:cs="Arial"/>
        </w:rPr>
      </w:pPr>
      <w:r>
        <w:rPr>
          <w:rFonts w:ascii="Arial" w:hAnsi="Arial" w:cs="Arial"/>
        </w:rPr>
        <w:t xml:space="preserve">v roce 2011: 310 700 Kč, slovy: </w:t>
      </w:r>
      <w:proofErr w:type="spellStart"/>
      <w:r>
        <w:rPr>
          <w:rFonts w:ascii="Arial" w:hAnsi="Arial" w:cs="Arial"/>
        </w:rPr>
        <w:t>třistadesettisícsedmsetkorunčeských</w:t>
      </w:r>
      <w:proofErr w:type="spellEnd"/>
      <w:r>
        <w:rPr>
          <w:rFonts w:ascii="Arial" w:hAnsi="Arial" w:cs="Arial"/>
        </w:rPr>
        <w:t xml:space="preserve"> </w:t>
      </w:r>
    </w:p>
    <w:p w:rsidR="00EE2091" w:rsidRDefault="00EE2091" w:rsidP="00EE2091">
      <w:pPr>
        <w:spacing w:after="120"/>
        <w:ind w:left="357"/>
        <w:jc w:val="both"/>
        <w:rPr>
          <w:rFonts w:ascii="Arial" w:hAnsi="Arial" w:cs="Arial"/>
        </w:rPr>
      </w:pPr>
      <w:r>
        <w:rPr>
          <w:rFonts w:ascii="Arial" w:hAnsi="Arial" w:cs="Arial"/>
        </w:rPr>
        <w:t xml:space="preserve">v roce 2012: 349 050 Kč, slovy: </w:t>
      </w:r>
      <w:proofErr w:type="spellStart"/>
      <w:r>
        <w:rPr>
          <w:rFonts w:ascii="Arial" w:hAnsi="Arial" w:cs="Arial"/>
        </w:rPr>
        <w:t>třistačtyřicetdevěttisícpadesátkorunčeských</w:t>
      </w:r>
      <w:proofErr w:type="spellEnd"/>
      <w:r>
        <w:rPr>
          <w:rFonts w:ascii="Arial" w:hAnsi="Arial" w:cs="Arial"/>
        </w:rPr>
        <w:t xml:space="preserve"> </w:t>
      </w:r>
    </w:p>
    <w:p w:rsidR="00EE2091" w:rsidRDefault="00EE2091" w:rsidP="00EE2091">
      <w:pPr>
        <w:spacing w:after="120"/>
        <w:ind w:left="357"/>
        <w:jc w:val="both"/>
        <w:rPr>
          <w:rFonts w:ascii="Arial" w:hAnsi="Arial" w:cs="Arial"/>
        </w:rPr>
      </w:pPr>
      <w:r>
        <w:rPr>
          <w:rFonts w:ascii="Arial" w:hAnsi="Arial" w:cs="Arial"/>
        </w:rPr>
        <w:t xml:space="preserve">v roce 2013: 371 800 Kč, slovy: </w:t>
      </w:r>
      <w:proofErr w:type="spellStart"/>
      <w:r>
        <w:rPr>
          <w:rFonts w:ascii="Arial" w:hAnsi="Arial" w:cs="Arial"/>
        </w:rPr>
        <w:t>třistasedmdesátjednatisícosmsetkorunčeských</w:t>
      </w:r>
      <w:proofErr w:type="spellEnd"/>
    </w:p>
    <w:p w:rsidR="00EE2091" w:rsidRDefault="00EE2091" w:rsidP="00EE2091">
      <w:pPr>
        <w:spacing w:after="120"/>
        <w:ind w:left="357"/>
        <w:jc w:val="both"/>
        <w:rPr>
          <w:rFonts w:ascii="Arial" w:hAnsi="Arial" w:cs="Arial"/>
        </w:rPr>
      </w:pPr>
      <w:r>
        <w:rPr>
          <w:rFonts w:ascii="Arial" w:hAnsi="Arial" w:cs="Arial"/>
          <w:highlight w:val="lightGray"/>
        </w:rPr>
        <w:t xml:space="preserve">v roce 2014: 371 800 Kč, slovy: </w:t>
      </w:r>
      <w:proofErr w:type="spellStart"/>
      <w:r>
        <w:rPr>
          <w:rFonts w:ascii="Arial" w:hAnsi="Arial" w:cs="Arial"/>
          <w:highlight w:val="lightGray"/>
        </w:rPr>
        <w:t>třistasedmdesátjednatisícosmsetkorunčeských</w:t>
      </w:r>
      <w:proofErr w:type="spellEnd"/>
    </w:p>
    <w:p w:rsidR="00EE2091" w:rsidRDefault="00EE2091" w:rsidP="00EE2091">
      <w:pPr>
        <w:spacing w:after="120"/>
        <w:ind w:left="357"/>
        <w:jc w:val="both"/>
        <w:rPr>
          <w:rFonts w:ascii="Arial" w:hAnsi="Arial" w:cs="Arial"/>
        </w:rPr>
      </w:pPr>
      <w:r>
        <w:rPr>
          <w:rFonts w:ascii="Arial" w:hAnsi="Arial" w:cs="Arial"/>
        </w:rPr>
        <w:lastRenderedPageBreak/>
        <w:t>(dále jen: příspěvek)“.</w:t>
      </w:r>
    </w:p>
    <w:p w:rsidR="00EE2091" w:rsidRDefault="00EE2091" w:rsidP="00EE2091">
      <w:pPr>
        <w:spacing w:after="120"/>
        <w:ind w:left="357"/>
        <w:jc w:val="both"/>
        <w:rPr>
          <w:rFonts w:ascii="Arial" w:hAnsi="Arial" w:cs="Arial"/>
        </w:rPr>
      </w:pPr>
    </w:p>
    <w:p w:rsidR="00EE2091" w:rsidRDefault="00EE2091" w:rsidP="00EE2091">
      <w:pPr>
        <w:spacing w:after="120"/>
        <w:ind w:left="426"/>
        <w:jc w:val="both"/>
        <w:rPr>
          <w:rFonts w:ascii="Arial" w:hAnsi="Arial" w:cs="Arial"/>
        </w:rPr>
      </w:pPr>
      <w:r>
        <w:rPr>
          <w:rFonts w:ascii="Arial" w:hAnsi="Arial" w:cs="Arial"/>
        </w:rPr>
        <w:t xml:space="preserve">Čl. I. odst. 2 nově zní: „Účelem poskytnutí příspěvku je zajištění fungování produktu „Olomouc region </w:t>
      </w:r>
      <w:proofErr w:type="spellStart"/>
      <w:r>
        <w:rPr>
          <w:rFonts w:ascii="Arial" w:hAnsi="Arial" w:cs="Arial"/>
        </w:rPr>
        <w:t>Card</w:t>
      </w:r>
      <w:proofErr w:type="spellEnd"/>
      <w:r>
        <w:rPr>
          <w:rFonts w:ascii="Arial" w:hAnsi="Arial" w:cs="Arial"/>
        </w:rPr>
        <w:t xml:space="preserve">“ (dále také „produkt ORC“) v období 1. 1. 2011 – 31. 12. </w:t>
      </w:r>
      <w:r>
        <w:rPr>
          <w:rFonts w:ascii="Arial" w:hAnsi="Arial" w:cs="Arial"/>
          <w:highlight w:val="lightGray"/>
        </w:rPr>
        <w:t>2014</w:t>
      </w:r>
      <w:r>
        <w:rPr>
          <w:rFonts w:ascii="Arial" w:hAnsi="Arial" w:cs="Arial"/>
        </w:rPr>
        <w:t xml:space="preserve"> dle přiložené finanční rozvahy (příloha č. 2, 3, 4 a </w:t>
      </w:r>
      <w:r>
        <w:rPr>
          <w:rFonts w:ascii="Arial" w:hAnsi="Arial" w:cs="Arial"/>
          <w:highlight w:val="lightGray"/>
        </w:rPr>
        <w:t>5</w:t>
      </w:r>
      <w:r>
        <w:rPr>
          <w:rFonts w:ascii="Arial" w:hAnsi="Arial" w:cs="Arial"/>
        </w:rPr>
        <w:t>). Příjemce je oprávněn příspěvek použít pouze na úhradu nákladů spojených se zajištěním činností uvedených v čl. III. této smlouvy.“</w:t>
      </w:r>
    </w:p>
    <w:p w:rsidR="00EE2091" w:rsidRDefault="00EE2091" w:rsidP="00EE2091">
      <w:pPr>
        <w:spacing w:after="120"/>
        <w:ind w:left="426"/>
        <w:jc w:val="both"/>
        <w:rPr>
          <w:rFonts w:ascii="Arial" w:hAnsi="Arial" w:cs="Arial"/>
        </w:rPr>
      </w:pPr>
    </w:p>
    <w:p w:rsidR="00EE2091" w:rsidRDefault="00EE2091" w:rsidP="00EE2091">
      <w:pPr>
        <w:spacing w:after="120"/>
        <w:ind w:left="357"/>
        <w:jc w:val="both"/>
        <w:rPr>
          <w:rFonts w:ascii="Arial" w:hAnsi="Arial" w:cs="Arial"/>
        </w:rPr>
      </w:pPr>
      <w:r>
        <w:rPr>
          <w:rFonts w:ascii="Arial" w:hAnsi="Arial" w:cs="Arial"/>
        </w:rPr>
        <w:t xml:space="preserve">Čl. I. odst. 3. nově zní: „Příspěvek bude poskytnut převodem na bankovní účet příjemce uvedený v záhlaví této smlouvy v osmi splátkách následovně: </w:t>
      </w:r>
      <w:r>
        <w:rPr>
          <w:rFonts w:ascii="Arial" w:hAnsi="Arial" w:cs="Arial"/>
        </w:rPr>
        <w:br/>
        <w:t xml:space="preserve">150 000 Kč (slovy: </w:t>
      </w:r>
      <w:proofErr w:type="spellStart"/>
      <w:r>
        <w:rPr>
          <w:rFonts w:ascii="Arial" w:hAnsi="Arial" w:cs="Arial"/>
        </w:rPr>
        <w:t>jednostopadesáttisíckorunčeských</w:t>
      </w:r>
      <w:proofErr w:type="spellEnd"/>
      <w:r>
        <w:rPr>
          <w:rFonts w:ascii="Arial" w:hAnsi="Arial" w:cs="Arial"/>
        </w:rPr>
        <w:t xml:space="preserve">) do 31. 1. 2011, </w:t>
      </w:r>
      <w:r>
        <w:rPr>
          <w:rFonts w:ascii="Arial" w:hAnsi="Arial" w:cs="Arial"/>
        </w:rPr>
        <w:br/>
        <w:t xml:space="preserve">160 700 Kč (slovy: </w:t>
      </w:r>
      <w:proofErr w:type="spellStart"/>
      <w:r>
        <w:rPr>
          <w:rFonts w:ascii="Arial" w:hAnsi="Arial" w:cs="Arial"/>
        </w:rPr>
        <w:t>jednostošedesáttisícsedmsetkorunčeských</w:t>
      </w:r>
      <w:proofErr w:type="spellEnd"/>
      <w:r>
        <w:rPr>
          <w:rFonts w:ascii="Arial" w:hAnsi="Arial" w:cs="Arial"/>
        </w:rPr>
        <w:t xml:space="preserve">) do 31. 5. 2011, 160 000 Kč (slovy: </w:t>
      </w:r>
      <w:proofErr w:type="spellStart"/>
      <w:r>
        <w:rPr>
          <w:rFonts w:ascii="Arial" w:hAnsi="Arial" w:cs="Arial"/>
        </w:rPr>
        <w:t>jednostošedesáttisíckorunčeských</w:t>
      </w:r>
      <w:proofErr w:type="spellEnd"/>
      <w:r>
        <w:rPr>
          <w:rFonts w:ascii="Arial" w:hAnsi="Arial" w:cs="Arial"/>
        </w:rPr>
        <w:t xml:space="preserve">) do 31. 1. 2012, 189 050 Kč (slovy: </w:t>
      </w:r>
      <w:proofErr w:type="spellStart"/>
      <w:r>
        <w:rPr>
          <w:rFonts w:ascii="Arial" w:hAnsi="Arial" w:cs="Arial"/>
        </w:rPr>
        <w:t>jednostoosmdesátdevěttisícpadesátkorunčeských</w:t>
      </w:r>
      <w:proofErr w:type="spellEnd"/>
      <w:r>
        <w:rPr>
          <w:rFonts w:ascii="Arial" w:hAnsi="Arial" w:cs="Arial"/>
        </w:rPr>
        <w:t xml:space="preserve">) do 31. 5. 2012, 170 000 Kč (slovy: </w:t>
      </w:r>
      <w:proofErr w:type="spellStart"/>
      <w:r>
        <w:rPr>
          <w:rFonts w:ascii="Arial" w:hAnsi="Arial" w:cs="Arial"/>
        </w:rPr>
        <w:t>jednostosedmdesáttisíckorunčeských</w:t>
      </w:r>
      <w:proofErr w:type="spellEnd"/>
      <w:r>
        <w:rPr>
          <w:rFonts w:ascii="Arial" w:hAnsi="Arial" w:cs="Arial"/>
        </w:rPr>
        <w:t xml:space="preserve">) do 31. 1. 2013, </w:t>
      </w:r>
      <w:r>
        <w:rPr>
          <w:rFonts w:ascii="Arial" w:hAnsi="Arial" w:cs="Arial"/>
        </w:rPr>
        <w:br/>
        <w:t xml:space="preserve">201 800 Kč (slovy: </w:t>
      </w:r>
      <w:proofErr w:type="spellStart"/>
      <w:r>
        <w:rPr>
          <w:rFonts w:ascii="Arial" w:hAnsi="Arial" w:cs="Arial"/>
        </w:rPr>
        <w:t>dvěstějednatisícosmsetkorunčeských</w:t>
      </w:r>
      <w:proofErr w:type="spellEnd"/>
      <w:r>
        <w:rPr>
          <w:rFonts w:ascii="Arial" w:hAnsi="Arial" w:cs="Arial"/>
        </w:rPr>
        <w:t xml:space="preserve">), do 31. 5. 2013, </w:t>
      </w:r>
      <w:r>
        <w:rPr>
          <w:rFonts w:ascii="Arial" w:hAnsi="Arial" w:cs="Arial"/>
          <w:highlight w:val="lightGray"/>
        </w:rPr>
        <w:t xml:space="preserve">170 000 Kč (slovy: </w:t>
      </w:r>
      <w:proofErr w:type="spellStart"/>
      <w:r>
        <w:rPr>
          <w:rFonts w:ascii="Arial" w:hAnsi="Arial" w:cs="Arial"/>
          <w:highlight w:val="lightGray"/>
        </w:rPr>
        <w:t>jednostosedmdesáttisíckorunčeských</w:t>
      </w:r>
      <w:proofErr w:type="spellEnd"/>
      <w:r>
        <w:rPr>
          <w:rFonts w:ascii="Arial" w:hAnsi="Arial" w:cs="Arial"/>
          <w:highlight w:val="lightGray"/>
        </w:rPr>
        <w:t xml:space="preserve">) do 31. 1. 2014 a </w:t>
      </w:r>
      <w:r w:rsidR="00FB5E6D">
        <w:rPr>
          <w:rFonts w:ascii="Arial" w:hAnsi="Arial" w:cs="Arial"/>
          <w:highlight w:val="lightGray"/>
        </w:rPr>
        <w:br/>
      </w:r>
      <w:r>
        <w:rPr>
          <w:rFonts w:ascii="Arial" w:hAnsi="Arial" w:cs="Arial"/>
          <w:highlight w:val="lightGray"/>
        </w:rPr>
        <w:t xml:space="preserve">201 800 Kč (slovy: </w:t>
      </w:r>
      <w:proofErr w:type="spellStart"/>
      <w:r>
        <w:rPr>
          <w:rFonts w:ascii="Arial" w:hAnsi="Arial" w:cs="Arial"/>
          <w:highlight w:val="lightGray"/>
        </w:rPr>
        <w:t>dvěstějednatisícosmsetkorunčeských</w:t>
      </w:r>
      <w:proofErr w:type="spellEnd"/>
      <w:r>
        <w:rPr>
          <w:rFonts w:ascii="Arial" w:hAnsi="Arial" w:cs="Arial"/>
          <w:highlight w:val="lightGray"/>
        </w:rPr>
        <w:t>) do 31. 5. 2014.</w:t>
      </w:r>
      <w:r>
        <w:rPr>
          <w:rFonts w:ascii="Arial" w:hAnsi="Arial" w:cs="Arial"/>
        </w:rPr>
        <w:t xml:space="preserve"> Dnem poskytnutí příspěvku je den odepsání finančních prostředků z účtu poskytovatele.“ </w:t>
      </w:r>
    </w:p>
    <w:p w:rsidR="00EE2091" w:rsidRDefault="00EE2091" w:rsidP="00EE2091">
      <w:pPr>
        <w:spacing w:after="120"/>
        <w:ind w:left="357"/>
        <w:jc w:val="both"/>
        <w:rPr>
          <w:rFonts w:ascii="Arial" w:hAnsi="Arial" w:cs="Arial"/>
          <w:i/>
        </w:rPr>
      </w:pPr>
    </w:p>
    <w:p w:rsidR="00EE2091" w:rsidRDefault="00EE2091" w:rsidP="00EE2091">
      <w:pPr>
        <w:spacing w:after="120"/>
        <w:ind w:left="357"/>
        <w:jc w:val="both"/>
        <w:rPr>
          <w:rFonts w:ascii="Arial" w:hAnsi="Arial" w:cs="Arial"/>
        </w:rPr>
      </w:pPr>
      <w:r>
        <w:rPr>
          <w:rFonts w:ascii="Arial" w:hAnsi="Arial" w:cs="Arial"/>
        </w:rPr>
        <w:t>Ostatní ustanovení článku I. zůstávají beze změn.</w:t>
      </w:r>
    </w:p>
    <w:p w:rsidR="00EE2091" w:rsidRDefault="00EE2091" w:rsidP="00EE2091">
      <w:pPr>
        <w:spacing w:after="120"/>
        <w:ind w:left="357"/>
        <w:jc w:val="both"/>
        <w:rPr>
          <w:rFonts w:ascii="Arial" w:hAnsi="Arial" w:cs="Arial"/>
        </w:rPr>
      </w:pPr>
    </w:p>
    <w:p w:rsidR="00EE2091" w:rsidRDefault="00EE2091" w:rsidP="00EE2091">
      <w:pPr>
        <w:numPr>
          <w:ilvl w:val="0"/>
          <w:numId w:val="30"/>
        </w:numPr>
        <w:spacing w:after="120"/>
        <w:ind w:left="426" w:hanging="426"/>
        <w:jc w:val="both"/>
        <w:rPr>
          <w:rFonts w:ascii="Arial" w:hAnsi="Arial" w:cs="Arial"/>
        </w:rPr>
      </w:pPr>
      <w:r>
        <w:rPr>
          <w:rFonts w:ascii="Arial" w:hAnsi="Arial" w:cs="Arial"/>
        </w:rPr>
        <w:t xml:space="preserve">Čl. III. odst. 2. část C. písm. h) nově zní: „podat půlroční hlášení Olomouckému kraji a statutárnímu městu Olomouc do 30. 9. 2011, 30. 9. 2012, 30. 9. 2013 </w:t>
      </w:r>
      <w:r>
        <w:rPr>
          <w:rFonts w:ascii="Arial" w:hAnsi="Arial" w:cs="Arial"/>
        </w:rPr>
        <w:br/>
        <w:t xml:space="preserve">a </w:t>
      </w:r>
      <w:r>
        <w:rPr>
          <w:rFonts w:ascii="Arial" w:hAnsi="Arial" w:cs="Arial"/>
          <w:highlight w:val="lightGray"/>
        </w:rPr>
        <w:t>30. 9. 2014</w:t>
      </w:r>
      <w:r>
        <w:rPr>
          <w:rFonts w:ascii="Arial" w:hAnsi="Arial" w:cs="Arial"/>
        </w:rPr>
        <w:t xml:space="preserve"> vždy za první pololetí daného kalendářního roku, která budou obsahovat: vyúčtování počtu prodaných karet dle jednotlivých typů, počtu uskutečněných volných vstupů a vstupů za zlevněné vstupné s uvedením subjektů, které tyto slevy a volné vstupy poskytly. Tyto informace budou použity </w:t>
      </w:r>
      <w:r>
        <w:rPr>
          <w:rFonts w:ascii="Arial" w:hAnsi="Arial" w:cs="Arial"/>
        </w:rPr>
        <w:br/>
        <w:t>k medializaci produktu zadavateli“.</w:t>
      </w:r>
    </w:p>
    <w:p w:rsidR="00EE2091" w:rsidRDefault="00EE2091" w:rsidP="00EE2091">
      <w:pPr>
        <w:spacing w:after="120"/>
        <w:ind w:left="426"/>
        <w:jc w:val="both"/>
        <w:rPr>
          <w:rFonts w:ascii="Arial" w:hAnsi="Arial" w:cs="Arial"/>
        </w:rPr>
      </w:pPr>
    </w:p>
    <w:p w:rsidR="00EE2091" w:rsidRDefault="00EE2091" w:rsidP="00EE2091">
      <w:pPr>
        <w:spacing w:after="120"/>
        <w:ind w:left="357"/>
        <w:jc w:val="both"/>
        <w:rPr>
          <w:rFonts w:ascii="Arial" w:hAnsi="Arial" w:cs="Arial"/>
        </w:rPr>
      </w:pPr>
      <w:r>
        <w:rPr>
          <w:rFonts w:ascii="Arial" w:hAnsi="Arial" w:cs="Arial"/>
        </w:rPr>
        <w:t xml:space="preserve">Čl. III. odst. 2. část C. písm. i) nově zní: „podat závěrečnou zprávu za celý uplynulý kalendářní rok Olomouckému kraji a statutárnímu městu Olomouc do </w:t>
      </w:r>
      <w:r>
        <w:rPr>
          <w:rFonts w:ascii="Arial" w:hAnsi="Arial" w:cs="Arial"/>
        </w:rPr>
        <w:br/>
        <w:t xml:space="preserve">31. 1. 2012, 31. 1. 2013, 31. 1. 2014 a </w:t>
      </w:r>
      <w:r>
        <w:rPr>
          <w:rFonts w:ascii="Arial" w:hAnsi="Arial" w:cs="Arial"/>
          <w:highlight w:val="lightGray"/>
        </w:rPr>
        <w:t>31. 1. 2015</w:t>
      </w:r>
      <w:r>
        <w:rPr>
          <w:rFonts w:ascii="Arial" w:hAnsi="Arial" w:cs="Arial"/>
        </w:rPr>
        <w:t xml:space="preserve"> – hodnocení realizace produktu (současný stav, přehledný popis plnění všech bodů smlouvy, popis aktivit projektu, přehled prodeje karet, přehled návštěvnosti objektů se vstupy zdarma, seznam prodejců) a dále vyúčtování výdajů a příjmů celé realizace produktu „Olomouc Region </w:t>
      </w:r>
      <w:proofErr w:type="spellStart"/>
      <w:r>
        <w:rPr>
          <w:rFonts w:ascii="Arial" w:hAnsi="Arial" w:cs="Arial"/>
        </w:rPr>
        <w:t>Card</w:t>
      </w:r>
      <w:proofErr w:type="spellEnd"/>
      <w:r>
        <w:rPr>
          <w:rFonts w:ascii="Arial" w:hAnsi="Arial" w:cs="Arial"/>
        </w:rPr>
        <w:t>“. Tato závěrečná zpráva je součástí vyúčtování příspěvku dle čl. IV. odst. 4. této smlouvy“.</w:t>
      </w:r>
    </w:p>
    <w:p w:rsidR="00EE2091" w:rsidRDefault="00EE2091" w:rsidP="00EE2091">
      <w:pPr>
        <w:spacing w:after="120"/>
        <w:ind w:left="357"/>
        <w:jc w:val="both"/>
        <w:rPr>
          <w:rFonts w:ascii="Arial" w:hAnsi="Arial" w:cs="Arial"/>
        </w:rPr>
      </w:pPr>
    </w:p>
    <w:p w:rsidR="00EE2091" w:rsidRDefault="00EE2091" w:rsidP="00EE2091">
      <w:pPr>
        <w:spacing w:after="120"/>
        <w:ind w:left="426"/>
        <w:jc w:val="both"/>
        <w:rPr>
          <w:rFonts w:ascii="Arial" w:hAnsi="Arial" w:cs="Arial"/>
        </w:rPr>
      </w:pPr>
      <w:r>
        <w:rPr>
          <w:rFonts w:ascii="Arial" w:hAnsi="Arial" w:cs="Arial"/>
        </w:rPr>
        <w:t xml:space="preserve">Čl. III. odst. 2 část C písm. m) nově zní: </w:t>
      </w:r>
    </w:p>
    <w:p w:rsidR="00EE2091" w:rsidRDefault="00EE2091" w:rsidP="00EE2091">
      <w:pPr>
        <w:pStyle w:val="Odstavecseseznamem"/>
        <w:spacing w:before="120" w:after="120"/>
        <w:ind w:left="1134" w:hanging="420"/>
        <w:jc w:val="both"/>
        <w:rPr>
          <w:rFonts w:ascii="Arial" w:hAnsi="Arial" w:cs="Arial"/>
        </w:rPr>
      </w:pPr>
      <w:r>
        <w:rPr>
          <w:rFonts w:ascii="Arial" w:hAnsi="Arial" w:cs="Arial"/>
        </w:rPr>
        <w:t xml:space="preserve">m) „v případě, že bude realizován projekt na digitalizaci systému Olomouc region </w:t>
      </w:r>
      <w:proofErr w:type="spellStart"/>
      <w:r>
        <w:rPr>
          <w:rFonts w:ascii="Arial" w:hAnsi="Arial" w:cs="Arial"/>
        </w:rPr>
        <w:t>Card</w:t>
      </w:r>
      <w:proofErr w:type="spellEnd"/>
      <w:r>
        <w:rPr>
          <w:rFonts w:ascii="Arial" w:hAnsi="Arial" w:cs="Arial"/>
        </w:rPr>
        <w:t xml:space="preserve"> </w:t>
      </w:r>
      <w:r>
        <w:rPr>
          <w:rFonts w:ascii="Arial" w:hAnsi="Arial" w:cs="Arial"/>
          <w:highlight w:val="lightGray"/>
        </w:rPr>
        <w:t>v roce 2014</w:t>
      </w:r>
      <w:r>
        <w:rPr>
          <w:rFonts w:ascii="Arial" w:hAnsi="Arial" w:cs="Arial"/>
        </w:rPr>
        <w:t xml:space="preserve">, písemně informovat poskytovatele o </w:t>
      </w:r>
      <w:r>
        <w:rPr>
          <w:rFonts w:ascii="Arial" w:hAnsi="Arial" w:cs="Arial"/>
        </w:rPr>
        <w:lastRenderedPageBreak/>
        <w:t>vyhodnocení tohoto projektu, zejména: zda měl projekt přínos pro administrátora, kterým je příjemce (např. úspora času), jaká byla spolupráce s realizátorem projektu, jaké problémy se vyskytly při realizaci projektu a následně při administraci, jak hodnotily projekt zapojené subjekty (např. jednodušší evidence, ohlasy turistů).“</w:t>
      </w:r>
    </w:p>
    <w:p w:rsidR="00EE2091" w:rsidRDefault="00EE2091" w:rsidP="00EE2091">
      <w:pPr>
        <w:spacing w:after="120"/>
        <w:ind w:left="426"/>
        <w:jc w:val="both"/>
        <w:rPr>
          <w:rFonts w:ascii="Arial" w:hAnsi="Arial" w:cs="Arial"/>
        </w:rPr>
      </w:pPr>
      <w:r>
        <w:rPr>
          <w:rFonts w:ascii="Arial" w:hAnsi="Arial" w:cs="Arial"/>
        </w:rPr>
        <w:t xml:space="preserve">Do čl. III. odst. 2 části C se nově doplňuje následující odstavec: </w:t>
      </w:r>
    </w:p>
    <w:p w:rsidR="00EE2091" w:rsidRDefault="00EE2091" w:rsidP="00EE2091">
      <w:pPr>
        <w:pStyle w:val="Odstavecseseznamem"/>
        <w:spacing w:before="120" w:after="120"/>
        <w:ind w:left="993" w:hanging="279"/>
        <w:jc w:val="both"/>
        <w:rPr>
          <w:rFonts w:ascii="Arial" w:hAnsi="Arial" w:cs="Arial"/>
        </w:rPr>
      </w:pPr>
      <w:r>
        <w:rPr>
          <w:rFonts w:ascii="Arial" w:hAnsi="Arial" w:cs="Arial"/>
        </w:rPr>
        <w:t xml:space="preserve">n) „po vzniku organizace cestovního ruchu, kterou plánuje založit Olomoucký kraj, komunikovat s touto organizací, která by měla v budoucnu Olomouc region </w:t>
      </w:r>
      <w:proofErr w:type="spellStart"/>
      <w:r>
        <w:rPr>
          <w:rFonts w:ascii="Arial" w:hAnsi="Arial" w:cs="Arial"/>
        </w:rPr>
        <w:t>Card</w:t>
      </w:r>
      <w:proofErr w:type="spellEnd"/>
      <w:r>
        <w:rPr>
          <w:rFonts w:ascii="Arial" w:hAnsi="Arial" w:cs="Arial"/>
        </w:rPr>
        <w:t xml:space="preserve"> zajišťovat</w:t>
      </w:r>
    </w:p>
    <w:p w:rsidR="00EE2091" w:rsidRDefault="00EE2091" w:rsidP="00EE2091">
      <w:pPr>
        <w:pStyle w:val="Odstavecseseznamem"/>
        <w:spacing w:before="120" w:after="120"/>
        <w:ind w:left="993" w:hanging="279"/>
        <w:jc w:val="both"/>
        <w:rPr>
          <w:rFonts w:ascii="Arial" w:hAnsi="Arial" w:cs="Arial"/>
        </w:rPr>
      </w:pPr>
      <w:r>
        <w:rPr>
          <w:rFonts w:ascii="Arial" w:hAnsi="Arial" w:cs="Arial"/>
        </w:rPr>
        <w:t xml:space="preserve">o) spolupracovat s poskytovatelem na zajištění plynulého přechodu Olomouc region </w:t>
      </w:r>
      <w:proofErr w:type="spellStart"/>
      <w:r>
        <w:rPr>
          <w:rFonts w:ascii="Arial" w:hAnsi="Arial" w:cs="Arial"/>
        </w:rPr>
        <w:t>Card</w:t>
      </w:r>
      <w:proofErr w:type="spellEnd"/>
      <w:r>
        <w:rPr>
          <w:rFonts w:ascii="Arial" w:hAnsi="Arial" w:cs="Arial"/>
        </w:rPr>
        <w:t xml:space="preserve"> na nového administrátora.“</w:t>
      </w:r>
    </w:p>
    <w:p w:rsidR="00EE2091" w:rsidRDefault="00EE2091" w:rsidP="00EE2091">
      <w:pPr>
        <w:pStyle w:val="Odstavecseseznamem"/>
        <w:spacing w:before="120" w:after="120"/>
        <w:ind w:left="1071"/>
        <w:jc w:val="both"/>
        <w:rPr>
          <w:rFonts w:ascii="Arial" w:hAnsi="Arial" w:cs="Arial"/>
        </w:rPr>
      </w:pPr>
    </w:p>
    <w:p w:rsidR="00EE2091" w:rsidRDefault="00EE2091" w:rsidP="00EE2091">
      <w:pPr>
        <w:spacing w:after="120"/>
        <w:ind w:left="357"/>
        <w:jc w:val="both"/>
        <w:rPr>
          <w:rFonts w:ascii="Arial" w:hAnsi="Arial" w:cs="Arial"/>
        </w:rPr>
      </w:pPr>
      <w:r>
        <w:rPr>
          <w:rFonts w:ascii="Arial" w:hAnsi="Arial" w:cs="Arial"/>
        </w:rPr>
        <w:t>Ostatní ustanovení článku III. zůstávají beze změn.</w:t>
      </w:r>
    </w:p>
    <w:p w:rsidR="00EE2091" w:rsidRDefault="00EE2091" w:rsidP="00EE2091">
      <w:pPr>
        <w:spacing w:after="120"/>
        <w:ind w:left="357"/>
        <w:jc w:val="both"/>
        <w:rPr>
          <w:rFonts w:ascii="Arial" w:hAnsi="Arial" w:cs="Arial"/>
        </w:rPr>
      </w:pPr>
    </w:p>
    <w:p w:rsidR="00EE2091" w:rsidRDefault="00EE2091" w:rsidP="00EE2091">
      <w:pPr>
        <w:numPr>
          <w:ilvl w:val="0"/>
          <w:numId w:val="30"/>
        </w:numPr>
        <w:spacing w:after="120"/>
        <w:ind w:left="426" w:hanging="426"/>
        <w:jc w:val="both"/>
        <w:rPr>
          <w:rFonts w:ascii="Arial" w:hAnsi="Arial" w:cs="Arial"/>
        </w:rPr>
      </w:pPr>
      <w:r>
        <w:rPr>
          <w:rFonts w:ascii="Arial" w:hAnsi="Arial" w:cs="Arial"/>
        </w:rPr>
        <w:t xml:space="preserve">Čl. IV. odst. 1. nově zní: „Příjemce příspěvek přijímá a zavazuje se ho použít výlučně v souladu s účelem poskytnutí příspěvku dle čl. I. odst. 2. a 4. této smlouvy, v souladu s podmínkami stanovenými v této smlouvě, ve Smlouvě </w:t>
      </w:r>
      <w:r>
        <w:rPr>
          <w:rFonts w:ascii="Arial" w:hAnsi="Arial" w:cs="Arial"/>
        </w:rPr>
        <w:br/>
        <w:t xml:space="preserve">o poskytnutí licenčních práv a v souladu s usnesením Zastupitelstva Olomouckého kraje č. UZ/16/48/2010 ze dne 24. 9. 2010, č. UZ/22/5/2011 ze dne 16. 12. 2011, č. UZ/26/6/2012 ze dne 21. 9. 2012 a </w:t>
      </w:r>
      <w:r>
        <w:rPr>
          <w:rFonts w:ascii="Arial" w:hAnsi="Arial" w:cs="Arial"/>
          <w:highlight w:val="lightGray"/>
        </w:rPr>
        <w:t xml:space="preserve">č. UZ/…/…/2013 ze dne </w:t>
      </w:r>
      <w:r w:rsidR="00FD17B5">
        <w:rPr>
          <w:rFonts w:ascii="Arial" w:hAnsi="Arial" w:cs="Arial"/>
          <w:highlight w:val="lightGray"/>
        </w:rPr>
        <w:t>22</w:t>
      </w:r>
      <w:r>
        <w:rPr>
          <w:rFonts w:ascii="Arial" w:hAnsi="Arial" w:cs="Arial"/>
          <w:highlight w:val="lightGray"/>
        </w:rPr>
        <w:t xml:space="preserve">. </w:t>
      </w:r>
      <w:r w:rsidR="00FD17B5">
        <w:rPr>
          <w:rFonts w:ascii="Arial" w:hAnsi="Arial" w:cs="Arial"/>
          <w:highlight w:val="lightGray"/>
        </w:rPr>
        <w:t>11</w:t>
      </w:r>
      <w:r>
        <w:rPr>
          <w:rFonts w:ascii="Arial" w:hAnsi="Arial" w:cs="Arial"/>
          <w:highlight w:val="lightGray"/>
        </w:rPr>
        <w:t>. 2013.</w:t>
      </w:r>
      <w:r>
        <w:rPr>
          <w:rFonts w:ascii="Arial" w:hAnsi="Arial" w:cs="Arial"/>
        </w:rPr>
        <w:t xml:space="preserve"> Příspěvek musí být použit hospodárně. Příjemce je oprávněn použít příspěvek pouze na úhradu těchto nákladů spojených se zajištěním produktu „Olomouc region </w:t>
      </w:r>
      <w:proofErr w:type="spellStart"/>
      <w:r>
        <w:rPr>
          <w:rFonts w:ascii="Arial" w:hAnsi="Arial" w:cs="Arial"/>
        </w:rPr>
        <w:t>Card</w:t>
      </w:r>
      <w:proofErr w:type="spellEnd"/>
      <w:r>
        <w:rPr>
          <w:rFonts w:ascii="Arial" w:hAnsi="Arial" w:cs="Arial"/>
        </w:rPr>
        <w:t xml:space="preserve">“: výrobu a distribuci karet, informačních brožur, samolepek, označení pro prodejce, info letáčků; mzdové náklady pro administraci projektu; režijní náklady příjemce pro realizaci projektu (právní, účetní a daňové poplatky, bankovní poplatky, doprava, služby spojené s „Olomouc region </w:t>
      </w:r>
      <w:proofErr w:type="spellStart"/>
      <w:r>
        <w:rPr>
          <w:rFonts w:ascii="Arial" w:hAnsi="Arial" w:cs="Arial"/>
        </w:rPr>
        <w:t>Card</w:t>
      </w:r>
      <w:proofErr w:type="spellEnd"/>
      <w:r>
        <w:rPr>
          <w:rFonts w:ascii="Arial" w:hAnsi="Arial" w:cs="Arial"/>
        </w:rPr>
        <w:t xml:space="preserve">“), náklady spojené s reklamní kampaní a podporou prodeje karet; náklady na úhradu provizí prodejcům „Olomouc region </w:t>
      </w:r>
      <w:proofErr w:type="spellStart"/>
      <w:r>
        <w:rPr>
          <w:rFonts w:ascii="Arial" w:hAnsi="Arial" w:cs="Arial"/>
        </w:rPr>
        <w:t>Card</w:t>
      </w:r>
      <w:proofErr w:type="spellEnd"/>
      <w:r>
        <w:rPr>
          <w:rFonts w:ascii="Arial" w:hAnsi="Arial" w:cs="Arial"/>
        </w:rPr>
        <w:t>“, refundace vstupného poskytovatelům volných vstupů. Příjemce nesmí použít příspěvek na nákup darů a pohoštění. Bez předchozího písemného souhlasu poskytovatele nesmí příjemce příspěvek nebo jeho část poskytnout třetí osobě, není-li touto smlouvou stanoveno jinak.</w:t>
      </w:r>
    </w:p>
    <w:p w:rsidR="00EE2091" w:rsidRDefault="00EE2091" w:rsidP="00EE2091">
      <w:pPr>
        <w:spacing w:after="120"/>
        <w:ind w:left="357"/>
        <w:jc w:val="both"/>
        <w:rPr>
          <w:rFonts w:ascii="Arial" w:hAnsi="Arial" w:cs="Arial"/>
        </w:rPr>
      </w:pPr>
      <w:r>
        <w:rPr>
          <w:rFonts w:ascii="Arial" w:hAnsi="Arial" w:cs="Arial"/>
        </w:rPr>
        <w:t>Je-li příjemce plátcem daně z přidané hodnoty (dále „DPH“) a může uplatnit odpočet DPH ve vazbě na ekonomickou činnost podléhající dani na výstupu podle § 72 zákona č. 235/2004 Sb., o dani z přidané hodnoty, v platném znění (dále jen „ZDPH“), a to v plné nebo zkrácené výši, nelze z příspěvku uhradit DPH ve výši tohoto odpočtu DPH, na který příjemci vznikl nárok.</w:t>
      </w:r>
    </w:p>
    <w:p w:rsidR="00EE2091" w:rsidRDefault="00EE2091" w:rsidP="00EE2091">
      <w:pPr>
        <w:spacing w:after="120"/>
        <w:ind w:left="357"/>
        <w:jc w:val="both"/>
        <w:rPr>
          <w:rFonts w:ascii="Arial" w:hAnsi="Arial" w:cs="Arial"/>
        </w:rPr>
      </w:pPr>
      <w:r>
        <w:rPr>
          <w:rFonts w:ascii="Arial" w:hAnsi="Arial" w:cs="Arial"/>
        </w:rPr>
        <w:t xml:space="preserve">V případě, že se příjemce stane plátcem DPH v průběhu čerpání příspěvku a že se jeho právo uplatnit odpočet DPH při změně režimu podle § 74 ZDPH vztahuje na zdanitelná plnění hrazená včetně příslušné DPH z příspěvku, je příjemce povinen snížit výši dosud čerpaného příspěvku o výši daně z přidané hodnoty, kterou je příjemce oprávněn v souladu s § 74 ZDPH uplatnit v prvním daňovém přiznání po registraci k DPH. </w:t>
      </w:r>
    </w:p>
    <w:p w:rsidR="00EE2091" w:rsidRDefault="00EE2091" w:rsidP="00EE2091">
      <w:pPr>
        <w:spacing w:after="120"/>
        <w:ind w:left="357"/>
        <w:jc w:val="both"/>
        <w:rPr>
          <w:rFonts w:ascii="Arial" w:hAnsi="Arial" w:cs="Arial"/>
        </w:rPr>
      </w:pPr>
      <w:r>
        <w:rPr>
          <w:rFonts w:ascii="Arial" w:hAnsi="Arial" w:cs="Arial"/>
        </w:rPr>
        <w:t xml:space="preserve">V případě, že dojde k registraci příjemce k DPH a příjemce při změně režimu podle § 74 ZDPH je oprávněn až po vyúčtování příspěvku uplatnit nárok na </w:t>
      </w:r>
      <w:r>
        <w:rPr>
          <w:rFonts w:ascii="Arial" w:hAnsi="Arial" w:cs="Arial"/>
        </w:rPr>
        <w:lastRenderedPageBreak/>
        <w:t xml:space="preserve">odpočet DPH, jež byla uhrazena z příspěvku, je příjemce povinen vrátit poskytovateli částku ve výši uplatněného odpočtu DPH, který byl čerpán jako uznatelný výdaj. </w:t>
      </w:r>
    </w:p>
    <w:p w:rsidR="00EE2091" w:rsidRDefault="00EE2091" w:rsidP="00EE2091">
      <w:pPr>
        <w:spacing w:after="120"/>
        <w:ind w:left="357"/>
        <w:jc w:val="both"/>
        <w:rPr>
          <w:rFonts w:ascii="Arial" w:hAnsi="Arial" w:cs="Arial"/>
        </w:rPr>
      </w:pPr>
      <w:r>
        <w:rPr>
          <w:rFonts w:ascii="Arial" w:hAnsi="Arial" w:cs="Arial"/>
        </w:rPr>
        <w:t xml:space="preserve">Pokud má příjemce (plátce daně) ve shodě s úpravou odpočtu podle § 78 ZDPH a vyrovnáním odpočtu podle § 79 ZDPH právo zvýšit ve lhůtě stanovené ZDPH svůj původně uplatněný nárok na odpočet DPH, který se vztahuje na zdanitelná plnění hrazená včetně příslušné DPH z příspěvku, je příjemce povinen upravit </w:t>
      </w:r>
    </w:p>
    <w:p w:rsidR="00EE2091" w:rsidRDefault="00EE2091" w:rsidP="00EE2091">
      <w:pPr>
        <w:spacing w:after="120"/>
        <w:ind w:left="357"/>
        <w:jc w:val="both"/>
        <w:rPr>
          <w:rFonts w:ascii="Arial" w:hAnsi="Arial" w:cs="Arial"/>
        </w:rPr>
      </w:pPr>
      <w:r>
        <w:rPr>
          <w:rFonts w:ascii="Arial" w:hAnsi="Arial" w:cs="Arial"/>
        </w:rPr>
        <w:t xml:space="preserve">a vrátit poskytovateli část příspěvku ve výši uplatněného odpočtu DPH, a to do jednoho měsíce ode dne, kdy příslušný státní orgán vrátil příjemci uhrazenou DPH. Nevrátí-li příjemce takovou část příspěvku v této lhůtě, dopustí 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EE2091" w:rsidRDefault="00EE2091" w:rsidP="00EE2091">
      <w:pPr>
        <w:spacing w:after="120"/>
        <w:ind w:left="357"/>
        <w:jc w:val="both"/>
        <w:rPr>
          <w:rFonts w:ascii="Arial" w:hAnsi="Arial" w:cs="Arial"/>
        </w:rPr>
      </w:pPr>
      <w:r>
        <w:rPr>
          <w:rFonts w:ascii="Arial" w:hAnsi="Arial" w:cs="Arial"/>
        </w:rPr>
        <w:t>Příspěvek nelze rovněž použít na úhradu ostatních daní.</w:t>
      </w:r>
    </w:p>
    <w:p w:rsidR="00EE2091" w:rsidRDefault="00EE2091" w:rsidP="00EE2091">
      <w:pPr>
        <w:spacing w:after="120"/>
        <w:ind w:left="357"/>
        <w:jc w:val="both"/>
        <w:rPr>
          <w:rFonts w:ascii="Arial" w:hAnsi="Arial" w:cs="Arial"/>
        </w:rPr>
      </w:pPr>
      <w:r>
        <w:rPr>
          <w:rFonts w:ascii="Arial" w:hAnsi="Arial" w:cs="Arial"/>
        </w:rPr>
        <w:t>Příjemce je povinen vést příspěvek ve svém účetnictví odděleně“.</w:t>
      </w:r>
    </w:p>
    <w:p w:rsidR="00EE2091" w:rsidRDefault="00EE2091" w:rsidP="00EE2091">
      <w:pPr>
        <w:spacing w:after="120"/>
        <w:ind w:left="357"/>
        <w:jc w:val="both"/>
        <w:rPr>
          <w:rFonts w:ascii="Arial" w:hAnsi="Arial" w:cs="Arial"/>
        </w:rPr>
      </w:pPr>
    </w:p>
    <w:p w:rsidR="00EE2091" w:rsidRDefault="00EE2091" w:rsidP="00EE2091">
      <w:pPr>
        <w:spacing w:after="120"/>
        <w:ind w:left="357"/>
        <w:jc w:val="both"/>
        <w:rPr>
          <w:rFonts w:ascii="Arial" w:hAnsi="Arial" w:cs="Arial"/>
        </w:rPr>
      </w:pPr>
      <w:r>
        <w:rPr>
          <w:rFonts w:ascii="Arial" w:hAnsi="Arial" w:cs="Arial"/>
        </w:rPr>
        <w:t xml:space="preserve">Čl. IV. odst. 4. nově zní: „Příjemce je povinen nejpozději do 28. 2. 2012, do </w:t>
      </w:r>
      <w:r>
        <w:rPr>
          <w:rFonts w:ascii="Arial" w:hAnsi="Arial" w:cs="Arial"/>
        </w:rPr>
        <w:br/>
        <w:t xml:space="preserve">28. 2. 2013, do 28. 2. 2014 a </w:t>
      </w:r>
      <w:r>
        <w:rPr>
          <w:rFonts w:ascii="Arial" w:hAnsi="Arial" w:cs="Arial"/>
          <w:highlight w:val="lightGray"/>
        </w:rPr>
        <w:t>do 28. 2. 2015</w:t>
      </w:r>
      <w:r>
        <w:rPr>
          <w:rFonts w:ascii="Arial" w:hAnsi="Arial" w:cs="Arial"/>
        </w:rPr>
        <w:t xml:space="preserve"> předložit poskytovateli vyúčtování poskytnutého příspěvku (dále jen „vyúčtování“) za předcházející kalendářní rok.</w:t>
      </w:r>
    </w:p>
    <w:p w:rsidR="00EE2091" w:rsidRDefault="00EE2091" w:rsidP="00EE2091">
      <w:pPr>
        <w:spacing w:after="120"/>
        <w:ind w:left="357"/>
        <w:jc w:val="both"/>
        <w:rPr>
          <w:rFonts w:ascii="Arial" w:hAnsi="Arial" w:cs="Arial"/>
        </w:rPr>
      </w:pPr>
      <w:r>
        <w:rPr>
          <w:rFonts w:ascii="Arial" w:hAnsi="Arial" w:cs="Arial"/>
        </w:rPr>
        <w:t>Vyúčtování musí obsahovat:</w:t>
      </w:r>
    </w:p>
    <w:p w:rsidR="00EE2091" w:rsidRDefault="00EE2091" w:rsidP="00EE2091">
      <w:pPr>
        <w:spacing w:after="120"/>
        <w:ind w:left="993" w:hanging="567"/>
        <w:jc w:val="both"/>
        <w:rPr>
          <w:rFonts w:ascii="Arial" w:hAnsi="Arial" w:cs="Arial"/>
        </w:rPr>
      </w:pPr>
      <w:proofErr w:type="gramStart"/>
      <w:r>
        <w:rPr>
          <w:rFonts w:ascii="Arial" w:hAnsi="Arial" w:cs="Arial"/>
        </w:rPr>
        <w:t>4.1. soupis</w:t>
      </w:r>
      <w:proofErr w:type="gramEnd"/>
      <w:r>
        <w:rPr>
          <w:rFonts w:ascii="Arial" w:hAnsi="Arial" w:cs="Arial"/>
        </w:rPr>
        <w:t xml:space="preserve"> výdajů hrazených z poskytnutého příspěvku v rozsahu uvedeném </w:t>
      </w:r>
      <w:r>
        <w:rPr>
          <w:rFonts w:ascii="Arial" w:hAnsi="Arial" w:cs="Arial"/>
        </w:rPr>
        <w:br/>
        <w:t>v příloze č. 1 „Finanční vyúčtování příspěvku“ doložený:</w:t>
      </w:r>
    </w:p>
    <w:p w:rsidR="00EE2091" w:rsidRDefault="00EE2091" w:rsidP="00EE2091">
      <w:pPr>
        <w:spacing w:after="120"/>
        <w:ind w:left="1418" w:hanging="425"/>
        <w:jc w:val="both"/>
        <w:rPr>
          <w:rFonts w:ascii="Arial" w:hAnsi="Arial" w:cs="Arial"/>
        </w:rPr>
      </w:pPr>
      <w:r>
        <w:rPr>
          <w:rFonts w:ascii="Arial" w:hAnsi="Arial" w:cs="Arial"/>
        </w:rPr>
        <w:t>a)</w:t>
      </w:r>
      <w:r>
        <w:rPr>
          <w:rFonts w:ascii="Arial" w:hAnsi="Arial" w:cs="Arial"/>
        </w:rPr>
        <w:tab/>
        <w:t>fotokopiemi faktur s podrobným rozpisem dodávky (případně dodacím listem), popřípadě jiných účetních dokladů včetně příloh, prokazujících vynaložení výdajů,</w:t>
      </w:r>
    </w:p>
    <w:p w:rsidR="00EE2091" w:rsidRDefault="00EE2091" w:rsidP="00EE2091">
      <w:pPr>
        <w:spacing w:after="120"/>
        <w:ind w:left="1418" w:hanging="284"/>
        <w:jc w:val="both"/>
        <w:rPr>
          <w:rFonts w:ascii="Arial" w:hAnsi="Arial" w:cs="Arial"/>
        </w:rPr>
      </w:pPr>
      <w:r>
        <w:rPr>
          <w:rFonts w:ascii="Arial" w:hAnsi="Arial" w:cs="Arial"/>
        </w:rPr>
        <w:t>b)</w:t>
      </w:r>
      <w:r>
        <w:rPr>
          <w:rFonts w:ascii="Arial" w:hAnsi="Arial" w:cs="Arial"/>
        </w:rPr>
        <w:tab/>
        <w:t xml:space="preserve">fotokopiemi výdajových dokladů včetně příloh (stvrzenky, paragony apod.), na základě kterých je pokladní doklad vystaven, a to pouze </w:t>
      </w:r>
      <w:r>
        <w:rPr>
          <w:rFonts w:ascii="Arial" w:hAnsi="Arial" w:cs="Arial"/>
        </w:rPr>
        <w:br/>
        <w:t>u jednotlivých výdajů přesahujících částku 1000 Kč. U jednotlivých výdajů do výše 1000 Kč doloží příjemce pouze soupis těchto výdajů,</w:t>
      </w:r>
    </w:p>
    <w:p w:rsidR="00EE2091" w:rsidRDefault="00EE2091" w:rsidP="00EE2091">
      <w:pPr>
        <w:spacing w:after="120"/>
        <w:ind w:left="1418" w:hanging="284"/>
        <w:jc w:val="both"/>
        <w:rPr>
          <w:rFonts w:ascii="Arial" w:hAnsi="Arial" w:cs="Arial"/>
        </w:rPr>
      </w:pPr>
      <w:r>
        <w:rPr>
          <w:rFonts w:ascii="Arial" w:hAnsi="Arial" w:cs="Arial"/>
        </w:rPr>
        <w:t>c)</w:t>
      </w:r>
      <w:r>
        <w:rPr>
          <w:rFonts w:ascii="Arial" w:hAnsi="Arial" w:cs="Arial"/>
        </w:rPr>
        <w:tab/>
        <w:t>fotokopiemi všech výpisů z bankovního účtu, které dokládají úhradu předložených faktur, s vyznačením dotčených plateb,</w:t>
      </w:r>
    </w:p>
    <w:p w:rsidR="00EE2091" w:rsidRDefault="00EE2091" w:rsidP="00EE2091">
      <w:pPr>
        <w:spacing w:after="120"/>
        <w:ind w:left="1418" w:hanging="284"/>
        <w:jc w:val="both"/>
        <w:rPr>
          <w:rFonts w:ascii="Arial" w:hAnsi="Arial" w:cs="Arial"/>
        </w:rPr>
      </w:pPr>
      <w:r>
        <w:rPr>
          <w:rFonts w:ascii="Arial" w:hAnsi="Arial" w:cs="Arial"/>
        </w:rPr>
        <w:t>d)</w:t>
      </w:r>
      <w:r>
        <w:rPr>
          <w:rFonts w:ascii="Arial" w:hAnsi="Arial" w:cs="Arial"/>
        </w:rPr>
        <w:tab/>
        <w:t xml:space="preserve">čestným prohlášením, že fotokopie předaných dokladů jsou shodné s originály a výdaje uvedené v soupisech jsou shodné se záznamy </w:t>
      </w:r>
      <w:r>
        <w:rPr>
          <w:rFonts w:ascii="Arial" w:hAnsi="Arial" w:cs="Arial"/>
        </w:rPr>
        <w:br/>
        <w:t>v účetnictví příjemce.</w:t>
      </w:r>
    </w:p>
    <w:p w:rsidR="00EE2091" w:rsidRDefault="00EE2091" w:rsidP="00EE2091">
      <w:pPr>
        <w:spacing w:after="120"/>
        <w:ind w:left="357"/>
        <w:jc w:val="both"/>
        <w:rPr>
          <w:rFonts w:ascii="Arial" w:hAnsi="Arial" w:cs="Arial"/>
        </w:rPr>
      </w:pPr>
      <w:r>
        <w:rPr>
          <w:rFonts w:ascii="Arial" w:hAnsi="Arial" w:cs="Arial"/>
        </w:rPr>
        <w:t xml:space="preserve">Společně s každým vyúčtováním příjemce předloží poskytovateli závěrečnou zprávu. Závěrečná zpráva musí obsahovat popis jednotlivých aktivit realizovaných v rámci „produktu ORC“, seznam subjektů zapojených do „produktu ORC“, přehled prodeje jednotlivých druhů karet za jednotlivé roky, přehled návštěvnosti objektů se vstupy zdarma, seznam prodejců, podrobný rozpis marketingových aktivit, rozpočet za jednotlivé roky (původní plán a skutečný stav) a vzorky brožur </w:t>
      </w:r>
      <w:r>
        <w:rPr>
          <w:rFonts w:ascii="Arial" w:hAnsi="Arial" w:cs="Arial"/>
        </w:rPr>
        <w:br/>
        <w:t>a propagačních materiálů vydaných k „</w:t>
      </w:r>
      <w:proofErr w:type="gramStart"/>
      <w:r>
        <w:rPr>
          <w:rFonts w:ascii="Arial" w:hAnsi="Arial" w:cs="Arial"/>
        </w:rPr>
        <w:t>Olomouc</w:t>
      </w:r>
      <w:proofErr w:type="gramEnd"/>
      <w:r>
        <w:rPr>
          <w:rFonts w:ascii="Arial" w:hAnsi="Arial" w:cs="Arial"/>
        </w:rPr>
        <w:t xml:space="preserve"> region </w:t>
      </w:r>
      <w:proofErr w:type="spellStart"/>
      <w:r>
        <w:rPr>
          <w:rFonts w:ascii="Arial" w:hAnsi="Arial" w:cs="Arial"/>
        </w:rPr>
        <w:t>Card</w:t>
      </w:r>
      <w:proofErr w:type="spellEnd"/>
      <w:r>
        <w:rPr>
          <w:rFonts w:ascii="Arial" w:hAnsi="Arial" w:cs="Arial"/>
        </w:rPr>
        <w:t>“. Závěrečná zpráva bude dodána v tištěné i elektronické podobě.“</w:t>
      </w:r>
    </w:p>
    <w:p w:rsidR="00EE2091" w:rsidRDefault="00EE2091" w:rsidP="00EE2091">
      <w:pPr>
        <w:spacing w:after="120"/>
        <w:ind w:left="357"/>
        <w:jc w:val="both"/>
        <w:rPr>
          <w:rFonts w:ascii="Arial" w:hAnsi="Arial" w:cs="Arial"/>
        </w:rPr>
      </w:pPr>
    </w:p>
    <w:p w:rsidR="00EE2091" w:rsidRDefault="00EE2091" w:rsidP="00EE2091">
      <w:pPr>
        <w:numPr>
          <w:ilvl w:val="0"/>
          <w:numId w:val="30"/>
        </w:numPr>
        <w:spacing w:after="120"/>
        <w:ind w:left="426" w:hanging="426"/>
        <w:jc w:val="both"/>
        <w:rPr>
          <w:rFonts w:ascii="Arial" w:hAnsi="Arial" w:cs="Arial"/>
        </w:rPr>
      </w:pPr>
      <w:r>
        <w:rPr>
          <w:rFonts w:ascii="Arial" w:hAnsi="Arial" w:cs="Arial"/>
          <w:highlight w:val="lightGray"/>
        </w:rPr>
        <w:lastRenderedPageBreak/>
        <w:t xml:space="preserve">Ke Smlouvě se připojuje příloha č. 5 s názvem „Finanční rozvaha Olomouc region </w:t>
      </w:r>
      <w:proofErr w:type="spellStart"/>
      <w:r>
        <w:rPr>
          <w:rFonts w:ascii="Arial" w:hAnsi="Arial" w:cs="Arial"/>
          <w:highlight w:val="lightGray"/>
        </w:rPr>
        <w:t>Card</w:t>
      </w:r>
      <w:proofErr w:type="spellEnd"/>
      <w:r>
        <w:rPr>
          <w:rFonts w:ascii="Arial" w:hAnsi="Arial" w:cs="Arial"/>
          <w:highlight w:val="lightGray"/>
        </w:rPr>
        <w:t xml:space="preserve"> na rok 2014“</w:t>
      </w:r>
      <w:r>
        <w:rPr>
          <w:rFonts w:ascii="Arial" w:hAnsi="Arial" w:cs="Arial"/>
          <w:i/>
          <w:highlight w:val="lightGray"/>
        </w:rPr>
        <w:t xml:space="preserve">. </w:t>
      </w:r>
      <w:r>
        <w:rPr>
          <w:rFonts w:ascii="Arial" w:hAnsi="Arial" w:cs="Arial"/>
          <w:highlight w:val="lightGray"/>
        </w:rPr>
        <w:t>Příloha je nedílnou součástí tohoto dodatku</w:t>
      </w:r>
      <w:r>
        <w:rPr>
          <w:rFonts w:ascii="Arial" w:hAnsi="Arial" w:cs="Arial"/>
        </w:rPr>
        <w:t>.</w:t>
      </w:r>
    </w:p>
    <w:p w:rsidR="00EE2091" w:rsidRDefault="00EE2091" w:rsidP="00EE2091">
      <w:pPr>
        <w:spacing w:after="120"/>
        <w:jc w:val="center"/>
        <w:rPr>
          <w:rFonts w:ascii="Arial" w:hAnsi="Arial" w:cs="Arial"/>
          <w:b/>
        </w:rPr>
      </w:pPr>
    </w:p>
    <w:p w:rsidR="00EE2091" w:rsidRDefault="00EE2091" w:rsidP="00EE2091">
      <w:pPr>
        <w:spacing w:after="120"/>
        <w:jc w:val="center"/>
        <w:rPr>
          <w:rFonts w:ascii="Arial" w:hAnsi="Arial" w:cs="Arial"/>
          <w:b/>
        </w:rPr>
      </w:pPr>
    </w:p>
    <w:p w:rsidR="00EE2091" w:rsidRDefault="00EE2091" w:rsidP="00EE2091">
      <w:pPr>
        <w:spacing w:after="120"/>
        <w:jc w:val="center"/>
        <w:rPr>
          <w:rFonts w:ascii="Arial" w:hAnsi="Arial" w:cs="Arial"/>
          <w:b/>
        </w:rPr>
      </w:pPr>
      <w:r>
        <w:rPr>
          <w:rFonts w:ascii="Arial" w:hAnsi="Arial" w:cs="Arial"/>
          <w:b/>
        </w:rPr>
        <w:t>III.</w:t>
      </w:r>
    </w:p>
    <w:p w:rsidR="00EE2091" w:rsidRDefault="00FD17B5" w:rsidP="00EE2091">
      <w:pPr>
        <w:widowControl w:val="0"/>
        <w:numPr>
          <w:ilvl w:val="0"/>
          <w:numId w:val="31"/>
        </w:numPr>
        <w:tabs>
          <w:tab w:val="num" w:pos="426"/>
        </w:tabs>
        <w:spacing w:after="120"/>
        <w:ind w:left="426" w:hanging="426"/>
        <w:jc w:val="both"/>
        <w:rPr>
          <w:rFonts w:ascii="Arial" w:hAnsi="Arial" w:cs="Arial"/>
          <w:noProof/>
        </w:rPr>
      </w:pPr>
      <w:r>
        <w:rPr>
          <w:rFonts w:ascii="Arial" w:hAnsi="Arial"/>
          <w:noProof/>
        </w:rPr>
        <w:t>Poskytnutí příspěvku a u</w:t>
      </w:r>
      <w:r w:rsidR="00EE2091">
        <w:rPr>
          <w:rFonts w:ascii="Arial" w:hAnsi="Arial"/>
          <w:noProof/>
        </w:rPr>
        <w:t>zavření tohoto dodatku bylo schváleno usnesením Zastupitelstva Olomouckého kraje č. UZ/…/…/2013</w:t>
      </w:r>
      <w:r w:rsidR="00EE2091">
        <w:rPr>
          <w:rFonts w:ascii="Arial" w:hAnsi="Arial"/>
          <w:i/>
          <w:noProof/>
        </w:rPr>
        <w:t xml:space="preserve"> </w:t>
      </w:r>
      <w:r w:rsidR="00EE2091">
        <w:rPr>
          <w:rFonts w:ascii="Arial" w:hAnsi="Arial"/>
          <w:noProof/>
        </w:rPr>
        <w:t xml:space="preserve">ze dne </w:t>
      </w:r>
      <w:r w:rsidR="007F0A49">
        <w:rPr>
          <w:rFonts w:ascii="Arial" w:hAnsi="Arial"/>
          <w:noProof/>
        </w:rPr>
        <w:t>22</w:t>
      </w:r>
      <w:r w:rsidR="00EE2091">
        <w:rPr>
          <w:rFonts w:ascii="Arial" w:hAnsi="Arial"/>
          <w:noProof/>
        </w:rPr>
        <w:t xml:space="preserve">. </w:t>
      </w:r>
      <w:r w:rsidR="007F0A49">
        <w:rPr>
          <w:rFonts w:ascii="Arial" w:hAnsi="Arial"/>
          <w:noProof/>
        </w:rPr>
        <w:t>11</w:t>
      </w:r>
      <w:r w:rsidR="00EE2091">
        <w:rPr>
          <w:rFonts w:ascii="Arial" w:hAnsi="Arial"/>
          <w:noProof/>
        </w:rPr>
        <w:t>. 2013.</w:t>
      </w:r>
    </w:p>
    <w:p w:rsidR="00EE2091" w:rsidRDefault="00EE2091" w:rsidP="00EE2091">
      <w:pPr>
        <w:widowControl w:val="0"/>
        <w:numPr>
          <w:ilvl w:val="0"/>
          <w:numId w:val="31"/>
        </w:numPr>
        <w:tabs>
          <w:tab w:val="num" w:pos="426"/>
        </w:tabs>
        <w:spacing w:after="120"/>
        <w:ind w:left="426" w:hanging="426"/>
        <w:jc w:val="both"/>
        <w:rPr>
          <w:rFonts w:ascii="Arial" w:hAnsi="Arial" w:cs="Arial"/>
          <w:noProof/>
        </w:rPr>
      </w:pPr>
      <w:r>
        <w:rPr>
          <w:rFonts w:ascii="Arial" w:hAnsi="Arial" w:cs="Arial"/>
          <w:noProof/>
        </w:rPr>
        <w:t>Ostatní ustanovení Smlouvy zůstávají beze změn.</w:t>
      </w:r>
    </w:p>
    <w:p w:rsidR="00EE2091" w:rsidRDefault="00EE2091" w:rsidP="00EE2091">
      <w:pPr>
        <w:widowControl w:val="0"/>
        <w:numPr>
          <w:ilvl w:val="0"/>
          <w:numId w:val="31"/>
        </w:numPr>
        <w:tabs>
          <w:tab w:val="num" w:pos="426"/>
        </w:tabs>
        <w:spacing w:after="120"/>
        <w:ind w:left="426" w:hanging="426"/>
        <w:jc w:val="both"/>
        <w:rPr>
          <w:rFonts w:ascii="Arial" w:hAnsi="Arial" w:cs="Arial"/>
          <w:noProof/>
        </w:rPr>
      </w:pPr>
      <w:r>
        <w:rPr>
          <w:rFonts w:ascii="Arial" w:hAnsi="Arial"/>
          <w:noProof/>
        </w:rPr>
        <w:t xml:space="preserve">Přílohy dodatku: Příloha č. 5 „Finanční rozvaha „produktu ORC“ na rok 2014“ </w:t>
      </w:r>
    </w:p>
    <w:p w:rsidR="00EE2091" w:rsidRDefault="00EE2091" w:rsidP="00EE2091">
      <w:pPr>
        <w:widowControl w:val="0"/>
        <w:numPr>
          <w:ilvl w:val="0"/>
          <w:numId w:val="31"/>
        </w:numPr>
        <w:tabs>
          <w:tab w:val="num" w:pos="426"/>
        </w:tabs>
        <w:spacing w:after="120"/>
        <w:ind w:left="426" w:hanging="426"/>
        <w:jc w:val="both"/>
        <w:outlineLvl w:val="0"/>
        <w:rPr>
          <w:rFonts w:ascii="Arial" w:hAnsi="Arial" w:cs="Arial"/>
          <w:noProof/>
        </w:rPr>
      </w:pPr>
      <w:r>
        <w:rPr>
          <w:rFonts w:ascii="Arial" w:hAnsi="Arial" w:cs="Arial"/>
          <w:noProof/>
        </w:rPr>
        <w:t>Tento dodatek je platný a účinný dnem jeho uzavření.</w:t>
      </w:r>
    </w:p>
    <w:p w:rsidR="00EE2091" w:rsidRDefault="00EE2091" w:rsidP="00EE2091">
      <w:pPr>
        <w:widowControl w:val="0"/>
        <w:numPr>
          <w:ilvl w:val="0"/>
          <w:numId w:val="31"/>
        </w:numPr>
        <w:tabs>
          <w:tab w:val="num" w:pos="426"/>
        </w:tabs>
        <w:spacing w:after="120"/>
        <w:ind w:left="426" w:hanging="426"/>
        <w:jc w:val="both"/>
        <w:outlineLvl w:val="0"/>
        <w:rPr>
          <w:rFonts w:ascii="Arial" w:hAnsi="Arial" w:cs="Arial"/>
          <w:noProof/>
        </w:rPr>
      </w:pPr>
      <w:r>
        <w:rPr>
          <w:rFonts w:ascii="Arial" w:hAnsi="Arial" w:cs="Arial"/>
          <w:noProof/>
        </w:rPr>
        <w:t xml:space="preserve">Tento dodatek je sepsán ve </w:t>
      </w:r>
      <w:r>
        <w:rPr>
          <w:rFonts w:ascii="Arial" w:hAnsi="Arial"/>
          <w:noProof/>
          <w:szCs w:val="20"/>
        </w:rPr>
        <w:t xml:space="preserve">4 </w:t>
      </w:r>
      <w:r>
        <w:rPr>
          <w:rFonts w:ascii="Arial" w:hAnsi="Arial" w:cs="Arial"/>
          <w:noProof/>
        </w:rPr>
        <w:t xml:space="preserve">vyhotoveních, z nichž poskytovatel obdrží </w:t>
      </w:r>
      <w:r>
        <w:rPr>
          <w:rFonts w:ascii="Arial" w:hAnsi="Arial" w:cs="Arial"/>
          <w:noProof/>
        </w:rPr>
        <w:br/>
        <w:t>3 vyhotovení a příjemce 1 vyhotovení.</w:t>
      </w:r>
    </w:p>
    <w:p w:rsidR="00EE2091" w:rsidRDefault="00EE2091" w:rsidP="00EE2091">
      <w:pPr>
        <w:widowControl w:val="0"/>
        <w:spacing w:after="120"/>
        <w:ind w:left="357"/>
        <w:jc w:val="both"/>
        <w:outlineLvl w:val="0"/>
        <w:rPr>
          <w:rFonts w:ascii="Arial" w:hAnsi="Arial" w:cs="Arial"/>
          <w:noProof/>
        </w:rPr>
      </w:pPr>
    </w:p>
    <w:p w:rsidR="00EE2091" w:rsidRDefault="00EE2091" w:rsidP="00EE2091">
      <w:pPr>
        <w:widowControl w:val="0"/>
        <w:tabs>
          <w:tab w:val="left" w:pos="426"/>
          <w:tab w:val="left" w:pos="5387"/>
        </w:tabs>
        <w:spacing w:after="120"/>
        <w:jc w:val="both"/>
        <w:outlineLvl w:val="0"/>
        <w:rPr>
          <w:rFonts w:ascii="Arial" w:hAnsi="Arial" w:cs="Arial"/>
          <w:noProof/>
        </w:rPr>
      </w:pPr>
      <w:r>
        <w:rPr>
          <w:rFonts w:ascii="Arial" w:hAnsi="Arial" w:cs="Arial"/>
          <w:noProof/>
        </w:rPr>
        <w:t>V Olomouci dne ..........................</w:t>
      </w:r>
      <w:r>
        <w:rPr>
          <w:rFonts w:ascii="Arial" w:hAnsi="Arial" w:cs="Arial"/>
          <w:noProof/>
        </w:rPr>
        <w:tab/>
        <w:t>V Olomouci dne:……………….</w:t>
      </w:r>
    </w:p>
    <w:p w:rsidR="00EE2091" w:rsidRDefault="00EE2091" w:rsidP="00EE2091">
      <w:pPr>
        <w:widowControl w:val="0"/>
        <w:tabs>
          <w:tab w:val="left" w:pos="426"/>
          <w:tab w:val="left" w:pos="5387"/>
        </w:tabs>
        <w:jc w:val="both"/>
        <w:outlineLvl w:val="0"/>
        <w:rPr>
          <w:rFonts w:ascii="Arial" w:hAnsi="Arial" w:cs="Arial"/>
          <w:noProof/>
        </w:rPr>
      </w:pPr>
    </w:p>
    <w:p w:rsidR="00EE2091" w:rsidRDefault="00EE2091" w:rsidP="00EE2091">
      <w:pPr>
        <w:widowControl w:val="0"/>
        <w:tabs>
          <w:tab w:val="left" w:pos="426"/>
          <w:tab w:val="left" w:pos="5387"/>
        </w:tabs>
        <w:jc w:val="both"/>
        <w:outlineLvl w:val="0"/>
        <w:rPr>
          <w:rFonts w:ascii="Arial" w:hAnsi="Arial" w:cs="Arial"/>
          <w:noProof/>
        </w:rPr>
      </w:pPr>
      <w:r>
        <w:rPr>
          <w:rFonts w:ascii="Arial" w:hAnsi="Arial" w:cs="Arial"/>
          <w:noProof/>
        </w:rPr>
        <w:t>Poskytovatel:</w:t>
      </w:r>
      <w:r>
        <w:rPr>
          <w:rFonts w:ascii="Arial" w:hAnsi="Arial" w:cs="Arial"/>
          <w:noProof/>
        </w:rPr>
        <w:tab/>
        <w:t>Příjemce:</w:t>
      </w:r>
    </w:p>
    <w:p w:rsidR="00EE2091" w:rsidRDefault="00EE2091" w:rsidP="00EE2091">
      <w:pPr>
        <w:widowControl w:val="0"/>
        <w:tabs>
          <w:tab w:val="left" w:pos="426"/>
          <w:tab w:val="left" w:pos="5387"/>
        </w:tabs>
        <w:jc w:val="both"/>
        <w:outlineLvl w:val="0"/>
        <w:rPr>
          <w:rFonts w:ascii="Arial" w:hAnsi="Arial" w:cs="Arial"/>
          <w:noProof/>
        </w:rPr>
      </w:pPr>
    </w:p>
    <w:p w:rsidR="00EE2091" w:rsidRDefault="00EE2091" w:rsidP="00EE2091">
      <w:pPr>
        <w:widowControl w:val="0"/>
        <w:tabs>
          <w:tab w:val="left" w:pos="426"/>
          <w:tab w:val="left" w:pos="5387"/>
        </w:tabs>
        <w:jc w:val="both"/>
        <w:outlineLvl w:val="0"/>
        <w:rPr>
          <w:rFonts w:ascii="Arial" w:hAnsi="Arial" w:cs="Arial"/>
          <w:noProof/>
        </w:rPr>
      </w:pPr>
    </w:p>
    <w:p w:rsidR="00EE2091" w:rsidRDefault="00EE2091" w:rsidP="00EE2091">
      <w:pPr>
        <w:widowControl w:val="0"/>
        <w:tabs>
          <w:tab w:val="center" w:pos="1701"/>
          <w:tab w:val="center" w:pos="6804"/>
        </w:tabs>
        <w:jc w:val="both"/>
        <w:outlineLvl w:val="0"/>
        <w:rPr>
          <w:rFonts w:ascii="Arial" w:hAnsi="Arial" w:cs="Arial"/>
          <w:noProof/>
        </w:rPr>
      </w:pPr>
      <w:r>
        <w:rPr>
          <w:rFonts w:ascii="Arial" w:hAnsi="Arial" w:cs="Arial"/>
          <w:noProof/>
        </w:rPr>
        <w:tab/>
        <w:t>..............................................</w:t>
      </w:r>
      <w:r>
        <w:rPr>
          <w:rFonts w:ascii="Arial" w:hAnsi="Arial" w:cs="Arial"/>
          <w:noProof/>
        </w:rPr>
        <w:tab/>
        <w:t>.................................................</w:t>
      </w:r>
    </w:p>
    <w:p w:rsidR="00EE2091" w:rsidRDefault="00EE2091" w:rsidP="00EE2091">
      <w:pPr>
        <w:widowControl w:val="0"/>
        <w:tabs>
          <w:tab w:val="center" w:pos="1843"/>
          <w:tab w:val="center" w:pos="6804"/>
        </w:tabs>
        <w:jc w:val="both"/>
        <w:outlineLvl w:val="0"/>
        <w:rPr>
          <w:rFonts w:ascii="Arial" w:hAnsi="Arial" w:cs="Arial"/>
          <w:noProof/>
        </w:rPr>
      </w:pPr>
      <w:r>
        <w:rPr>
          <w:rFonts w:ascii="Arial" w:hAnsi="Arial" w:cs="Arial"/>
          <w:noProof/>
        </w:rPr>
        <w:tab/>
        <w:t>Olomoucký kraj</w:t>
      </w:r>
      <w:r>
        <w:rPr>
          <w:rFonts w:ascii="Arial" w:hAnsi="Arial" w:cs="Arial"/>
          <w:noProof/>
        </w:rPr>
        <w:tab/>
        <w:t>RNDr. Ivan Marek</w:t>
      </w:r>
    </w:p>
    <w:p w:rsidR="00EE2091" w:rsidRDefault="00EE2091" w:rsidP="00EE2091">
      <w:pPr>
        <w:widowControl w:val="0"/>
        <w:tabs>
          <w:tab w:val="center" w:pos="1843"/>
          <w:tab w:val="left" w:pos="5387"/>
          <w:tab w:val="center" w:pos="6804"/>
        </w:tabs>
        <w:jc w:val="both"/>
        <w:outlineLvl w:val="0"/>
        <w:rPr>
          <w:rFonts w:ascii="Arial" w:hAnsi="Arial" w:cs="Arial"/>
          <w:noProof/>
        </w:rPr>
      </w:pPr>
      <w:r>
        <w:rPr>
          <w:rFonts w:ascii="Arial" w:hAnsi="Arial" w:cs="Arial"/>
          <w:noProof/>
        </w:rPr>
        <w:tab/>
        <w:t>Ing. Jiří Rozbořil</w:t>
      </w:r>
      <w:r>
        <w:rPr>
          <w:rFonts w:ascii="Arial" w:hAnsi="Arial" w:cs="Arial"/>
          <w:noProof/>
        </w:rPr>
        <w:tab/>
      </w:r>
    </w:p>
    <w:p w:rsidR="00EE2091" w:rsidRDefault="00EE2091" w:rsidP="00EE2091">
      <w:pPr>
        <w:widowControl w:val="0"/>
        <w:tabs>
          <w:tab w:val="center" w:pos="1843"/>
          <w:tab w:val="left" w:pos="5387"/>
          <w:tab w:val="center" w:pos="6804"/>
        </w:tabs>
        <w:jc w:val="both"/>
        <w:outlineLvl w:val="0"/>
        <w:rPr>
          <w:rFonts w:ascii="Arial" w:hAnsi="Arial" w:cs="Arial"/>
          <w:noProof/>
        </w:rPr>
      </w:pPr>
      <w:r>
        <w:rPr>
          <w:rFonts w:ascii="Arial" w:hAnsi="Arial" w:cs="Arial"/>
          <w:noProof/>
        </w:rPr>
        <w:tab/>
        <w:t xml:space="preserve">hejtman </w:t>
      </w:r>
      <w:r>
        <w:rPr>
          <w:rFonts w:ascii="Arial" w:hAnsi="Arial" w:cs="Arial"/>
          <w:noProof/>
        </w:rPr>
        <w:tab/>
      </w:r>
    </w:p>
    <w:p w:rsidR="00EE2091" w:rsidRDefault="00EE2091" w:rsidP="00EE2091">
      <w:pPr>
        <w:widowControl w:val="0"/>
        <w:tabs>
          <w:tab w:val="center" w:pos="1843"/>
          <w:tab w:val="left" w:pos="5387"/>
          <w:tab w:val="center" w:pos="6804"/>
        </w:tabs>
        <w:jc w:val="both"/>
        <w:outlineLvl w:val="0"/>
        <w:rPr>
          <w:rFonts w:ascii="Arial" w:hAnsi="Arial" w:cs="Arial"/>
          <w:noProof/>
        </w:rPr>
      </w:pPr>
    </w:p>
    <w:p w:rsidR="00EE2091" w:rsidRDefault="00EE2091" w:rsidP="00EE2091">
      <w:pPr>
        <w:rPr>
          <w:rFonts w:ascii="Arial" w:hAnsi="Arial" w:cs="Arial"/>
          <w:b/>
        </w:rPr>
      </w:pPr>
      <w:r>
        <w:br w:type="page"/>
      </w:r>
      <w:r>
        <w:rPr>
          <w:rFonts w:ascii="Arial" w:hAnsi="Arial" w:cs="Arial"/>
          <w:b/>
        </w:rPr>
        <w:lastRenderedPageBreak/>
        <w:t>Příloha č. 5 smlouvy o poskytnutí příspěvku</w:t>
      </w:r>
    </w:p>
    <w:tbl>
      <w:tblPr>
        <w:tblW w:w="10190" w:type="dxa"/>
        <w:tblInd w:w="55" w:type="dxa"/>
        <w:tblCellMar>
          <w:left w:w="70" w:type="dxa"/>
          <w:right w:w="70" w:type="dxa"/>
        </w:tblCellMar>
        <w:tblLook w:val="04A0" w:firstRow="1" w:lastRow="0" w:firstColumn="1" w:lastColumn="0" w:noHBand="0" w:noVBand="1"/>
      </w:tblPr>
      <w:tblGrid>
        <w:gridCol w:w="6040"/>
        <w:gridCol w:w="1800"/>
        <w:gridCol w:w="1880"/>
        <w:gridCol w:w="470"/>
      </w:tblGrid>
      <w:tr w:rsidR="004E7DC4" w:rsidTr="004E7DC4">
        <w:trPr>
          <w:trHeight w:val="375"/>
        </w:trPr>
        <w:tc>
          <w:tcPr>
            <w:tcW w:w="6040" w:type="dxa"/>
            <w:vAlign w:val="bottom"/>
            <w:hideMark/>
          </w:tcPr>
          <w:p w:rsidR="004E7DC4" w:rsidRPr="00E45237" w:rsidRDefault="004E7DC4">
            <w:pPr>
              <w:spacing w:line="276" w:lineRule="auto"/>
              <w:rPr>
                <w:rFonts w:ascii="Arial" w:hAnsi="Arial" w:cs="Arial"/>
                <w:b/>
                <w:bCs/>
                <w:lang w:eastAsia="en-US"/>
              </w:rPr>
            </w:pPr>
            <w:r w:rsidRPr="00E45237">
              <w:rPr>
                <w:rFonts w:ascii="Arial" w:hAnsi="Arial" w:cs="Arial"/>
                <w:b/>
                <w:bCs/>
                <w:lang w:eastAsia="en-US"/>
              </w:rPr>
              <w:t xml:space="preserve">Finanční rozvaha Olomouc region </w:t>
            </w:r>
            <w:proofErr w:type="spellStart"/>
            <w:r w:rsidRPr="00E45237">
              <w:rPr>
                <w:rFonts w:ascii="Arial" w:hAnsi="Arial" w:cs="Arial"/>
                <w:b/>
                <w:bCs/>
                <w:lang w:eastAsia="en-US"/>
              </w:rPr>
              <w:t>Card</w:t>
            </w:r>
            <w:proofErr w:type="spellEnd"/>
            <w:r w:rsidRPr="00E45237">
              <w:rPr>
                <w:rFonts w:ascii="Arial" w:hAnsi="Arial" w:cs="Arial"/>
                <w:b/>
                <w:bCs/>
                <w:lang w:eastAsia="en-US"/>
              </w:rPr>
              <w:t xml:space="preserve"> na rok 2014</w:t>
            </w:r>
          </w:p>
        </w:tc>
        <w:tc>
          <w:tcPr>
            <w:tcW w:w="1800" w:type="dxa"/>
            <w:noWrap/>
            <w:vAlign w:val="bottom"/>
          </w:tcPr>
          <w:p w:rsidR="004E7DC4" w:rsidRPr="00E45237" w:rsidRDefault="004E7DC4">
            <w:pPr>
              <w:spacing w:line="276" w:lineRule="auto"/>
              <w:rPr>
                <w:rFonts w:ascii="Arial" w:hAnsi="Arial" w:cs="Arial"/>
                <w:sz w:val="20"/>
                <w:szCs w:val="20"/>
                <w:lang w:eastAsia="en-US"/>
              </w:rPr>
            </w:pPr>
          </w:p>
        </w:tc>
        <w:tc>
          <w:tcPr>
            <w:tcW w:w="1880" w:type="dxa"/>
            <w:noWrap/>
            <w:vAlign w:val="bottom"/>
          </w:tcPr>
          <w:p w:rsidR="004E7DC4" w:rsidRPr="00E45237" w:rsidRDefault="004E7DC4">
            <w:pPr>
              <w:spacing w:line="276" w:lineRule="auto"/>
              <w:jc w:val="center"/>
              <w:rPr>
                <w:rFonts w:ascii="Arial" w:hAnsi="Arial" w:cs="Arial"/>
                <w:color w:val="FF0000"/>
                <w:sz w:val="20"/>
                <w:szCs w:val="20"/>
                <w:lang w:eastAsia="en-US"/>
              </w:rPr>
            </w:pPr>
          </w:p>
        </w:tc>
        <w:tc>
          <w:tcPr>
            <w:tcW w:w="470" w:type="dxa"/>
            <w:noWrap/>
            <w:vAlign w:val="bottom"/>
          </w:tcPr>
          <w:p w:rsidR="004E7DC4" w:rsidRDefault="004E7DC4">
            <w:pPr>
              <w:spacing w:line="276" w:lineRule="auto"/>
              <w:rPr>
                <w:rFonts w:ascii="Arial" w:hAnsi="Arial" w:cs="Arial"/>
                <w:sz w:val="20"/>
                <w:szCs w:val="20"/>
                <w:lang w:eastAsia="en-US"/>
              </w:rPr>
            </w:pPr>
          </w:p>
        </w:tc>
      </w:tr>
      <w:tr w:rsidR="004E7DC4" w:rsidTr="004E7DC4">
        <w:trPr>
          <w:trHeight w:val="375"/>
        </w:trPr>
        <w:tc>
          <w:tcPr>
            <w:tcW w:w="6040" w:type="dxa"/>
            <w:vAlign w:val="bottom"/>
          </w:tcPr>
          <w:p w:rsidR="004E7DC4" w:rsidRPr="00E45237" w:rsidRDefault="004E7DC4">
            <w:pPr>
              <w:spacing w:line="276" w:lineRule="auto"/>
              <w:rPr>
                <w:rFonts w:ascii="Arial" w:hAnsi="Arial" w:cs="Arial"/>
                <w:b/>
                <w:bCs/>
                <w:sz w:val="28"/>
                <w:szCs w:val="28"/>
                <w:lang w:eastAsia="en-US"/>
              </w:rPr>
            </w:pPr>
          </w:p>
        </w:tc>
        <w:tc>
          <w:tcPr>
            <w:tcW w:w="1800" w:type="dxa"/>
            <w:noWrap/>
            <w:vAlign w:val="bottom"/>
          </w:tcPr>
          <w:p w:rsidR="004E7DC4" w:rsidRPr="00E45237" w:rsidRDefault="004E7DC4">
            <w:pPr>
              <w:spacing w:line="276" w:lineRule="auto"/>
              <w:rPr>
                <w:rFonts w:ascii="Arial" w:hAnsi="Arial" w:cs="Arial"/>
                <w:sz w:val="20"/>
                <w:szCs w:val="20"/>
                <w:lang w:eastAsia="en-US"/>
              </w:rPr>
            </w:pPr>
          </w:p>
        </w:tc>
        <w:tc>
          <w:tcPr>
            <w:tcW w:w="1880" w:type="dxa"/>
            <w:noWrap/>
            <w:vAlign w:val="bottom"/>
          </w:tcPr>
          <w:p w:rsidR="004E7DC4" w:rsidRPr="00E45237" w:rsidRDefault="004E7DC4">
            <w:pPr>
              <w:spacing w:line="276" w:lineRule="auto"/>
              <w:jc w:val="center"/>
              <w:rPr>
                <w:rFonts w:ascii="Arial" w:hAnsi="Arial" w:cs="Arial"/>
                <w:b/>
                <w:bCs/>
                <w:color w:val="FF0000"/>
                <w:lang w:eastAsia="en-US"/>
              </w:rPr>
            </w:pPr>
          </w:p>
        </w:tc>
        <w:tc>
          <w:tcPr>
            <w:tcW w:w="470" w:type="dxa"/>
            <w:noWrap/>
            <w:vAlign w:val="bottom"/>
          </w:tcPr>
          <w:p w:rsidR="004E7DC4" w:rsidRDefault="004E7DC4">
            <w:pPr>
              <w:spacing w:line="276" w:lineRule="auto"/>
              <w:rPr>
                <w:rFonts w:ascii="Arial" w:hAnsi="Arial" w:cs="Arial"/>
                <w:sz w:val="20"/>
                <w:szCs w:val="20"/>
                <w:lang w:eastAsia="en-US"/>
              </w:rPr>
            </w:pPr>
          </w:p>
        </w:tc>
      </w:tr>
      <w:tr w:rsidR="004E7DC4" w:rsidTr="004E7DC4">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4E7DC4" w:rsidRPr="00E45237" w:rsidRDefault="004E7DC4">
            <w:pPr>
              <w:spacing w:line="276" w:lineRule="auto"/>
              <w:rPr>
                <w:rFonts w:ascii="Arial" w:hAnsi="Arial" w:cs="Arial"/>
                <w:i/>
                <w:iCs/>
                <w:sz w:val="22"/>
                <w:szCs w:val="22"/>
                <w:lang w:eastAsia="en-US"/>
              </w:rPr>
            </w:pPr>
            <w:r w:rsidRPr="00E45237">
              <w:rPr>
                <w:rFonts w:ascii="Arial" w:hAnsi="Arial" w:cs="Arial"/>
                <w:i/>
                <w:iCs/>
                <w:sz w:val="22"/>
                <w:szCs w:val="22"/>
                <w:lang w:eastAsia="en-US"/>
              </w:rPr>
              <w:t xml:space="preserve">Počet </w:t>
            </w:r>
            <w:r w:rsidRPr="00E45237">
              <w:rPr>
                <w:rFonts w:ascii="Arial" w:hAnsi="Arial" w:cs="Arial"/>
                <w:b/>
                <w:bCs/>
                <w:i/>
                <w:iCs/>
                <w:sz w:val="22"/>
                <w:szCs w:val="22"/>
                <w:lang w:eastAsia="en-US"/>
              </w:rPr>
              <w:t>vydaných</w:t>
            </w:r>
            <w:r w:rsidRPr="00E45237">
              <w:rPr>
                <w:rFonts w:ascii="Arial" w:hAnsi="Arial" w:cs="Arial"/>
                <w:i/>
                <w:iCs/>
                <w:sz w:val="22"/>
                <w:szCs w:val="22"/>
                <w:lang w:eastAsia="en-US"/>
              </w:rPr>
              <w:t xml:space="preserve"> karet za rok 2014- odhad</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7000</w:t>
            </w:r>
          </w:p>
        </w:tc>
        <w:tc>
          <w:tcPr>
            <w:tcW w:w="1880" w:type="dxa"/>
            <w:tcBorders>
              <w:top w:val="single" w:sz="4" w:space="0" w:color="auto"/>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15"/>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i/>
                <w:iCs/>
                <w:sz w:val="22"/>
                <w:szCs w:val="22"/>
                <w:lang w:eastAsia="en-US"/>
              </w:rPr>
            </w:pPr>
            <w:r w:rsidRPr="00E45237">
              <w:rPr>
                <w:rFonts w:ascii="Arial" w:hAnsi="Arial" w:cs="Arial"/>
                <w:i/>
                <w:iCs/>
                <w:sz w:val="22"/>
                <w:szCs w:val="22"/>
                <w:lang w:eastAsia="en-US"/>
              </w:rPr>
              <w:t xml:space="preserve">Počet </w:t>
            </w:r>
            <w:r w:rsidRPr="00E45237">
              <w:rPr>
                <w:rFonts w:ascii="Arial" w:hAnsi="Arial" w:cs="Arial"/>
                <w:b/>
                <w:bCs/>
                <w:i/>
                <w:iCs/>
                <w:sz w:val="22"/>
                <w:szCs w:val="22"/>
                <w:lang w:eastAsia="en-US"/>
              </w:rPr>
              <w:t>prodaných</w:t>
            </w:r>
            <w:r w:rsidRPr="00E45237">
              <w:rPr>
                <w:rFonts w:ascii="Arial" w:hAnsi="Arial" w:cs="Arial"/>
                <w:i/>
                <w:iCs/>
                <w:sz w:val="22"/>
                <w:szCs w:val="22"/>
                <w:lang w:eastAsia="en-US"/>
              </w:rPr>
              <w:t xml:space="preserve"> karet za rok 2014 - odhad</w:t>
            </w:r>
          </w:p>
        </w:tc>
        <w:tc>
          <w:tcPr>
            <w:tcW w:w="180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6000</w:t>
            </w:r>
          </w:p>
        </w:tc>
        <w:tc>
          <w:tcPr>
            <w:tcW w:w="188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i/>
                <w:iCs/>
                <w:sz w:val="22"/>
                <w:szCs w:val="22"/>
                <w:lang w:eastAsia="en-US"/>
              </w:rPr>
            </w:pPr>
            <w:r w:rsidRPr="00E45237">
              <w:rPr>
                <w:rFonts w:ascii="Arial" w:hAnsi="Arial" w:cs="Arial"/>
                <w:i/>
                <w:iCs/>
                <w:sz w:val="22"/>
                <w:szCs w:val="22"/>
                <w:lang w:eastAsia="en-US"/>
              </w:rPr>
              <w:t>Součástí kampaně je odběr 1000 karet pro CK</w:t>
            </w:r>
          </w:p>
        </w:tc>
        <w:tc>
          <w:tcPr>
            <w:tcW w:w="180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i/>
                <w:iCs/>
                <w:sz w:val="22"/>
                <w:szCs w:val="22"/>
                <w:lang w:eastAsia="en-US"/>
              </w:rPr>
            </w:pPr>
            <w:r w:rsidRPr="00E45237">
              <w:rPr>
                <w:rFonts w:ascii="Arial" w:hAnsi="Arial" w:cs="Arial"/>
                <w:i/>
                <w:iCs/>
                <w:sz w:val="22"/>
                <w:szCs w:val="22"/>
                <w:lang w:eastAsia="en-US"/>
              </w:rPr>
              <w:t> </w:t>
            </w:r>
          </w:p>
        </w:tc>
        <w:tc>
          <w:tcPr>
            <w:tcW w:w="180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285"/>
        </w:trPr>
        <w:tc>
          <w:tcPr>
            <w:tcW w:w="6040" w:type="dxa"/>
            <w:tcBorders>
              <w:top w:val="nil"/>
              <w:left w:val="single" w:sz="4" w:space="0" w:color="auto"/>
              <w:bottom w:val="single" w:sz="4" w:space="0" w:color="auto"/>
              <w:right w:val="single" w:sz="4" w:space="0" w:color="auto"/>
            </w:tcBorders>
            <w:shd w:val="clear" w:color="auto" w:fill="99CCFF"/>
            <w:noWrap/>
            <w:vAlign w:val="bottom"/>
            <w:hideMark/>
          </w:tcPr>
          <w:p w:rsidR="004E7DC4" w:rsidRPr="00E45237" w:rsidRDefault="004E7DC4">
            <w:pPr>
              <w:spacing w:line="276" w:lineRule="auto"/>
              <w:jc w:val="center"/>
              <w:rPr>
                <w:rFonts w:ascii="Arial" w:hAnsi="Arial" w:cs="Arial"/>
                <w:b/>
                <w:bCs/>
                <w:sz w:val="22"/>
                <w:szCs w:val="22"/>
                <w:lang w:eastAsia="en-US"/>
              </w:rPr>
            </w:pPr>
            <w:r w:rsidRPr="00E45237">
              <w:rPr>
                <w:rFonts w:ascii="Arial" w:hAnsi="Arial" w:cs="Arial"/>
                <w:b/>
                <w:bCs/>
                <w:sz w:val="22"/>
                <w:szCs w:val="22"/>
                <w:lang w:eastAsia="en-US"/>
              </w:rPr>
              <w:t>položky - leden - prosinec 2014</w:t>
            </w:r>
          </w:p>
        </w:tc>
        <w:tc>
          <w:tcPr>
            <w:tcW w:w="1800" w:type="dxa"/>
            <w:tcBorders>
              <w:top w:val="nil"/>
              <w:left w:val="nil"/>
              <w:bottom w:val="single" w:sz="4" w:space="0" w:color="auto"/>
              <w:right w:val="single" w:sz="4" w:space="0" w:color="auto"/>
            </w:tcBorders>
            <w:shd w:val="clear" w:color="auto" w:fill="99CCFF"/>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cena bez DPH</w:t>
            </w:r>
          </w:p>
        </w:tc>
        <w:tc>
          <w:tcPr>
            <w:tcW w:w="1880" w:type="dxa"/>
            <w:tcBorders>
              <w:top w:val="nil"/>
              <w:left w:val="nil"/>
              <w:bottom w:val="single" w:sz="4" w:space="0" w:color="auto"/>
              <w:right w:val="single" w:sz="4" w:space="0" w:color="auto"/>
            </w:tcBorders>
            <w:shd w:val="clear" w:color="auto" w:fill="99CCFF"/>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cena vč. DPH</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A) NÁKLADY</w:t>
            </w:r>
          </w:p>
        </w:tc>
        <w:tc>
          <w:tcPr>
            <w:tcW w:w="180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sz w:val="22"/>
                <w:szCs w:val="22"/>
                <w:lang w:eastAsia="en-US"/>
              </w:rPr>
            </w:pPr>
            <w:r w:rsidRPr="00E45237">
              <w:rPr>
                <w:rFonts w:ascii="Arial" w:hAnsi="Arial" w:cs="Arial"/>
                <w:sz w:val="22"/>
                <w:szCs w:val="22"/>
                <w:lang w:eastAsia="en-US"/>
              </w:rPr>
              <w:t>I. Provozní náklady:</w:t>
            </w:r>
          </w:p>
        </w:tc>
        <w:tc>
          <w:tcPr>
            <w:tcW w:w="180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výroba karet 7000 ks, samolepky a označení prodejců </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50 000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60 500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info letáčky - aktualizace, DTP práce, tisk</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37 500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45 375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brožura ORC - aktualizace, DTP práce</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33 058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40 000 Kč</w:t>
            </w:r>
          </w:p>
        </w:tc>
        <w:tc>
          <w:tcPr>
            <w:tcW w:w="470" w:type="dxa"/>
            <w:noWrap/>
            <w:vAlign w:val="bottom"/>
            <w:hideMark/>
          </w:tcPr>
          <w:p w:rsidR="004E7DC4" w:rsidRDefault="004E7DC4">
            <w:pPr>
              <w:spacing w:line="276" w:lineRule="auto"/>
              <w:rPr>
                <w:sz w:val="22"/>
                <w:szCs w:val="22"/>
                <w:lang w:eastAsia="en-US"/>
              </w:rPr>
            </w:pPr>
            <w:r>
              <w:rPr>
                <w:sz w:val="22"/>
                <w:szCs w:val="22"/>
                <w:lang w:eastAsia="en-US"/>
              </w:rPr>
              <w:t>*</w:t>
            </w:r>
          </w:p>
        </w:tc>
      </w:tr>
      <w:tr w:rsidR="004E7DC4" w:rsidTr="004E7DC4">
        <w:trPr>
          <w:trHeight w:val="300"/>
        </w:trPr>
        <w:tc>
          <w:tcPr>
            <w:tcW w:w="6040" w:type="dxa"/>
            <w:tcBorders>
              <w:top w:val="nil"/>
              <w:left w:val="single" w:sz="4" w:space="0" w:color="auto"/>
              <w:bottom w:val="single" w:sz="4" w:space="0" w:color="auto"/>
              <w:right w:val="single" w:sz="4" w:space="0" w:color="auto"/>
            </w:tcBorders>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spolupráce CK - Čedok, </w:t>
            </w:r>
            <w:proofErr w:type="spellStart"/>
            <w:r w:rsidRPr="00E45237">
              <w:rPr>
                <w:rFonts w:ascii="Arial" w:hAnsi="Arial" w:cs="Arial"/>
                <w:b/>
                <w:bCs/>
                <w:sz w:val="22"/>
                <w:szCs w:val="22"/>
                <w:lang w:eastAsia="en-US"/>
              </w:rPr>
              <w:t>Atis</w:t>
            </w:r>
            <w:proofErr w:type="spellEnd"/>
            <w:r w:rsidRPr="00E45237">
              <w:rPr>
                <w:rFonts w:ascii="Arial" w:hAnsi="Arial" w:cs="Arial"/>
                <w:b/>
                <w:bCs/>
                <w:sz w:val="22"/>
                <w:szCs w:val="22"/>
                <w:lang w:eastAsia="en-US"/>
              </w:rPr>
              <w:t xml:space="preserve"> (distribuce 1000 karet)</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29 167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35 292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administrace projektu </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300 000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363 000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strategie a obsahové řešení m-ARK</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8 333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10 083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režijní náklady m-ARK</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75 000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90 750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provoz webu vč. aktualizace</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58 333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70 583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C0C0C0"/>
            <w:vAlign w:val="bottom"/>
            <w:hideMark/>
          </w:tcPr>
          <w:p w:rsidR="004E7DC4" w:rsidRPr="00E45237" w:rsidRDefault="004E7DC4">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 xml:space="preserve">Provozní náklady celkem: </w:t>
            </w:r>
          </w:p>
        </w:tc>
        <w:tc>
          <w:tcPr>
            <w:tcW w:w="180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591 391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715 583 Kč</w:t>
            </w:r>
          </w:p>
        </w:tc>
        <w:tc>
          <w:tcPr>
            <w:tcW w:w="470" w:type="dxa"/>
            <w:noWrap/>
            <w:vAlign w:val="bottom"/>
          </w:tcPr>
          <w:p w:rsidR="004E7DC4" w:rsidRDefault="004E7DC4">
            <w:pPr>
              <w:spacing w:line="276" w:lineRule="auto"/>
              <w:rPr>
                <w:i/>
                <w:iCs/>
                <w:color w:val="FF0000"/>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E7DC4" w:rsidRPr="00E45237" w:rsidRDefault="004E7DC4">
            <w:pPr>
              <w:spacing w:line="276" w:lineRule="auto"/>
              <w:rPr>
                <w:rFonts w:ascii="Arial" w:hAnsi="Arial" w:cs="Arial"/>
                <w:sz w:val="22"/>
                <w:szCs w:val="22"/>
                <w:lang w:eastAsia="en-US"/>
              </w:rPr>
            </w:pPr>
            <w:r w:rsidRPr="00E45237">
              <w:rPr>
                <w:rFonts w:ascii="Arial" w:hAnsi="Arial" w:cs="Arial"/>
                <w:sz w:val="22"/>
                <w:szCs w:val="22"/>
                <w:lang w:eastAsia="en-US"/>
              </w:rPr>
              <w:t>II. Náklady na reklamní kampaň a podporu prodeje</w:t>
            </w:r>
          </w:p>
        </w:tc>
        <w:tc>
          <w:tcPr>
            <w:tcW w:w="180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vAlign w:val="bottom"/>
            <w:hideMark/>
          </w:tcPr>
          <w:p w:rsidR="004E7DC4" w:rsidRPr="00E45237" w:rsidRDefault="004E7DC4">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média (příprava, tisk)</w:t>
            </w:r>
          </w:p>
        </w:tc>
        <w:tc>
          <w:tcPr>
            <w:tcW w:w="1800" w:type="dxa"/>
            <w:tcBorders>
              <w:top w:val="nil"/>
              <w:left w:val="single" w:sz="4" w:space="0" w:color="auto"/>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12 500 Kč</w:t>
            </w:r>
          </w:p>
        </w:tc>
        <w:tc>
          <w:tcPr>
            <w:tcW w:w="188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15 125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shd w:val="clear" w:color="auto" w:fill="C0C0C0"/>
            <w:vAlign w:val="bottom"/>
            <w:hideMark/>
          </w:tcPr>
          <w:p w:rsidR="004E7DC4" w:rsidRPr="00E45237" w:rsidRDefault="004E7DC4">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 xml:space="preserve">Náklady na reklamní kampaň celkem: </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12 500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15 125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E7DC4" w:rsidRPr="00E45237" w:rsidRDefault="004E7DC4">
            <w:pPr>
              <w:spacing w:line="276" w:lineRule="auto"/>
              <w:rPr>
                <w:rFonts w:ascii="Arial" w:hAnsi="Arial" w:cs="Arial"/>
                <w:sz w:val="22"/>
                <w:szCs w:val="22"/>
                <w:lang w:eastAsia="en-US"/>
              </w:rPr>
            </w:pPr>
            <w:r w:rsidRPr="00E45237">
              <w:rPr>
                <w:rFonts w:ascii="Arial" w:hAnsi="Arial" w:cs="Arial"/>
                <w:sz w:val="22"/>
                <w:szCs w:val="22"/>
                <w:lang w:eastAsia="en-US"/>
              </w:rPr>
              <w:t>III. Náklady na úhradu provizí a vstupného</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refundace vstupného</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408 919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494 792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provize MHD</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9 917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12 000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úhrada </w:t>
            </w:r>
            <w:proofErr w:type="spellStart"/>
            <w:r w:rsidRPr="00E45237">
              <w:rPr>
                <w:rFonts w:ascii="Arial" w:hAnsi="Arial" w:cs="Arial"/>
                <w:b/>
                <w:bCs/>
                <w:sz w:val="22"/>
                <w:szCs w:val="22"/>
                <w:lang w:eastAsia="en-US"/>
              </w:rPr>
              <w:t>proviz</w:t>
            </w:r>
            <w:proofErr w:type="spellEnd"/>
            <w:r w:rsidRPr="00E45237">
              <w:rPr>
                <w:rFonts w:ascii="Arial" w:hAnsi="Arial" w:cs="Arial"/>
                <w:b/>
                <w:bCs/>
                <w:sz w:val="22"/>
                <w:szCs w:val="22"/>
                <w:lang w:eastAsia="en-US"/>
              </w:rPr>
              <w:t xml:space="preserve">. prodejcům: 10 % z prodaných karet </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50 000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60 500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shd w:val="clear" w:color="auto" w:fill="C0C0C0"/>
            <w:vAlign w:val="bottom"/>
            <w:hideMark/>
          </w:tcPr>
          <w:p w:rsidR="004E7DC4" w:rsidRPr="00E45237" w:rsidRDefault="004E7DC4">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Náklady na úhradu provizí a vstupného celkem</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468 836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567 292 Kč</w:t>
            </w:r>
          </w:p>
        </w:tc>
        <w:tc>
          <w:tcPr>
            <w:tcW w:w="470" w:type="dxa"/>
            <w:noWrap/>
            <w:vAlign w:val="bottom"/>
          </w:tcPr>
          <w:p w:rsidR="004E7DC4" w:rsidRDefault="004E7DC4">
            <w:pPr>
              <w:spacing w:line="276" w:lineRule="auto"/>
              <w:rPr>
                <w:i/>
                <w:iCs/>
                <w:color w:val="FF0000"/>
                <w:sz w:val="22"/>
                <w:szCs w:val="22"/>
                <w:lang w:eastAsia="en-US"/>
              </w:rPr>
            </w:pPr>
          </w:p>
        </w:tc>
      </w:tr>
      <w:tr w:rsidR="004E7DC4" w:rsidTr="004E7DC4">
        <w:trPr>
          <w:trHeight w:val="375"/>
        </w:trPr>
        <w:tc>
          <w:tcPr>
            <w:tcW w:w="6040" w:type="dxa"/>
            <w:tcBorders>
              <w:top w:val="nil"/>
              <w:left w:val="single" w:sz="4" w:space="0" w:color="auto"/>
              <w:bottom w:val="single" w:sz="4" w:space="0" w:color="auto"/>
              <w:right w:val="nil"/>
            </w:tcBorders>
            <w:shd w:val="clear" w:color="auto" w:fill="C0C0C0"/>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Celkem náklady</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1 072 727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1 298 000 Kč</w:t>
            </w:r>
          </w:p>
        </w:tc>
        <w:tc>
          <w:tcPr>
            <w:tcW w:w="470" w:type="dxa"/>
            <w:noWrap/>
            <w:vAlign w:val="bottom"/>
          </w:tcPr>
          <w:p w:rsidR="004E7DC4" w:rsidRDefault="004E7DC4">
            <w:pPr>
              <w:spacing w:line="276" w:lineRule="auto"/>
              <w:rPr>
                <w:i/>
                <w:iCs/>
                <w:color w:val="FF0000"/>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B) VÝNOSY</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single" w:sz="4" w:space="0" w:color="auto"/>
            </w:tcBorders>
            <w:noWrap/>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prodej 6000 karet /rok</w:t>
            </w:r>
          </w:p>
        </w:tc>
        <w:tc>
          <w:tcPr>
            <w:tcW w:w="180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600 000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726 000 Kč</w:t>
            </w:r>
          </w:p>
        </w:tc>
        <w:tc>
          <w:tcPr>
            <w:tcW w:w="470" w:type="dxa"/>
            <w:noWrap/>
            <w:vAlign w:val="bottom"/>
          </w:tcPr>
          <w:p w:rsidR="004E7DC4" w:rsidRDefault="004E7DC4">
            <w:pPr>
              <w:spacing w:line="276" w:lineRule="auto"/>
              <w:rPr>
                <w:sz w:val="22"/>
                <w:szCs w:val="22"/>
                <w:lang w:eastAsia="en-US"/>
              </w:rPr>
            </w:pPr>
          </w:p>
        </w:tc>
      </w:tr>
      <w:tr w:rsidR="004E7DC4" w:rsidTr="004E7DC4">
        <w:trPr>
          <w:trHeight w:val="375"/>
        </w:trPr>
        <w:tc>
          <w:tcPr>
            <w:tcW w:w="6040" w:type="dxa"/>
            <w:tcBorders>
              <w:top w:val="nil"/>
              <w:left w:val="single" w:sz="4" w:space="0" w:color="auto"/>
              <w:bottom w:val="single" w:sz="4" w:space="0" w:color="auto"/>
              <w:right w:val="nil"/>
            </w:tcBorders>
            <w:shd w:val="clear" w:color="auto" w:fill="C0C0C0"/>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Celkem výnosy</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600 000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726 000 Kč</w:t>
            </w:r>
          </w:p>
        </w:tc>
        <w:tc>
          <w:tcPr>
            <w:tcW w:w="470" w:type="dxa"/>
            <w:noWrap/>
            <w:vAlign w:val="bottom"/>
          </w:tcPr>
          <w:p w:rsidR="004E7DC4" w:rsidRDefault="004E7DC4">
            <w:pPr>
              <w:spacing w:line="276" w:lineRule="auto"/>
              <w:rPr>
                <w:i/>
                <w:iCs/>
                <w:color w:val="FF0000"/>
                <w:sz w:val="22"/>
                <w:szCs w:val="22"/>
                <w:lang w:eastAsia="en-US"/>
              </w:rPr>
            </w:pPr>
          </w:p>
        </w:tc>
      </w:tr>
      <w:tr w:rsidR="004E7DC4" w:rsidTr="004E7DC4">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E7DC4" w:rsidRPr="00E45237" w:rsidRDefault="004E7DC4">
            <w:pPr>
              <w:spacing w:line="276" w:lineRule="auto"/>
              <w:rPr>
                <w:rFonts w:ascii="Arial" w:hAnsi="Arial" w:cs="Arial"/>
                <w:b/>
                <w:bCs/>
                <w:sz w:val="22"/>
                <w:szCs w:val="22"/>
                <w:lang w:eastAsia="en-US"/>
              </w:rPr>
            </w:pPr>
            <w:r w:rsidRPr="00E45237">
              <w:rPr>
                <w:rFonts w:ascii="Arial" w:hAnsi="Arial" w:cs="Arial"/>
                <w:b/>
                <w:bCs/>
                <w:sz w:val="22"/>
                <w:szCs w:val="22"/>
                <w:lang w:eastAsia="en-US"/>
              </w:rPr>
              <w:t> </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E7DC4" w:rsidRPr="00E45237" w:rsidRDefault="004E7DC4" w:rsidP="009922EC">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E7DC4" w:rsidRPr="00E45237" w:rsidRDefault="004E7DC4" w:rsidP="009922EC">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E7DC4" w:rsidRDefault="004E7DC4">
            <w:pPr>
              <w:spacing w:line="276" w:lineRule="auto"/>
              <w:rPr>
                <w:sz w:val="22"/>
                <w:szCs w:val="22"/>
                <w:lang w:eastAsia="en-US"/>
              </w:rPr>
            </w:pPr>
          </w:p>
        </w:tc>
      </w:tr>
      <w:tr w:rsidR="004E7DC4" w:rsidTr="004E7DC4">
        <w:trPr>
          <w:trHeight w:val="750"/>
        </w:trPr>
        <w:tc>
          <w:tcPr>
            <w:tcW w:w="6040" w:type="dxa"/>
            <w:tcBorders>
              <w:top w:val="nil"/>
              <w:left w:val="single" w:sz="4" w:space="0" w:color="auto"/>
              <w:bottom w:val="single" w:sz="4" w:space="0" w:color="auto"/>
              <w:right w:val="nil"/>
            </w:tcBorders>
            <w:shd w:val="clear" w:color="auto" w:fill="C0C0C0"/>
            <w:vAlign w:val="bottom"/>
            <w:hideMark/>
          </w:tcPr>
          <w:p w:rsidR="004E7DC4" w:rsidRPr="00E45237" w:rsidRDefault="004E7DC4">
            <w:pPr>
              <w:spacing w:line="276" w:lineRule="auto"/>
              <w:jc w:val="center"/>
              <w:rPr>
                <w:rFonts w:ascii="Arial" w:hAnsi="Arial" w:cs="Arial"/>
                <w:b/>
                <w:bCs/>
                <w:sz w:val="22"/>
                <w:szCs w:val="22"/>
                <w:lang w:eastAsia="en-US"/>
              </w:rPr>
            </w:pPr>
            <w:r w:rsidRPr="00E45237">
              <w:rPr>
                <w:rFonts w:ascii="Arial" w:hAnsi="Arial" w:cs="Arial"/>
                <w:b/>
                <w:bCs/>
                <w:sz w:val="22"/>
                <w:szCs w:val="22"/>
                <w:lang w:eastAsia="en-US"/>
              </w:rPr>
              <w:t xml:space="preserve">Částka nutná na dofinancování projektu Olomouc region </w:t>
            </w:r>
            <w:proofErr w:type="spellStart"/>
            <w:r w:rsidRPr="00E45237">
              <w:rPr>
                <w:rFonts w:ascii="Arial" w:hAnsi="Arial" w:cs="Arial"/>
                <w:b/>
                <w:bCs/>
                <w:sz w:val="22"/>
                <w:szCs w:val="22"/>
                <w:lang w:eastAsia="en-US"/>
              </w:rPr>
              <w:t>Card</w:t>
            </w:r>
            <w:proofErr w:type="spellEnd"/>
            <w:r w:rsidRPr="00E45237">
              <w:rPr>
                <w:rFonts w:ascii="Arial" w:hAnsi="Arial" w:cs="Arial"/>
                <w:b/>
                <w:bCs/>
                <w:sz w:val="22"/>
                <w:szCs w:val="22"/>
                <w:lang w:eastAsia="en-US"/>
              </w:rPr>
              <w:t xml:space="preserve"> na rok 2013</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472 727 Kč</w:t>
            </w:r>
          </w:p>
        </w:tc>
        <w:tc>
          <w:tcPr>
            <w:tcW w:w="1880" w:type="dxa"/>
            <w:tcBorders>
              <w:top w:val="nil"/>
              <w:left w:val="nil"/>
              <w:bottom w:val="single" w:sz="4" w:space="0" w:color="auto"/>
              <w:right w:val="single" w:sz="4" w:space="0" w:color="auto"/>
            </w:tcBorders>
            <w:shd w:val="clear" w:color="auto" w:fill="C0C0C0"/>
            <w:noWrap/>
            <w:vAlign w:val="bottom"/>
            <w:hideMark/>
          </w:tcPr>
          <w:p w:rsidR="004E7DC4" w:rsidRPr="00E45237" w:rsidRDefault="004E7DC4" w:rsidP="009922EC">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572 000 Kč</w:t>
            </w:r>
          </w:p>
        </w:tc>
        <w:tc>
          <w:tcPr>
            <w:tcW w:w="470" w:type="dxa"/>
            <w:vAlign w:val="bottom"/>
            <w:hideMark/>
          </w:tcPr>
          <w:p w:rsidR="004E7DC4" w:rsidRDefault="004E7DC4">
            <w:pPr>
              <w:spacing w:line="276" w:lineRule="auto"/>
              <w:rPr>
                <w:i/>
                <w:iCs/>
                <w:sz w:val="22"/>
                <w:szCs w:val="22"/>
                <w:lang w:eastAsia="en-US"/>
              </w:rPr>
            </w:pPr>
            <w:r>
              <w:rPr>
                <w:i/>
                <w:iCs/>
                <w:sz w:val="22"/>
                <w:szCs w:val="22"/>
                <w:lang w:eastAsia="en-US"/>
              </w:rPr>
              <w:t>**</w:t>
            </w:r>
            <w:r>
              <w:rPr>
                <w:i/>
                <w:iCs/>
                <w:sz w:val="22"/>
                <w:szCs w:val="22"/>
                <w:lang w:eastAsia="en-US"/>
              </w:rPr>
              <w:br/>
              <w:t>***</w:t>
            </w:r>
          </w:p>
        </w:tc>
      </w:tr>
      <w:tr w:rsidR="004E7DC4" w:rsidTr="004E7DC4">
        <w:trPr>
          <w:trHeight w:val="255"/>
        </w:trPr>
        <w:tc>
          <w:tcPr>
            <w:tcW w:w="6040" w:type="dxa"/>
            <w:vAlign w:val="bottom"/>
          </w:tcPr>
          <w:p w:rsidR="004E7DC4" w:rsidRPr="00E45237" w:rsidRDefault="004E7DC4">
            <w:pPr>
              <w:spacing w:line="276" w:lineRule="auto"/>
              <w:rPr>
                <w:rFonts w:ascii="Arial" w:hAnsi="Arial" w:cs="Arial"/>
                <w:b/>
                <w:bCs/>
                <w:sz w:val="20"/>
                <w:szCs w:val="20"/>
                <w:lang w:eastAsia="en-US"/>
              </w:rPr>
            </w:pPr>
          </w:p>
        </w:tc>
        <w:tc>
          <w:tcPr>
            <w:tcW w:w="1800" w:type="dxa"/>
            <w:noWrap/>
            <w:vAlign w:val="bottom"/>
          </w:tcPr>
          <w:p w:rsidR="004E7DC4" w:rsidRPr="00E45237" w:rsidRDefault="004E7DC4">
            <w:pPr>
              <w:spacing w:line="276" w:lineRule="auto"/>
              <w:jc w:val="right"/>
              <w:rPr>
                <w:rFonts w:ascii="Arial" w:hAnsi="Arial" w:cs="Arial"/>
                <w:sz w:val="20"/>
                <w:szCs w:val="20"/>
                <w:lang w:eastAsia="en-US"/>
              </w:rPr>
            </w:pPr>
          </w:p>
        </w:tc>
        <w:tc>
          <w:tcPr>
            <w:tcW w:w="1880" w:type="dxa"/>
            <w:noWrap/>
            <w:vAlign w:val="bottom"/>
          </w:tcPr>
          <w:p w:rsidR="004E7DC4" w:rsidRPr="00E45237" w:rsidRDefault="004E7DC4">
            <w:pPr>
              <w:spacing w:line="276" w:lineRule="auto"/>
              <w:jc w:val="center"/>
              <w:rPr>
                <w:rFonts w:ascii="Arial" w:hAnsi="Arial" w:cs="Arial"/>
                <w:color w:val="FF0000"/>
                <w:sz w:val="20"/>
                <w:szCs w:val="20"/>
                <w:lang w:eastAsia="en-US"/>
              </w:rPr>
            </w:pPr>
          </w:p>
        </w:tc>
        <w:tc>
          <w:tcPr>
            <w:tcW w:w="470" w:type="dxa"/>
            <w:noWrap/>
            <w:vAlign w:val="bottom"/>
          </w:tcPr>
          <w:p w:rsidR="004E7DC4" w:rsidRDefault="004E7DC4">
            <w:pPr>
              <w:spacing w:line="276" w:lineRule="auto"/>
              <w:rPr>
                <w:rFonts w:ascii="Arial" w:hAnsi="Arial" w:cs="Arial"/>
                <w:sz w:val="20"/>
                <w:szCs w:val="20"/>
                <w:lang w:eastAsia="en-US"/>
              </w:rPr>
            </w:pPr>
          </w:p>
        </w:tc>
      </w:tr>
      <w:tr w:rsidR="004E7DC4" w:rsidTr="004E7DC4">
        <w:trPr>
          <w:trHeight w:val="255"/>
        </w:trPr>
        <w:tc>
          <w:tcPr>
            <w:tcW w:w="9720" w:type="dxa"/>
            <w:gridSpan w:val="3"/>
            <w:vAlign w:val="bottom"/>
            <w:hideMark/>
          </w:tcPr>
          <w:p w:rsidR="004E7DC4" w:rsidRPr="00E45237" w:rsidRDefault="004E7DC4">
            <w:pPr>
              <w:spacing w:line="276" w:lineRule="auto"/>
              <w:rPr>
                <w:rFonts w:ascii="Arial" w:hAnsi="Arial" w:cs="Arial"/>
                <w:sz w:val="18"/>
                <w:szCs w:val="18"/>
                <w:lang w:eastAsia="en-US"/>
              </w:rPr>
            </w:pPr>
            <w:r w:rsidRPr="00E45237">
              <w:rPr>
                <w:rFonts w:ascii="Arial" w:hAnsi="Arial" w:cs="Arial"/>
                <w:sz w:val="18"/>
                <w:szCs w:val="18"/>
                <w:lang w:eastAsia="en-US"/>
              </w:rPr>
              <w:t>* je dohodnuto, že brožura ORC se bude tisknout v rámci edičního plánu Krajského úřadu Olomouckého kraje</w:t>
            </w:r>
          </w:p>
        </w:tc>
        <w:tc>
          <w:tcPr>
            <w:tcW w:w="470" w:type="dxa"/>
            <w:noWrap/>
            <w:vAlign w:val="bottom"/>
          </w:tcPr>
          <w:p w:rsidR="004E7DC4" w:rsidRDefault="004E7DC4">
            <w:pPr>
              <w:spacing w:line="276" w:lineRule="auto"/>
              <w:rPr>
                <w:rFonts w:ascii="Arial" w:hAnsi="Arial" w:cs="Arial"/>
                <w:sz w:val="18"/>
                <w:szCs w:val="18"/>
                <w:lang w:eastAsia="en-US"/>
              </w:rPr>
            </w:pPr>
          </w:p>
        </w:tc>
      </w:tr>
      <w:tr w:rsidR="004E7DC4" w:rsidTr="004E7DC4">
        <w:trPr>
          <w:trHeight w:val="750"/>
        </w:trPr>
        <w:tc>
          <w:tcPr>
            <w:tcW w:w="9720" w:type="dxa"/>
            <w:gridSpan w:val="3"/>
            <w:vAlign w:val="bottom"/>
            <w:hideMark/>
          </w:tcPr>
          <w:p w:rsidR="004E7DC4" w:rsidRPr="00E45237" w:rsidRDefault="004E7DC4">
            <w:pPr>
              <w:spacing w:line="276" w:lineRule="auto"/>
              <w:rPr>
                <w:rFonts w:ascii="Arial" w:hAnsi="Arial" w:cs="Arial"/>
                <w:sz w:val="18"/>
                <w:szCs w:val="18"/>
                <w:lang w:eastAsia="en-US"/>
              </w:rPr>
            </w:pPr>
            <w:r w:rsidRPr="00E45237">
              <w:rPr>
                <w:rFonts w:ascii="Arial" w:hAnsi="Arial" w:cs="Arial"/>
                <w:sz w:val="18"/>
                <w:szCs w:val="18"/>
                <w:lang w:eastAsia="en-US"/>
              </w:rPr>
              <w:t>** rozpočet je podmíněn zachováním stejných podmínek jako v roce 2013, a to následovně:</w:t>
            </w:r>
            <w:r w:rsidRPr="00E45237">
              <w:rPr>
                <w:rFonts w:ascii="Arial" w:hAnsi="Arial" w:cs="Arial"/>
                <w:sz w:val="18"/>
                <w:szCs w:val="18"/>
                <w:lang w:eastAsia="en-US"/>
              </w:rPr>
              <w:br/>
              <w:t>- město Olomouc vyjedná se svými organizacemi – DPMO a.s. a ZOO Olomouc stejnou výši refundací jako v roce 2013</w:t>
            </w:r>
            <w:r w:rsidRPr="00E45237">
              <w:rPr>
                <w:rFonts w:ascii="Arial" w:hAnsi="Arial" w:cs="Arial"/>
                <w:sz w:val="18"/>
                <w:szCs w:val="18"/>
                <w:lang w:eastAsia="en-US"/>
              </w:rPr>
              <w:br/>
              <w:t xml:space="preserve">- město Olomouc se spojí s Ing. Pešákem, majitelem </w:t>
            </w:r>
            <w:proofErr w:type="spellStart"/>
            <w:r w:rsidRPr="00E45237">
              <w:rPr>
                <w:rFonts w:ascii="Arial" w:hAnsi="Arial" w:cs="Arial"/>
                <w:sz w:val="18"/>
                <w:szCs w:val="18"/>
                <w:lang w:eastAsia="en-US"/>
              </w:rPr>
              <w:t>Veteran</w:t>
            </w:r>
            <w:proofErr w:type="spellEnd"/>
            <w:r w:rsidRPr="00E45237">
              <w:rPr>
                <w:rFonts w:ascii="Arial" w:hAnsi="Arial" w:cs="Arial"/>
                <w:sz w:val="18"/>
                <w:szCs w:val="18"/>
                <w:lang w:eastAsia="en-US"/>
              </w:rPr>
              <w:t xml:space="preserve"> </w:t>
            </w:r>
            <w:proofErr w:type="spellStart"/>
            <w:r w:rsidRPr="00E45237">
              <w:rPr>
                <w:rFonts w:ascii="Arial" w:hAnsi="Arial" w:cs="Arial"/>
                <w:sz w:val="18"/>
                <w:szCs w:val="18"/>
                <w:lang w:eastAsia="en-US"/>
              </w:rPr>
              <w:t>Areny</w:t>
            </w:r>
            <w:proofErr w:type="spellEnd"/>
            <w:r w:rsidRPr="00E45237">
              <w:rPr>
                <w:rFonts w:ascii="Arial" w:hAnsi="Arial" w:cs="Arial"/>
                <w:sz w:val="18"/>
                <w:szCs w:val="18"/>
                <w:lang w:eastAsia="en-US"/>
              </w:rPr>
              <w:t xml:space="preserve"> a vyjedná s ním možnost pokračování v systému ORC za stávajících podmínek</w:t>
            </w:r>
          </w:p>
        </w:tc>
        <w:tc>
          <w:tcPr>
            <w:tcW w:w="470" w:type="dxa"/>
            <w:noWrap/>
            <w:vAlign w:val="bottom"/>
          </w:tcPr>
          <w:p w:rsidR="004E7DC4" w:rsidRDefault="004E7DC4">
            <w:pPr>
              <w:spacing w:line="276" w:lineRule="auto"/>
              <w:rPr>
                <w:rFonts w:ascii="Arial" w:hAnsi="Arial" w:cs="Arial"/>
                <w:sz w:val="18"/>
                <w:szCs w:val="18"/>
                <w:lang w:eastAsia="en-US"/>
              </w:rPr>
            </w:pPr>
          </w:p>
        </w:tc>
      </w:tr>
      <w:tr w:rsidR="004E7DC4" w:rsidTr="004E7DC4">
        <w:trPr>
          <w:trHeight w:val="743"/>
        </w:trPr>
        <w:tc>
          <w:tcPr>
            <w:tcW w:w="9720" w:type="dxa"/>
            <w:gridSpan w:val="3"/>
            <w:hideMark/>
          </w:tcPr>
          <w:p w:rsidR="004E7DC4" w:rsidRPr="00E45237" w:rsidRDefault="004E7DC4" w:rsidP="003749BD">
            <w:pPr>
              <w:spacing w:line="276" w:lineRule="auto"/>
              <w:rPr>
                <w:rFonts w:ascii="Arial" w:hAnsi="Arial" w:cs="Arial"/>
                <w:sz w:val="18"/>
                <w:szCs w:val="18"/>
                <w:lang w:eastAsia="en-US"/>
              </w:rPr>
            </w:pPr>
            <w:r w:rsidRPr="00E45237">
              <w:rPr>
                <w:rFonts w:ascii="Arial" w:hAnsi="Arial" w:cs="Arial"/>
                <w:sz w:val="18"/>
                <w:szCs w:val="18"/>
                <w:lang w:eastAsia="en-US"/>
              </w:rPr>
              <w:t>*** příspěvky zřizovatelů systému pro rok 2014 vypadají následovně:</w:t>
            </w:r>
            <w:r w:rsidRPr="00E45237">
              <w:rPr>
                <w:rFonts w:ascii="Arial" w:hAnsi="Arial" w:cs="Arial"/>
                <w:sz w:val="18"/>
                <w:szCs w:val="18"/>
                <w:lang w:eastAsia="en-US"/>
              </w:rPr>
              <w:br/>
              <w:t>- Statutární město Olomouc přispěje do systému ORC pro rok 2014 částkou 200 200 Kč vč. DPH</w:t>
            </w:r>
            <w:r w:rsidRPr="00E45237">
              <w:rPr>
                <w:rFonts w:ascii="Arial" w:hAnsi="Arial" w:cs="Arial"/>
                <w:sz w:val="18"/>
                <w:szCs w:val="18"/>
                <w:lang w:eastAsia="en-US"/>
              </w:rPr>
              <w:br/>
              <w:t>- Olomoucký kraj přispěje do systému ORC pro rok 2014 částkou 371 800 Kč bez DPH</w:t>
            </w:r>
          </w:p>
        </w:tc>
        <w:tc>
          <w:tcPr>
            <w:tcW w:w="470" w:type="dxa"/>
            <w:noWrap/>
            <w:vAlign w:val="bottom"/>
          </w:tcPr>
          <w:p w:rsidR="004E7DC4" w:rsidRDefault="004E7DC4">
            <w:pPr>
              <w:spacing w:line="276" w:lineRule="auto"/>
              <w:rPr>
                <w:rFonts w:ascii="Arial" w:hAnsi="Arial" w:cs="Arial"/>
                <w:sz w:val="18"/>
                <w:szCs w:val="18"/>
                <w:lang w:eastAsia="en-US"/>
              </w:rPr>
            </w:pPr>
          </w:p>
        </w:tc>
      </w:tr>
    </w:tbl>
    <w:p w:rsidR="00EE2091" w:rsidRDefault="00EE2091" w:rsidP="00EE2091">
      <w:pPr>
        <w:rPr>
          <w:rFonts w:ascii="Arial" w:hAnsi="Arial" w:cs="Arial"/>
          <w:b/>
          <w:bCs/>
        </w:rPr>
      </w:pPr>
    </w:p>
    <w:p w:rsidR="0085530B" w:rsidRDefault="0085530B" w:rsidP="005F144C">
      <w:pPr>
        <w:rPr>
          <w:rFonts w:ascii="Arial" w:hAnsi="Arial" w:cs="Arial"/>
          <w:b/>
          <w:bCs/>
        </w:rPr>
        <w:sectPr w:rsidR="0085530B">
          <w:headerReference w:type="default" r:id="rId10"/>
          <w:footerReference w:type="even" r:id="rId11"/>
          <w:footerReference w:type="default" r:id="rId12"/>
          <w:pgSz w:w="11906" w:h="16838"/>
          <w:pgMar w:top="1417" w:right="1417" w:bottom="1417" w:left="1417" w:header="708" w:footer="708" w:gutter="0"/>
          <w:cols w:space="708"/>
          <w:docGrid w:linePitch="360"/>
        </w:sectPr>
      </w:pPr>
    </w:p>
    <w:p w:rsidR="001D2E59" w:rsidRPr="001D2E59" w:rsidRDefault="001D2E59" w:rsidP="001D2E59">
      <w:pPr>
        <w:widowControl w:val="0"/>
        <w:jc w:val="center"/>
        <w:rPr>
          <w:rFonts w:ascii="Arial" w:hAnsi="Arial"/>
          <w:b/>
          <w:noProof/>
          <w:sz w:val="28"/>
          <w:szCs w:val="20"/>
        </w:rPr>
      </w:pPr>
      <w:r w:rsidRPr="001D2E59">
        <w:rPr>
          <w:rFonts w:ascii="Arial" w:hAnsi="Arial"/>
          <w:b/>
          <w:noProof/>
          <w:sz w:val="28"/>
          <w:szCs w:val="20"/>
        </w:rPr>
        <w:lastRenderedPageBreak/>
        <w:t>Smlouva o poskytnutí příspěvku</w:t>
      </w:r>
    </w:p>
    <w:p w:rsidR="001D2E59" w:rsidRPr="001D2E59" w:rsidRDefault="001D2E59" w:rsidP="001D2E59">
      <w:pPr>
        <w:jc w:val="center"/>
        <w:rPr>
          <w:rFonts w:ascii="Arial" w:hAnsi="Arial"/>
        </w:rPr>
      </w:pPr>
      <w:r w:rsidRPr="001D2E59">
        <w:rPr>
          <w:rFonts w:ascii="Arial" w:hAnsi="Arial"/>
        </w:rPr>
        <w:t>uzavřená dle ustanovení § 269 odst. 2 zákona č. 513/1991 Sb.,</w:t>
      </w:r>
    </w:p>
    <w:p w:rsidR="001D2E59" w:rsidRPr="001D2E59" w:rsidRDefault="001D2E59" w:rsidP="001D2E59">
      <w:pPr>
        <w:jc w:val="center"/>
        <w:rPr>
          <w:rFonts w:ascii="Arial" w:hAnsi="Arial"/>
        </w:rPr>
      </w:pPr>
      <w:r w:rsidRPr="001D2E59">
        <w:rPr>
          <w:rFonts w:ascii="Arial" w:hAnsi="Arial"/>
        </w:rPr>
        <w:t>obchodního zákoníku, v platném znění</w:t>
      </w:r>
    </w:p>
    <w:p w:rsidR="001D2E59" w:rsidRPr="001D2E59" w:rsidRDefault="001D2E59" w:rsidP="001D2E59">
      <w:pPr>
        <w:rPr>
          <w:rFonts w:ascii="Arial" w:hAnsi="Arial"/>
        </w:rPr>
      </w:pPr>
    </w:p>
    <w:p w:rsidR="001D2E59" w:rsidRPr="001D2E59" w:rsidRDefault="001D2E59" w:rsidP="001D2E59">
      <w:pPr>
        <w:rPr>
          <w:rFonts w:ascii="Arial" w:hAnsi="Arial"/>
        </w:rPr>
      </w:pPr>
    </w:p>
    <w:p w:rsidR="001D2E59" w:rsidRPr="001D2E59" w:rsidRDefault="001D2E59" w:rsidP="001D2E59">
      <w:pPr>
        <w:jc w:val="both"/>
        <w:rPr>
          <w:rFonts w:ascii="Arial" w:hAnsi="Arial"/>
        </w:rPr>
      </w:pPr>
      <w:r w:rsidRPr="001D2E59">
        <w:rPr>
          <w:rFonts w:ascii="Arial" w:hAnsi="Arial"/>
          <w:b/>
        </w:rPr>
        <w:t>Olomoucký kraj</w:t>
      </w:r>
    </w:p>
    <w:p w:rsidR="001D2E59" w:rsidRPr="001D2E59" w:rsidRDefault="001D2E59" w:rsidP="001D2E59">
      <w:pPr>
        <w:jc w:val="both"/>
        <w:rPr>
          <w:rFonts w:ascii="Arial" w:hAnsi="Arial"/>
        </w:rPr>
      </w:pPr>
      <w:r w:rsidRPr="001D2E59">
        <w:rPr>
          <w:rFonts w:ascii="Arial" w:hAnsi="Arial"/>
        </w:rPr>
        <w:t xml:space="preserve">Jeremenkova 40a, </w:t>
      </w:r>
      <w:proofErr w:type="gramStart"/>
      <w:r w:rsidRPr="001D2E59">
        <w:rPr>
          <w:rFonts w:ascii="Arial" w:hAnsi="Arial"/>
        </w:rPr>
        <w:t>779 11  Olomouc</w:t>
      </w:r>
      <w:proofErr w:type="gramEnd"/>
    </w:p>
    <w:p w:rsidR="001D2E59" w:rsidRPr="001D2E59" w:rsidRDefault="001D2E59" w:rsidP="001D2E59">
      <w:pPr>
        <w:jc w:val="both"/>
        <w:rPr>
          <w:rFonts w:ascii="Arial" w:hAnsi="Arial"/>
        </w:rPr>
      </w:pPr>
      <w:r w:rsidRPr="001D2E59">
        <w:rPr>
          <w:rFonts w:ascii="Arial" w:hAnsi="Arial"/>
        </w:rPr>
        <w:t>IČ: 60609460</w:t>
      </w:r>
    </w:p>
    <w:p w:rsidR="001D2E59" w:rsidRPr="001D2E59" w:rsidRDefault="001D2E59" w:rsidP="001D2E59">
      <w:pPr>
        <w:jc w:val="both"/>
        <w:rPr>
          <w:rFonts w:ascii="Arial" w:hAnsi="Arial"/>
        </w:rPr>
      </w:pPr>
      <w:r w:rsidRPr="001D2E59">
        <w:rPr>
          <w:rFonts w:ascii="Arial" w:hAnsi="Arial"/>
        </w:rPr>
        <w:t>Zastoupený: Ing. Martinem Tesaříkem, hejtmanem Olomouckého kraje</w:t>
      </w:r>
    </w:p>
    <w:p w:rsidR="001D2E59" w:rsidRPr="001D2E59" w:rsidRDefault="001D2E59" w:rsidP="001D2E59">
      <w:pPr>
        <w:tabs>
          <w:tab w:val="left" w:pos="3960"/>
        </w:tabs>
        <w:rPr>
          <w:rFonts w:ascii="Arial" w:hAnsi="Arial"/>
        </w:rPr>
      </w:pPr>
      <w:r w:rsidRPr="001D2E59">
        <w:rPr>
          <w:rFonts w:ascii="Arial" w:hAnsi="Arial"/>
        </w:rPr>
        <w:t xml:space="preserve">bankovní spojení: č. </w:t>
      </w:r>
      <w:proofErr w:type="spellStart"/>
      <w:r w:rsidRPr="001D2E59">
        <w:rPr>
          <w:rFonts w:ascii="Arial" w:hAnsi="Arial"/>
        </w:rPr>
        <w:t>ú.</w:t>
      </w:r>
      <w:proofErr w:type="spellEnd"/>
      <w:r w:rsidRPr="001D2E59">
        <w:rPr>
          <w:rFonts w:ascii="Arial" w:hAnsi="Arial"/>
        </w:rPr>
        <w:t>: 27-4228330207/0100, Komerční banka, a. s. Olomouc</w:t>
      </w:r>
    </w:p>
    <w:p w:rsidR="001D2E59" w:rsidRPr="001D2E59" w:rsidRDefault="001D2E59" w:rsidP="001D2E59">
      <w:pPr>
        <w:jc w:val="both"/>
        <w:rPr>
          <w:rFonts w:ascii="Arial" w:hAnsi="Arial"/>
        </w:rPr>
      </w:pPr>
      <w:r w:rsidRPr="001D2E59">
        <w:rPr>
          <w:rFonts w:ascii="Arial" w:hAnsi="Arial"/>
        </w:rPr>
        <w:t xml:space="preserve">(dále jen: </w:t>
      </w:r>
      <w:r w:rsidRPr="001D2E59">
        <w:rPr>
          <w:rFonts w:ascii="Arial" w:hAnsi="Arial"/>
          <w:b/>
        </w:rPr>
        <w:t>poskytovatel</w:t>
      </w:r>
      <w:r w:rsidRPr="001D2E59">
        <w:rPr>
          <w:rFonts w:ascii="Arial" w:hAnsi="Arial"/>
        </w:rPr>
        <w:t>)</w:t>
      </w:r>
    </w:p>
    <w:p w:rsidR="001D2E59" w:rsidRPr="001D2E59" w:rsidRDefault="001D2E59" w:rsidP="001D2E59">
      <w:pPr>
        <w:jc w:val="both"/>
        <w:rPr>
          <w:rFonts w:ascii="Arial" w:hAnsi="Arial"/>
          <w:b/>
          <w:sz w:val="16"/>
        </w:rPr>
      </w:pPr>
    </w:p>
    <w:p w:rsidR="001D2E59" w:rsidRPr="001D2E59" w:rsidRDefault="001D2E59" w:rsidP="001D2E59">
      <w:pPr>
        <w:jc w:val="both"/>
        <w:rPr>
          <w:rFonts w:ascii="Arial" w:hAnsi="Arial"/>
          <w:b/>
        </w:rPr>
      </w:pPr>
      <w:r w:rsidRPr="001D2E59">
        <w:rPr>
          <w:rFonts w:ascii="Arial" w:hAnsi="Arial"/>
          <w:b/>
        </w:rPr>
        <w:t>a</w:t>
      </w:r>
    </w:p>
    <w:p w:rsidR="001D2E59" w:rsidRPr="001D2E59" w:rsidRDefault="001D2E59" w:rsidP="001D2E59">
      <w:pPr>
        <w:jc w:val="both"/>
        <w:rPr>
          <w:rFonts w:ascii="Arial" w:hAnsi="Arial"/>
          <w:b/>
          <w:sz w:val="16"/>
        </w:rPr>
      </w:pPr>
    </w:p>
    <w:p w:rsidR="001D2E59" w:rsidRPr="001D2E59" w:rsidRDefault="001D2E59" w:rsidP="001D2E59">
      <w:pPr>
        <w:tabs>
          <w:tab w:val="left" w:pos="3960"/>
        </w:tabs>
        <w:jc w:val="both"/>
        <w:rPr>
          <w:rFonts w:ascii="Arial" w:hAnsi="Arial"/>
          <w:b/>
          <w:dstrike/>
        </w:rPr>
      </w:pPr>
      <w:r w:rsidRPr="001D2E59">
        <w:rPr>
          <w:rFonts w:ascii="Arial" w:hAnsi="Arial"/>
          <w:b/>
        </w:rPr>
        <w:t>RNDr. Ivan Marek</w:t>
      </w:r>
    </w:p>
    <w:p w:rsidR="001D2E59" w:rsidRPr="001D2E59" w:rsidRDefault="001D2E59" w:rsidP="001D2E59">
      <w:pPr>
        <w:tabs>
          <w:tab w:val="left" w:pos="3960"/>
        </w:tabs>
        <w:jc w:val="both"/>
        <w:rPr>
          <w:rFonts w:ascii="Arial" w:hAnsi="Arial"/>
        </w:rPr>
      </w:pPr>
      <w:r w:rsidRPr="001D2E59">
        <w:rPr>
          <w:rFonts w:ascii="Arial" w:hAnsi="Arial"/>
        </w:rPr>
        <w:t>Železniční 469/4</w:t>
      </w:r>
    </w:p>
    <w:p w:rsidR="001D2E59" w:rsidRPr="001D2E59" w:rsidRDefault="001D2E59" w:rsidP="001D2E59">
      <w:pPr>
        <w:tabs>
          <w:tab w:val="left" w:pos="3960"/>
        </w:tabs>
        <w:jc w:val="both"/>
        <w:rPr>
          <w:rFonts w:ascii="Arial" w:hAnsi="Arial"/>
        </w:rPr>
      </w:pPr>
      <w:r w:rsidRPr="001D2E59">
        <w:rPr>
          <w:rFonts w:ascii="Arial" w:hAnsi="Arial"/>
        </w:rPr>
        <w:t xml:space="preserve">779 00  Olomouc - Chválkovice, </w:t>
      </w:r>
    </w:p>
    <w:p w:rsidR="001D2E59" w:rsidRPr="001D2E59" w:rsidRDefault="001D2E59" w:rsidP="001D2E59">
      <w:pPr>
        <w:tabs>
          <w:tab w:val="left" w:pos="3960"/>
        </w:tabs>
        <w:jc w:val="both"/>
        <w:rPr>
          <w:rFonts w:ascii="Arial" w:hAnsi="Arial"/>
        </w:rPr>
      </w:pPr>
      <w:r w:rsidRPr="001D2E59">
        <w:rPr>
          <w:rFonts w:ascii="Arial" w:hAnsi="Arial"/>
        </w:rPr>
        <w:t>IČ: 44903383</w:t>
      </w:r>
    </w:p>
    <w:p w:rsidR="001D2E59" w:rsidRPr="001D2E59" w:rsidRDefault="001D2E59" w:rsidP="001D2E59">
      <w:pPr>
        <w:tabs>
          <w:tab w:val="left" w:pos="3960"/>
        </w:tabs>
        <w:jc w:val="both"/>
        <w:rPr>
          <w:rFonts w:ascii="Arial" w:hAnsi="Arial"/>
        </w:rPr>
      </w:pPr>
      <w:r w:rsidRPr="001D2E59">
        <w:rPr>
          <w:rFonts w:ascii="Arial" w:hAnsi="Arial"/>
        </w:rPr>
        <w:t>DIČ: CZ530523063</w:t>
      </w:r>
    </w:p>
    <w:p w:rsidR="001D2E59" w:rsidRPr="001D2E59" w:rsidRDefault="001D2E59" w:rsidP="001D2E59">
      <w:pPr>
        <w:tabs>
          <w:tab w:val="left" w:pos="1440"/>
          <w:tab w:val="left" w:pos="3960"/>
        </w:tabs>
        <w:jc w:val="both"/>
        <w:rPr>
          <w:rFonts w:ascii="Arial" w:hAnsi="Arial"/>
        </w:rPr>
      </w:pPr>
      <w:r w:rsidRPr="001D2E59">
        <w:rPr>
          <w:rFonts w:ascii="Arial" w:hAnsi="Arial"/>
        </w:rPr>
        <w:t>Zastoupený:</w:t>
      </w:r>
      <w:r w:rsidRPr="001D2E59">
        <w:rPr>
          <w:rFonts w:ascii="Arial" w:hAnsi="Arial"/>
        </w:rPr>
        <w:tab/>
        <w:t>RNDr. Ivanem Markem</w:t>
      </w:r>
    </w:p>
    <w:p w:rsidR="001D2E59" w:rsidRPr="001D2E59" w:rsidRDefault="001D2E59" w:rsidP="001D2E59">
      <w:pPr>
        <w:tabs>
          <w:tab w:val="left" w:pos="3960"/>
        </w:tabs>
        <w:jc w:val="both"/>
        <w:rPr>
          <w:rFonts w:ascii="Arial" w:hAnsi="Arial"/>
        </w:rPr>
      </w:pPr>
      <w:r w:rsidRPr="001D2E59">
        <w:rPr>
          <w:rFonts w:ascii="Arial" w:hAnsi="Arial"/>
        </w:rPr>
        <w:t>bankovní spojení: Komerční banka Olomouc</w:t>
      </w:r>
    </w:p>
    <w:p w:rsidR="001D2E59" w:rsidRPr="001D2E59" w:rsidRDefault="001D2E59" w:rsidP="001D2E59">
      <w:pPr>
        <w:tabs>
          <w:tab w:val="left" w:pos="3960"/>
        </w:tabs>
        <w:jc w:val="both"/>
        <w:rPr>
          <w:rFonts w:ascii="Arial" w:hAnsi="Arial"/>
        </w:rPr>
      </w:pPr>
      <w:r w:rsidRPr="001D2E59">
        <w:rPr>
          <w:rFonts w:ascii="Arial" w:hAnsi="Arial"/>
        </w:rPr>
        <w:t xml:space="preserve">č. </w:t>
      </w:r>
      <w:proofErr w:type="spellStart"/>
      <w:r w:rsidRPr="001D2E59">
        <w:rPr>
          <w:rFonts w:ascii="Arial" w:hAnsi="Arial"/>
        </w:rPr>
        <w:t>ú.</w:t>
      </w:r>
      <w:proofErr w:type="spellEnd"/>
      <w:r w:rsidRPr="001D2E59">
        <w:rPr>
          <w:rFonts w:ascii="Arial" w:hAnsi="Arial"/>
        </w:rPr>
        <w:t>: 35-7974110277/0100</w:t>
      </w:r>
    </w:p>
    <w:p w:rsidR="001D2E59" w:rsidRPr="001D2E59" w:rsidRDefault="001D2E59" w:rsidP="001D2E59">
      <w:pPr>
        <w:jc w:val="both"/>
        <w:rPr>
          <w:rFonts w:ascii="Arial" w:hAnsi="Arial"/>
        </w:rPr>
      </w:pPr>
      <w:r w:rsidRPr="001D2E59">
        <w:rPr>
          <w:rFonts w:ascii="Arial" w:hAnsi="Arial"/>
        </w:rPr>
        <w:t xml:space="preserve">(dále jen: </w:t>
      </w:r>
      <w:r w:rsidRPr="001D2E59">
        <w:rPr>
          <w:rFonts w:ascii="Arial" w:hAnsi="Arial"/>
          <w:b/>
        </w:rPr>
        <w:t>příjemce</w:t>
      </w:r>
      <w:r w:rsidRPr="001D2E59">
        <w:rPr>
          <w:rFonts w:ascii="Arial" w:hAnsi="Arial"/>
        </w:rPr>
        <w:t>)</w:t>
      </w:r>
    </w:p>
    <w:p w:rsidR="001D2E59" w:rsidRPr="001D2E59" w:rsidRDefault="001D2E59" w:rsidP="001D2E59">
      <w:pPr>
        <w:jc w:val="both"/>
        <w:rPr>
          <w:rFonts w:ascii="Arial" w:hAnsi="Arial"/>
          <w:sz w:val="16"/>
        </w:rPr>
      </w:pPr>
    </w:p>
    <w:p w:rsidR="001D2E59" w:rsidRPr="001D2E59" w:rsidRDefault="001D2E59" w:rsidP="001D2E59">
      <w:pPr>
        <w:jc w:val="both"/>
        <w:rPr>
          <w:rFonts w:ascii="Arial" w:hAnsi="Arial"/>
          <w:sz w:val="16"/>
        </w:rPr>
      </w:pPr>
    </w:p>
    <w:p w:rsidR="001D2E59" w:rsidRPr="001D2E59" w:rsidRDefault="001D2E59" w:rsidP="001D2E59">
      <w:pPr>
        <w:jc w:val="center"/>
        <w:rPr>
          <w:rFonts w:ascii="Arial" w:hAnsi="Arial"/>
        </w:rPr>
      </w:pPr>
      <w:r w:rsidRPr="001D2E59">
        <w:rPr>
          <w:rFonts w:ascii="Arial" w:hAnsi="Arial"/>
        </w:rPr>
        <w:t>uzavírají níže uvedeného dne, měsíce a roku,</w:t>
      </w:r>
    </w:p>
    <w:p w:rsidR="001D2E59" w:rsidRPr="001D2E59" w:rsidRDefault="001D2E59" w:rsidP="001D2E59">
      <w:pPr>
        <w:jc w:val="center"/>
        <w:rPr>
          <w:rFonts w:ascii="Arial" w:hAnsi="Arial"/>
        </w:rPr>
      </w:pPr>
      <w:r w:rsidRPr="001D2E59">
        <w:rPr>
          <w:rFonts w:ascii="Arial" w:hAnsi="Arial"/>
        </w:rPr>
        <w:t>tuto smlouvu o poskytnutí příspěvku:</w:t>
      </w:r>
    </w:p>
    <w:p w:rsidR="001D2E59" w:rsidRPr="001D2E59" w:rsidRDefault="001D2E59" w:rsidP="001D2E59">
      <w:pPr>
        <w:rPr>
          <w:rFonts w:ascii="Arial" w:hAnsi="Arial"/>
        </w:rPr>
      </w:pPr>
    </w:p>
    <w:p w:rsidR="001D2E59" w:rsidRPr="001D2E59" w:rsidRDefault="001D2E59" w:rsidP="001D2E59">
      <w:pPr>
        <w:keepNext/>
        <w:jc w:val="center"/>
        <w:outlineLvl w:val="2"/>
        <w:rPr>
          <w:rFonts w:ascii="Arial" w:hAnsi="Arial" w:cs="Arial"/>
          <w:b/>
          <w:bCs/>
          <w:sz w:val="20"/>
          <w:szCs w:val="20"/>
        </w:rPr>
      </w:pPr>
      <w:r w:rsidRPr="001D2E59">
        <w:rPr>
          <w:rFonts w:ascii="Arial" w:hAnsi="Arial" w:cs="Arial"/>
          <w:b/>
          <w:bCs/>
        </w:rPr>
        <w:t>I</w:t>
      </w:r>
      <w:r w:rsidRPr="001D2E59">
        <w:rPr>
          <w:rFonts w:ascii="Arial" w:hAnsi="Arial" w:cs="Arial"/>
          <w:b/>
          <w:bCs/>
          <w:sz w:val="20"/>
          <w:szCs w:val="20"/>
        </w:rPr>
        <w:t>.</w:t>
      </w:r>
    </w:p>
    <w:p w:rsidR="001D2E59" w:rsidRPr="001D2E59" w:rsidRDefault="001D2E59" w:rsidP="001D2E59">
      <w:pPr>
        <w:jc w:val="center"/>
        <w:rPr>
          <w:rFonts w:ascii="Arial" w:hAnsi="Arial"/>
          <w:b/>
        </w:rPr>
      </w:pPr>
      <w:r w:rsidRPr="001D2E59">
        <w:rPr>
          <w:rFonts w:ascii="Arial" w:hAnsi="Arial"/>
          <w:b/>
        </w:rPr>
        <w:t>Účel poskytnutí příspěvku</w:t>
      </w:r>
    </w:p>
    <w:p w:rsidR="001D2E59" w:rsidRPr="001D2E59" w:rsidRDefault="001D2E59" w:rsidP="001D2E59">
      <w:pPr>
        <w:jc w:val="center"/>
        <w:rPr>
          <w:rFonts w:ascii="Arial" w:hAnsi="Arial"/>
          <w:b/>
          <w:sz w:val="16"/>
        </w:rPr>
      </w:pPr>
    </w:p>
    <w:p w:rsidR="001D2E59" w:rsidRPr="001D2E59" w:rsidRDefault="001D2E59" w:rsidP="001D2E59">
      <w:pPr>
        <w:widowControl w:val="0"/>
        <w:numPr>
          <w:ilvl w:val="0"/>
          <w:numId w:val="13"/>
        </w:numPr>
        <w:tabs>
          <w:tab w:val="num" w:pos="360"/>
        </w:tabs>
        <w:spacing w:after="120"/>
        <w:ind w:left="360" w:hanging="360"/>
        <w:jc w:val="both"/>
        <w:outlineLvl w:val="0"/>
        <w:rPr>
          <w:rFonts w:ascii="Arial" w:hAnsi="Arial"/>
          <w:i/>
          <w:noProof/>
          <w:szCs w:val="20"/>
        </w:rPr>
      </w:pPr>
      <w:r w:rsidRPr="001D2E59">
        <w:rPr>
          <w:rFonts w:ascii="Arial" w:hAnsi="Arial"/>
          <w:noProof/>
          <w:szCs w:val="20"/>
        </w:rPr>
        <w:t>Poskytovatel se na základě této smlouvy zavazuje poskytnout příjemci příspěvek ve výši 310 700 Kč, slovy: třistadesettisícsedmsetkorunčeských (dále jen: příspěvek)</w:t>
      </w:r>
    </w:p>
    <w:p w:rsidR="001D2E59" w:rsidRPr="001D2E59" w:rsidRDefault="001D2E59" w:rsidP="001D2E59">
      <w:pPr>
        <w:widowControl w:val="0"/>
        <w:numPr>
          <w:ilvl w:val="0"/>
          <w:numId w:val="13"/>
        </w:numPr>
        <w:tabs>
          <w:tab w:val="num" w:pos="360"/>
        </w:tabs>
        <w:spacing w:after="120"/>
        <w:ind w:left="360" w:hanging="360"/>
        <w:jc w:val="both"/>
        <w:outlineLvl w:val="0"/>
        <w:rPr>
          <w:rFonts w:ascii="Arial" w:hAnsi="Arial"/>
          <w:noProof/>
          <w:szCs w:val="20"/>
        </w:rPr>
      </w:pPr>
      <w:r w:rsidRPr="001D2E59">
        <w:rPr>
          <w:rFonts w:ascii="Arial" w:hAnsi="Arial"/>
          <w:noProof/>
          <w:szCs w:val="20"/>
        </w:rPr>
        <w:t>Účelem poskytnutí příspěvku je zajištění fungování produktu „Olomouc region Card“ (dále také „produkt ORC“) v období 1. 1. 2011 – 31. 12. 2011 dle přiložené finanční rozvahy (příloha č. 2). Příjemce je oprávněn příspěvek použít pouze na úhradu nákladů spojených se zajištěním činností uvedených v čl. III. této smlouvy.</w:t>
      </w:r>
    </w:p>
    <w:p w:rsidR="001D2E59" w:rsidRPr="001D2E59" w:rsidRDefault="001D2E59" w:rsidP="001D2E59">
      <w:pPr>
        <w:widowControl w:val="0"/>
        <w:numPr>
          <w:ilvl w:val="0"/>
          <w:numId w:val="13"/>
        </w:numPr>
        <w:tabs>
          <w:tab w:val="num" w:pos="360"/>
        </w:tabs>
        <w:spacing w:after="120"/>
        <w:ind w:left="360" w:hanging="360"/>
        <w:jc w:val="both"/>
        <w:outlineLvl w:val="0"/>
        <w:rPr>
          <w:rFonts w:ascii="Arial" w:hAnsi="Arial"/>
          <w:noProof/>
          <w:szCs w:val="20"/>
        </w:rPr>
      </w:pPr>
      <w:r w:rsidRPr="001D2E59">
        <w:rPr>
          <w:rFonts w:ascii="Arial" w:hAnsi="Arial"/>
          <w:noProof/>
          <w:szCs w:val="20"/>
        </w:rPr>
        <w:t xml:space="preserve">Příspěvek bude poskytnut převodem na bankovní účet příjemce uvedený v záhlaví této smlouvy ve dvou splátkách následovně: 150 000 Kč (slovy: jednostopadesáttisíckorunčeských) do 31. 1. 2011 a 160 700 Kč (slovy: jednostošedesáttisícsedmsetkorunčeských) do 31. 5. 2011. Dnem poskytnutí příspěvku je den odepsání finančních prostředků z účtu poskytovatele. </w:t>
      </w:r>
    </w:p>
    <w:p w:rsidR="001D2E59" w:rsidRPr="001D2E59" w:rsidRDefault="001D2E59" w:rsidP="001D2E59">
      <w:pPr>
        <w:widowControl w:val="0"/>
        <w:numPr>
          <w:ilvl w:val="0"/>
          <w:numId w:val="13"/>
        </w:numPr>
        <w:tabs>
          <w:tab w:val="num" w:pos="360"/>
        </w:tabs>
        <w:spacing w:after="120"/>
        <w:ind w:left="360" w:hanging="360"/>
        <w:jc w:val="both"/>
        <w:outlineLvl w:val="0"/>
        <w:rPr>
          <w:rFonts w:ascii="Arial" w:hAnsi="Arial"/>
          <w:i/>
          <w:noProof/>
          <w:szCs w:val="20"/>
        </w:rPr>
      </w:pPr>
      <w:r w:rsidRPr="001D2E59">
        <w:rPr>
          <w:rFonts w:ascii="Arial" w:hAnsi="Arial"/>
          <w:noProof/>
          <w:szCs w:val="20"/>
        </w:rPr>
        <w:t>Příspěvek se poskytuje na účel stanovený v čl. I. odst. 2 této smlouvy jako příspěvek neinvestiční.</w:t>
      </w:r>
    </w:p>
    <w:p w:rsidR="001D2E59" w:rsidRPr="001D2E59" w:rsidRDefault="001D2E59" w:rsidP="001D2E59">
      <w:pPr>
        <w:spacing w:after="120"/>
        <w:ind w:left="360"/>
        <w:jc w:val="both"/>
        <w:rPr>
          <w:rFonts w:ascii="Arial" w:hAnsi="Arial" w:cs="Arial"/>
        </w:rPr>
      </w:pPr>
      <w:r w:rsidRPr="001D2E59">
        <w:rPr>
          <w:rFonts w:ascii="Arial" w:hAnsi="Arial" w:cs="Arial"/>
        </w:rPr>
        <w:t>Pro účely této smlouvy se neinvestičním příspěvkem rozumí příspěvek, který musí být použit na úhradu jiných výdajů než:</w:t>
      </w:r>
    </w:p>
    <w:p w:rsidR="001D2E59" w:rsidRPr="001D2E59" w:rsidRDefault="001D2E59" w:rsidP="001D2E59">
      <w:pPr>
        <w:tabs>
          <w:tab w:val="left" w:pos="720"/>
        </w:tabs>
        <w:spacing w:after="120"/>
        <w:ind w:left="720" w:hanging="360"/>
        <w:jc w:val="both"/>
        <w:rPr>
          <w:rFonts w:ascii="Arial" w:hAnsi="Arial" w:cs="Arial"/>
        </w:rPr>
      </w:pPr>
      <w:r w:rsidRPr="001D2E59">
        <w:rPr>
          <w:rFonts w:ascii="Arial" w:hAnsi="Arial" w:cs="Arial"/>
        </w:rPr>
        <w:lastRenderedPageBreak/>
        <w:t>a)</w:t>
      </w:r>
      <w:r w:rsidRPr="001D2E59">
        <w:rPr>
          <w:rFonts w:ascii="Arial" w:hAnsi="Arial" w:cs="Arial"/>
        </w:rPr>
        <w:tab/>
        <w:t xml:space="preserve">výdajů spojených s pořízením hmotného majetku dle § 26 odst. 2 zákona </w:t>
      </w:r>
      <w:r w:rsidRPr="001D2E59">
        <w:rPr>
          <w:rFonts w:ascii="Arial" w:hAnsi="Arial" w:cs="Arial"/>
        </w:rPr>
        <w:br/>
        <w:t xml:space="preserve">č. 586/1992 Sb., o daních z příjmů, ve znění pozdějších předpisů (dále jen „cit. </w:t>
      </w:r>
      <w:proofErr w:type="gramStart"/>
      <w:r w:rsidRPr="001D2E59">
        <w:rPr>
          <w:rFonts w:ascii="Arial" w:hAnsi="Arial" w:cs="Arial"/>
        </w:rPr>
        <w:t>zákona</w:t>
      </w:r>
      <w:proofErr w:type="gramEnd"/>
      <w:r w:rsidRPr="001D2E59">
        <w:rPr>
          <w:rFonts w:ascii="Arial" w:hAnsi="Arial" w:cs="Arial"/>
        </w:rPr>
        <w:t xml:space="preserve">“), </w:t>
      </w:r>
    </w:p>
    <w:p w:rsidR="001D2E59" w:rsidRPr="001D2E59" w:rsidRDefault="001D2E59" w:rsidP="001D2E59">
      <w:pPr>
        <w:tabs>
          <w:tab w:val="left" w:pos="720"/>
        </w:tabs>
        <w:spacing w:after="120"/>
        <w:ind w:left="720" w:hanging="360"/>
        <w:jc w:val="both"/>
        <w:rPr>
          <w:rFonts w:ascii="Arial" w:hAnsi="Arial" w:cs="Arial"/>
        </w:rPr>
      </w:pPr>
      <w:r w:rsidRPr="001D2E59">
        <w:rPr>
          <w:rFonts w:ascii="Arial" w:hAnsi="Arial" w:cs="Arial"/>
        </w:rPr>
        <w:t>b)</w:t>
      </w:r>
      <w:r w:rsidRPr="001D2E59">
        <w:rPr>
          <w:rFonts w:ascii="Arial" w:hAnsi="Arial" w:cs="Arial"/>
        </w:rPr>
        <w:tab/>
        <w:t xml:space="preserve">výdajů spojených s pořízením nehmotného majetku dle § 32a odst. 1 a 2 cit. </w:t>
      </w:r>
      <w:proofErr w:type="gramStart"/>
      <w:r w:rsidRPr="001D2E59">
        <w:rPr>
          <w:rFonts w:ascii="Arial" w:hAnsi="Arial" w:cs="Arial"/>
        </w:rPr>
        <w:t>zákona</w:t>
      </w:r>
      <w:proofErr w:type="gramEnd"/>
      <w:r w:rsidRPr="001D2E59">
        <w:rPr>
          <w:rFonts w:ascii="Arial" w:hAnsi="Arial" w:cs="Arial"/>
        </w:rPr>
        <w:t>,</w:t>
      </w:r>
    </w:p>
    <w:p w:rsidR="001D2E59" w:rsidRPr="001D2E59" w:rsidRDefault="001D2E59" w:rsidP="001D2E59">
      <w:pPr>
        <w:tabs>
          <w:tab w:val="left" w:pos="720"/>
        </w:tabs>
        <w:spacing w:after="120"/>
        <w:ind w:left="720" w:hanging="360"/>
        <w:jc w:val="both"/>
        <w:rPr>
          <w:rFonts w:ascii="Arial" w:hAnsi="Arial" w:cs="Arial"/>
        </w:rPr>
      </w:pPr>
      <w:r w:rsidRPr="001D2E59">
        <w:rPr>
          <w:rFonts w:ascii="Arial" w:hAnsi="Arial" w:cs="Arial"/>
        </w:rPr>
        <w:t>c)</w:t>
      </w:r>
      <w:r w:rsidRPr="001D2E59">
        <w:rPr>
          <w:rFonts w:ascii="Arial" w:hAnsi="Arial" w:cs="Arial"/>
        </w:rPr>
        <w:tab/>
        <w:t xml:space="preserve">výdajů spojených s technickým zhodnocením, rekonstrukcí a modernizací ve smyslu § 33 cit. </w:t>
      </w:r>
      <w:proofErr w:type="gramStart"/>
      <w:r w:rsidRPr="001D2E59">
        <w:rPr>
          <w:rFonts w:ascii="Arial" w:hAnsi="Arial" w:cs="Arial"/>
        </w:rPr>
        <w:t>zákona</w:t>
      </w:r>
      <w:proofErr w:type="gramEnd"/>
      <w:r w:rsidRPr="001D2E59">
        <w:rPr>
          <w:rFonts w:ascii="Arial" w:hAnsi="Arial" w:cs="Arial"/>
        </w:rPr>
        <w:t>.</w:t>
      </w:r>
    </w:p>
    <w:p w:rsidR="001D2E59" w:rsidRPr="001D2E59" w:rsidRDefault="001D2E59" w:rsidP="001D2E59">
      <w:pPr>
        <w:ind w:left="-73"/>
        <w:jc w:val="both"/>
        <w:rPr>
          <w:rFonts w:ascii="Arial" w:hAnsi="Arial"/>
        </w:rPr>
      </w:pPr>
    </w:p>
    <w:p w:rsidR="001D2E59" w:rsidRPr="001D2E59" w:rsidRDefault="001D2E59" w:rsidP="001D2E59">
      <w:pPr>
        <w:keepNext/>
        <w:tabs>
          <w:tab w:val="left" w:pos="360"/>
        </w:tabs>
        <w:ind w:left="360" w:hanging="433"/>
        <w:jc w:val="center"/>
        <w:outlineLvl w:val="2"/>
        <w:rPr>
          <w:rFonts w:ascii="Arial" w:hAnsi="Arial" w:cs="Arial"/>
          <w:b/>
          <w:bCs/>
        </w:rPr>
      </w:pPr>
      <w:r w:rsidRPr="001D2E59">
        <w:rPr>
          <w:rFonts w:ascii="Arial" w:hAnsi="Arial" w:cs="Arial"/>
          <w:b/>
          <w:bCs/>
        </w:rPr>
        <w:t>II.</w:t>
      </w:r>
    </w:p>
    <w:p w:rsidR="001D2E59" w:rsidRPr="001D2E59" w:rsidRDefault="001D2E59" w:rsidP="001D2E59">
      <w:pPr>
        <w:keepNext/>
        <w:jc w:val="center"/>
        <w:outlineLvl w:val="1"/>
        <w:rPr>
          <w:rFonts w:ascii="Arial" w:hAnsi="Arial"/>
          <w:b/>
        </w:rPr>
      </w:pPr>
      <w:r w:rsidRPr="001D2E59">
        <w:rPr>
          <w:rFonts w:ascii="Arial" w:hAnsi="Arial"/>
          <w:b/>
        </w:rPr>
        <w:t xml:space="preserve">Vymezení pojmů – „Olomouc region </w:t>
      </w:r>
      <w:proofErr w:type="spellStart"/>
      <w:r w:rsidRPr="001D2E59">
        <w:rPr>
          <w:rFonts w:ascii="Arial" w:hAnsi="Arial"/>
          <w:b/>
        </w:rPr>
        <w:t>Card</w:t>
      </w:r>
      <w:proofErr w:type="spellEnd"/>
      <w:r w:rsidRPr="001D2E59">
        <w:rPr>
          <w:rFonts w:ascii="Arial" w:hAnsi="Arial"/>
          <w:b/>
        </w:rPr>
        <w:t>“</w:t>
      </w:r>
    </w:p>
    <w:p w:rsidR="001D2E59" w:rsidRPr="001D2E59" w:rsidRDefault="001D2E59" w:rsidP="001D2E59">
      <w:pPr>
        <w:jc w:val="both"/>
        <w:rPr>
          <w:rFonts w:ascii="Arial" w:hAnsi="Arial"/>
          <w:sz w:val="16"/>
        </w:rPr>
      </w:pPr>
    </w:p>
    <w:p w:rsidR="001D2E59" w:rsidRPr="001D2E59" w:rsidRDefault="001D2E59" w:rsidP="001D2E59">
      <w:pPr>
        <w:numPr>
          <w:ilvl w:val="0"/>
          <w:numId w:val="29"/>
        </w:numPr>
        <w:tabs>
          <w:tab w:val="num" w:pos="360"/>
        </w:tabs>
        <w:spacing w:after="120"/>
        <w:ind w:left="360"/>
        <w:jc w:val="both"/>
        <w:rPr>
          <w:rFonts w:ascii="Arial" w:hAnsi="Arial"/>
        </w:rPr>
      </w:pPr>
      <w:r w:rsidRPr="001D2E59">
        <w:rPr>
          <w:rFonts w:ascii="Arial" w:hAnsi="Arial"/>
        </w:rPr>
        <w:t xml:space="preserve">„Olomouc region </w:t>
      </w:r>
      <w:proofErr w:type="spellStart"/>
      <w:r w:rsidRPr="001D2E59">
        <w:rPr>
          <w:rFonts w:ascii="Arial" w:hAnsi="Arial"/>
          <w:color w:val="000000"/>
        </w:rPr>
        <w:t>Card</w:t>
      </w:r>
      <w:proofErr w:type="spellEnd"/>
      <w:r w:rsidRPr="001D2E59">
        <w:rPr>
          <w:rFonts w:ascii="Arial" w:hAnsi="Arial"/>
          <w:color w:val="000000"/>
        </w:rPr>
        <w:t>“ je</w:t>
      </w:r>
      <w:r w:rsidRPr="001D2E59">
        <w:rPr>
          <w:rFonts w:ascii="Arial" w:hAnsi="Arial"/>
        </w:rPr>
        <w:t xml:space="preserve"> </w:t>
      </w:r>
      <w:r w:rsidRPr="001D2E59">
        <w:rPr>
          <w:rFonts w:ascii="Arial" w:hAnsi="Arial"/>
          <w:u w:val="single"/>
        </w:rPr>
        <w:t>regionální turistický produkt</w:t>
      </w:r>
      <w:r w:rsidRPr="001D2E59">
        <w:rPr>
          <w:rFonts w:ascii="Arial" w:hAnsi="Arial"/>
          <w:color w:val="800080"/>
          <w:u w:val="single"/>
        </w:rPr>
        <w:t xml:space="preserve">, </w:t>
      </w:r>
      <w:r w:rsidRPr="001D2E59">
        <w:rPr>
          <w:rFonts w:ascii="Arial" w:hAnsi="Arial"/>
          <w:color w:val="000000"/>
          <w:u w:val="single"/>
        </w:rPr>
        <w:t>který navazuje na</w:t>
      </w:r>
      <w:r w:rsidRPr="001D2E59">
        <w:rPr>
          <w:rFonts w:ascii="Arial" w:hAnsi="Arial"/>
          <w:color w:val="800080"/>
          <w:u w:val="single"/>
        </w:rPr>
        <w:t xml:space="preserve"> </w:t>
      </w:r>
      <w:r w:rsidRPr="001D2E59">
        <w:rPr>
          <w:rFonts w:ascii="Arial" w:hAnsi="Arial"/>
          <w:color w:val="000000"/>
          <w:u w:val="single"/>
        </w:rPr>
        <w:t xml:space="preserve">produkt „Olomouc </w:t>
      </w:r>
      <w:proofErr w:type="spellStart"/>
      <w:r w:rsidRPr="001D2E59">
        <w:rPr>
          <w:rFonts w:ascii="Arial" w:hAnsi="Arial"/>
          <w:color w:val="000000"/>
          <w:u w:val="single"/>
        </w:rPr>
        <w:t>Card</w:t>
      </w:r>
      <w:proofErr w:type="spellEnd"/>
      <w:r w:rsidRPr="001D2E59">
        <w:rPr>
          <w:rFonts w:ascii="Arial" w:hAnsi="Arial"/>
          <w:color w:val="000000"/>
          <w:u w:val="single"/>
        </w:rPr>
        <w:t>“,</w:t>
      </w:r>
      <w:r w:rsidRPr="001D2E59">
        <w:rPr>
          <w:rFonts w:ascii="Arial" w:hAnsi="Arial"/>
          <w:color w:val="800080"/>
        </w:rPr>
        <w:t xml:space="preserve"> </w:t>
      </w:r>
      <w:r w:rsidRPr="001D2E59">
        <w:rPr>
          <w:rFonts w:ascii="Arial" w:hAnsi="Arial"/>
        </w:rPr>
        <w:t xml:space="preserve">zajišťující návštěvníkům města Olomouce i celého Olomouckého kraje zvýhodněné vstupné do zapojených památek a dále i slevy </w:t>
      </w:r>
      <w:r w:rsidRPr="001D2E59">
        <w:rPr>
          <w:rFonts w:ascii="Arial" w:hAnsi="Arial"/>
        </w:rPr>
        <w:br/>
        <w:t xml:space="preserve">u zapojených subjektů cestovního ruchu. V rámci produktu fungují čtyři typy karet (dva typy pro dospělé: 48 hodinová karta a 5 denní karta, dva typy pro děti: </w:t>
      </w:r>
      <w:r w:rsidRPr="001D2E59">
        <w:rPr>
          <w:rFonts w:ascii="Arial" w:hAnsi="Arial"/>
        </w:rPr>
        <w:br/>
        <w:t xml:space="preserve">48 hodinová karta a 5 denní karta). </w:t>
      </w:r>
    </w:p>
    <w:p w:rsidR="001D2E59" w:rsidRPr="001D2E59" w:rsidRDefault="001D2E59" w:rsidP="001D2E59">
      <w:pPr>
        <w:widowControl w:val="0"/>
        <w:numPr>
          <w:ilvl w:val="0"/>
          <w:numId w:val="5"/>
        </w:numPr>
        <w:tabs>
          <w:tab w:val="num" w:pos="360"/>
        </w:tabs>
        <w:spacing w:after="120"/>
        <w:ind w:left="360"/>
        <w:jc w:val="both"/>
        <w:rPr>
          <w:rFonts w:ascii="Arial" w:hAnsi="Arial"/>
          <w:noProof/>
        </w:rPr>
      </w:pPr>
      <w:r w:rsidRPr="001D2E59">
        <w:rPr>
          <w:rFonts w:ascii="Arial" w:hAnsi="Arial"/>
          <w:noProof/>
        </w:rPr>
        <w:t>Turistická karta „Olomouc region Card“ se skládá ze dvou základních částí – vlastní karty a tzv. informační brožury.</w:t>
      </w:r>
    </w:p>
    <w:p w:rsidR="001D2E59" w:rsidRPr="001D2E59" w:rsidRDefault="001D2E59" w:rsidP="001D2E59">
      <w:pPr>
        <w:widowControl w:val="0"/>
        <w:numPr>
          <w:ilvl w:val="0"/>
          <w:numId w:val="5"/>
        </w:numPr>
        <w:tabs>
          <w:tab w:val="num" w:pos="360"/>
        </w:tabs>
        <w:spacing w:after="120"/>
        <w:ind w:left="360"/>
        <w:jc w:val="both"/>
        <w:rPr>
          <w:rFonts w:ascii="Arial" w:hAnsi="Arial"/>
          <w:noProof/>
        </w:rPr>
      </w:pPr>
      <w:r w:rsidRPr="001D2E59">
        <w:rPr>
          <w:rFonts w:ascii="Arial" w:hAnsi="Arial"/>
          <w:noProof/>
        </w:rPr>
        <w:t xml:space="preserve">Vlastní karta je označena dle typu karty - tj. jako 48 hodinová či 5 denní a je zde uvedena i další specifikace, pro koho je určena –  pro dítě nebo dospělého. </w:t>
      </w:r>
      <w:r w:rsidRPr="001D2E59">
        <w:rPr>
          <w:rFonts w:ascii="Arial" w:hAnsi="Arial"/>
          <w:noProof/>
        </w:rPr>
        <w:br/>
        <w:t>U dítěte je na zadní straně karty - u podpisu držitele karty možný i podpis doprovodu vzhledem k tomu, že karta je určena pro děti 0 – 15 let.</w:t>
      </w:r>
    </w:p>
    <w:p w:rsidR="001D2E59" w:rsidRPr="001D2E59" w:rsidRDefault="001D2E59" w:rsidP="001D2E59">
      <w:pPr>
        <w:widowControl w:val="0"/>
        <w:numPr>
          <w:ilvl w:val="0"/>
          <w:numId w:val="5"/>
        </w:numPr>
        <w:tabs>
          <w:tab w:val="num" w:pos="360"/>
        </w:tabs>
        <w:spacing w:after="120"/>
        <w:ind w:left="360"/>
        <w:jc w:val="both"/>
        <w:rPr>
          <w:rFonts w:ascii="Arial" w:hAnsi="Arial"/>
          <w:noProof/>
        </w:rPr>
      </w:pPr>
      <w:r w:rsidRPr="001D2E59">
        <w:rPr>
          <w:rFonts w:ascii="Arial" w:hAnsi="Arial"/>
          <w:noProof/>
        </w:rPr>
        <w:t xml:space="preserve">Informační brožura obsahuje informace pro držitele karty (přehled subjektů poskytujících slevu či volný vstup, seznam prodejních míst), vč. pravidel, jak kartu správně používat. Dále obsahuje přesnou definici pojmu – dospělý – dítě. U dítěte </w:t>
      </w:r>
      <w:r w:rsidRPr="001D2E59">
        <w:rPr>
          <w:rFonts w:ascii="Arial" w:hAnsi="Arial"/>
          <w:b/>
          <w:noProof/>
        </w:rPr>
        <w:t>– dítě od 0 do 15 let</w:t>
      </w:r>
      <w:r w:rsidRPr="001D2E59">
        <w:rPr>
          <w:rFonts w:ascii="Arial" w:hAnsi="Arial"/>
          <w:noProof/>
        </w:rPr>
        <w:t xml:space="preserve"> – tj. do dovršení věku 15-ti let.</w:t>
      </w:r>
    </w:p>
    <w:p w:rsidR="001D2E59" w:rsidRPr="001D2E59" w:rsidRDefault="001D2E59" w:rsidP="001D2E59">
      <w:pPr>
        <w:widowControl w:val="0"/>
        <w:numPr>
          <w:ilvl w:val="0"/>
          <w:numId w:val="5"/>
        </w:numPr>
        <w:tabs>
          <w:tab w:val="num" w:pos="360"/>
        </w:tabs>
        <w:spacing w:after="120"/>
        <w:ind w:left="360"/>
        <w:jc w:val="both"/>
        <w:rPr>
          <w:rFonts w:ascii="Arial" w:hAnsi="Arial"/>
          <w:noProof/>
          <w:u w:val="single"/>
        </w:rPr>
      </w:pPr>
      <w:r w:rsidRPr="001D2E59">
        <w:rPr>
          <w:rFonts w:ascii="Arial" w:hAnsi="Arial"/>
          <w:noProof/>
        </w:rPr>
        <w:t xml:space="preserve">Přesná definice platnosti karty:  </w:t>
      </w:r>
    </w:p>
    <w:p w:rsidR="001D2E59" w:rsidRPr="001D2E59" w:rsidRDefault="001D2E59" w:rsidP="001D2E59">
      <w:pPr>
        <w:widowControl w:val="0"/>
        <w:numPr>
          <w:ilvl w:val="1"/>
          <w:numId w:val="5"/>
        </w:numPr>
        <w:tabs>
          <w:tab w:val="num" w:pos="720"/>
        </w:tabs>
        <w:spacing w:after="120"/>
        <w:ind w:left="720"/>
        <w:jc w:val="both"/>
        <w:rPr>
          <w:rFonts w:ascii="Arial" w:hAnsi="Arial"/>
          <w:noProof/>
        </w:rPr>
      </w:pPr>
      <w:r w:rsidRPr="001D2E59">
        <w:rPr>
          <w:rFonts w:ascii="Arial" w:hAnsi="Arial"/>
          <w:b/>
          <w:noProof/>
        </w:rPr>
        <w:t xml:space="preserve">48 hodinová karta – </w:t>
      </w:r>
      <w:r w:rsidRPr="001D2E59">
        <w:rPr>
          <w:rFonts w:ascii="Arial" w:hAnsi="Arial"/>
          <w:noProof/>
        </w:rPr>
        <w:t>platí 48 hodin bezprostředně po sobě následujících od data a hodiny označení karty, tj. vepsáním data, hodiny a podepsáním karty držitelem.</w:t>
      </w:r>
    </w:p>
    <w:p w:rsidR="001D2E59" w:rsidRPr="001D2E59" w:rsidRDefault="001D2E59" w:rsidP="001D2E59">
      <w:pPr>
        <w:widowControl w:val="0"/>
        <w:numPr>
          <w:ilvl w:val="1"/>
          <w:numId w:val="5"/>
        </w:numPr>
        <w:tabs>
          <w:tab w:val="num" w:pos="720"/>
        </w:tabs>
        <w:spacing w:after="120"/>
        <w:ind w:left="720"/>
        <w:jc w:val="both"/>
        <w:rPr>
          <w:rFonts w:ascii="Arial" w:hAnsi="Arial"/>
          <w:noProof/>
        </w:rPr>
      </w:pPr>
      <w:r w:rsidRPr="001D2E59">
        <w:rPr>
          <w:rFonts w:ascii="Arial" w:hAnsi="Arial"/>
          <w:b/>
          <w:noProof/>
        </w:rPr>
        <w:t>5 denní karta</w:t>
      </w:r>
      <w:r w:rsidRPr="001D2E59">
        <w:rPr>
          <w:rFonts w:ascii="Arial" w:hAnsi="Arial"/>
          <w:noProof/>
        </w:rPr>
        <w:t xml:space="preserve"> – platí 5 bezprostředně po sobě následujících kalendářních dnů od data označení karty, včetně dne označení, tj. vepsáním data </w:t>
      </w:r>
      <w:r w:rsidRPr="001D2E59">
        <w:rPr>
          <w:rFonts w:ascii="Arial" w:hAnsi="Arial"/>
          <w:noProof/>
        </w:rPr>
        <w:br/>
        <w:t>a podepsáním karty držitelem.</w:t>
      </w:r>
    </w:p>
    <w:p w:rsidR="001D2E59" w:rsidRPr="001D2E59" w:rsidRDefault="001D2E59" w:rsidP="001D2E59">
      <w:pPr>
        <w:widowControl w:val="0"/>
        <w:tabs>
          <w:tab w:val="num" w:pos="1460"/>
        </w:tabs>
        <w:spacing w:after="120"/>
        <w:ind w:left="360"/>
        <w:jc w:val="both"/>
        <w:rPr>
          <w:rFonts w:ascii="Arial" w:hAnsi="Arial"/>
          <w:noProof/>
        </w:rPr>
      </w:pPr>
    </w:p>
    <w:p w:rsidR="001D2E59" w:rsidRPr="001D2E59" w:rsidRDefault="001D2E59" w:rsidP="001D2E59">
      <w:pPr>
        <w:keepNext/>
        <w:jc w:val="center"/>
        <w:outlineLvl w:val="1"/>
        <w:rPr>
          <w:rFonts w:ascii="Arial" w:hAnsi="Arial"/>
          <w:b/>
          <w:sz w:val="26"/>
        </w:rPr>
      </w:pPr>
      <w:r w:rsidRPr="001D2E59">
        <w:rPr>
          <w:rFonts w:ascii="Arial" w:hAnsi="Arial"/>
          <w:b/>
          <w:sz w:val="26"/>
        </w:rPr>
        <w:t xml:space="preserve">III. </w:t>
      </w:r>
    </w:p>
    <w:p w:rsidR="001D2E59" w:rsidRPr="001D2E59" w:rsidRDefault="001D2E59" w:rsidP="001D2E59">
      <w:pPr>
        <w:keepNext/>
        <w:jc w:val="center"/>
        <w:outlineLvl w:val="1"/>
        <w:rPr>
          <w:rFonts w:ascii="Arial" w:hAnsi="Arial"/>
          <w:b/>
        </w:rPr>
      </w:pPr>
      <w:r w:rsidRPr="001D2E59">
        <w:rPr>
          <w:rFonts w:ascii="Arial" w:hAnsi="Arial"/>
          <w:b/>
        </w:rPr>
        <w:t xml:space="preserve">Vymezení povinností příjemce, který je zároveň realizátorem produktu </w:t>
      </w:r>
    </w:p>
    <w:p w:rsidR="001D2E59" w:rsidRPr="001D2E59" w:rsidRDefault="001D2E59" w:rsidP="001D2E59">
      <w:pPr>
        <w:keepNext/>
        <w:jc w:val="center"/>
        <w:outlineLvl w:val="1"/>
        <w:rPr>
          <w:rFonts w:ascii="Arial" w:hAnsi="Arial"/>
          <w:b/>
        </w:rPr>
      </w:pPr>
      <w:r w:rsidRPr="001D2E59">
        <w:rPr>
          <w:rFonts w:ascii="Arial" w:hAnsi="Arial"/>
          <w:b/>
        </w:rPr>
        <w:t xml:space="preserve">„Olomouc region </w:t>
      </w:r>
      <w:proofErr w:type="spellStart"/>
      <w:r w:rsidRPr="001D2E59">
        <w:rPr>
          <w:rFonts w:ascii="Arial" w:hAnsi="Arial"/>
          <w:b/>
        </w:rPr>
        <w:t>Card</w:t>
      </w:r>
      <w:proofErr w:type="spellEnd"/>
      <w:r w:rsidRPr="001D2E59">
        <w:rPr>
          <w:rFonts w:ascii="Arial" w:hAnsi="Arial"/>
          <w:b/>
        </w:rPr>
        <w:t>“</w:t>
      </w:r>
    </w:p>
    <w:p w:rsidR="001D2E59" w:rsidRPr="001D2E59" w:rsidRDefault="001D2E59" w:rsidP="001D2E59">
      <w:pPr>
        <w:keepNext/>
        <w:jc w:val="center"/>
        <w:outlineLvl w:val="1"/>
        <w:rPr>
          <w:rFonts w:ascii="Arial" w:hAnsi="Arial"/>
          <w:b/>
          <w:sz w:val="16"/>
        </w:rPr>
      </w:pPr>
    </w:p>
    <w:p w:rsidR="001D2E59" w:rsidRPr="001D2E59" w:rsidRDefault="001D2E59" w:rsidP="001D2E59">
      <w:pPr>
        <w:numPr>
          <w:ilvl w:val="0"/>
          <w:numId w:val="3"/>
        </w:numPr>
        <w:tabs>
          <w:tab w:val="clear" w:pos="567"/>
          <w:tab w:val="num" w:pos="360"/>
          <w:tab w:val="left" w:pos="1440"/>
        </w:tabs>
        <w:spacing w:before="120" w:after="120"/>
        <w:ind w:left="357" w:hanging="357"/>
        <w:jc w:val="both"/>
        <w:rPr>
          <w:rFonts w:ascii="Arial" w:hAnsi="Arial"/>
          <w:noProof/>
        </w:rPr>
      </w:pPr>
      <w:r w:rsidRPr="001D2E59">
        <w:rPr>
          <w:rFonts w:ascii="Arial" w:hAnsi="Arial"/>
          <w:b/>
          <w:noProof/>
          <w:color w:val="000000"/>
        </w:rPr>
        <w:t>Vymezení povinností pro realizátora „produktu ORC“ (kterým je příjemce) „produktu</w:t>
      </w:r>
      <w:r w:rsidRPr="001D2E59">
        <w:rPr>
          <w:rFonts w:ascii="Arial" w:hAnsi="Arial"/>
          <w:b/>
          <w:noProof/>
        </w:rPr>
        <w:t xml:space="preserve"> ORC“</w:t>
      </w:r>
      <w:r w:rsidRPr="001D2E59">
        <w:rPr>
          <w:rFonts w:ascii="Arial" w:hAnsi="Arial"/>
          <w:noProof/>
        </w:rPr>
        <w:t xml:space="preserve"> vyplývajících ze </w:t>
      </w:r>
      <w:r w:rsidRPr="001D2E59">
        <w:rPr>
          <w:rFonts w:ascii="Arial" w:hAnsi="Arial"/>
          <w:noProof/>
          <w:color w:val="000000"/>
        </w:rPr>
        <w:t>S</w:t>
      </w:r>
      <w:r w:rsidRPr="001D2E59">
        <w:rPr>
          <w:rFonts w:ascii="Arial" w:hAnsi="Arial"/>
          <w:noProof/>
        </w:rPr>
        <w:t xml:space="preserve">mlouvy </w:t>
      </w:r>
      <w:r w:rsidRPr="001D2E59">
        <w:rPr>
          <w:rFonts w:ascii="Arial" w:hAnsi="Arial"/>
        </w:rPr>
        <w:t xml:space="preserve">o poskytnutí licenčních práv k projektu „Marketingová podpora Olomouc region </w:t>
      </w:r>
      <w:proofErr w:type="spellStart"/>
      <w:r w:rsidRPr="001D2E59">
        <w:rPr>
          <w:rFonts w:ascii="Arial" w:hAnsi="Arial"/>
        </w:rPr>
        <w:t>Card</w:t>
      </w:r>
      <w:proofErr w:type="spellEnd"/>
      <w:r w:rsidRPr="001D2E59">
        <w:rPr>
          <w:rFonts w:ascii="Arial" w:hAnsi="Arial"/>
        </w:rPr>
        <w:t xml:space="preserve">“ </w:t>
      </w:r>
      <w:r w:rsidRPr="001D2E59">
        <w:rPr>
          <w:rFonts w:ascii="Arial" w:hAnsi="Arial"/>
          <w:noProof/>
        </w:rPr>
        <w:t>uzavřené mezi statutárním městem Olomouc a realizátorem projektu dne 10. 10. 2006 (dále také: Smlouva o poskytnutí licenčních práv).</w:t>
      </w:r>
    </w:p>
    <w:p w:rsidR="001D2E59" w:rsidRPr="001D2E59" w:rsidRDefault="001D2E59" w:rsidP="001D2E59">
      <w:pPr>
        <w:tabs>
          <w:tab w:val="left" w:pos="1440"/>
        </w:tabs>
        <w:spacing w:before="120" w:after="120"/>
        <w:jc w:val="both"/>
        <w:rPr>
          <w:rFonts w:ascii="Arial" w:hAnsi="Arial"/>
          <w:noProof/>
        </w:rPr>
      </w:pPr>
    </w:p>
    <w:p w:rsidR="001D2E59" w:rsidRPr="001D2E59" w:rsidRDefault="001D2E59" w:rsidP="001D2E59">
      <w:pPr>
        <w:widowControl w:val="0"/>
        <w:numPr>
          <w:ilvl w:val="0"/>
          <w:numId w:val="10"/>
        </w:numPr>
        <w:tabs>
          <w:tab w:val="left" w:pos="360"/>
        </w:tabs>
        <w:spacing w:after="120"/>
        <w:jc w:val="both"/>
        <w:rPr>
          <w:rFonts w:ascii="Arial" w:hAnsi="Arial"/>
          <w:noProof/>
        </w:rPr>
      </w:pPr>
      <w:r w:rsidRPr="001D2E59">
        <w:rPr>
          <w:rFonts w:ascii="Arial" w:hAnsi="Arial"/>
          <w:noProof/>
        </w:rPr>
        <w:t xml:space="preserve">Příjemce je v rámci realizace „produktu </w:t>
      </w:r>
      <w:r w:rsidRPr="001D2E59">
        <w:rPr>
          <w:rFonts w:ascii="Arial" w:hAnsi="Arial" w:cs="Arial"/>
        </w:rPr>
        <w:t>ORC</w:t>
      </w:r>
      <w:r w:rsidRPr="001D2E59">
        <w:rPr>
          <w:rFonts w:ascii="Arial" w:hAnsi="Arial"/>
          <w:noProof/>
        </w:rPr>
        <w:t>“ povinen zajistit:</w:t>
      </w:r>
    </w:p>
    <w:p w:rsidR="001D2E59" w:rsidRDefault="001D2E59" w:rsidP="001D2E59">
      <w:pPr>
        <w:tabs>
          <w:tab w:val="num" w:pos="1080"/>
        </w:tabs>
        <w:spacing w:after="120"/>
        <w:ind w:left="360"/>
        <w:rPr>
          <w:rFonts w:ascii="Arial" w:hAnsi="Arial"/>
          <w:b/>
          <w:noProof/>
        </w:rPr>
      </w:pPr>
    </w:p>
    <w:p w:rsidR="001D2E59" w:rsidRPr="001D2E59" w:rsidRDefault="001D2E59" w:rsidP="001D2E59">
      <w:pPr>
        <w:numPr>
          <w:ilvl w:val="0"/>
          <w:numId w:val="4"/>
        </w:numPr>
        <w:tabs>
          <w:tab w:val="num" w:pos="1080"/>
        </w:tabs>
        <w:spacing w:after="120"/>
        <w:ind w:left="1078" w:hanging="718"/>
        <w:rPr>
          <w:rFonts w:ascii="Arial" w:hAnsi="Arial"/>
          <w:b/>
          <w:noProof/>
        </w:rPr>
      </w:pPr>
      <w:r w:rsidRPr="001D2E59">
        <w:rPr>
          <w:rFonts w:ascii="Arial" w:hAnsi="Arial"/>
          <w:b/>
          <w:noProof/>
        </w:rPr>
        <w:t xml:space="preserve">Marketing </w:t>
      </w:r>
    </w:p>
    <w:p w:rsidR="001D2E59" w:rsidRPr="001D2E59" w:rsidRDefault="001D2E59" w:rsidP="001D2E59">
      <w:pPr>
        <w:numPr>
          <w:ilvl w:val="0"/>
          <w:numId w:val="6"/>
        </w:numPr>
        <w:tabs>
          <w:tab w:val="num" w:pos="1080"/>
        </w:tabs>
        <w:spacing w:after="120"/>
        <w:ind w:left="1080" w:hanging="360"/>
        <w:jc w:val="both"/>
        <w:rPr>
          <w:rFonts w:ascii="Arial" w:hAnsi="Arial"/>
        </w:rPr>
      </w:pPr>
      <w:r w:rsidRPr="001D2E59">
        <w:rPr>
          <w:rFonts w:ascii="Arial" w:hAnsi="Arial"/>
        </w:rPr>
        <w:t xml:space="preserve">aktivně vyhledávat nové poskytovatele volných vstupů, či zlevněného vstupného a jiné subjekty cestovního ruchu na území města Olomouce </w:t>
      </w:r>
      <w:r w:rsidRPr="001D2E59">
        <w:rPr>
          <w:rFonts w:ascii="Arial" w:hAnsi="Arial"/>
        </w:rPr>
        <w:br/>
        <w:t xml:space="preserve">a Olomouckého kraje, které by bylo možno zapojit do realizace „produktu </w:t>
      </w:r>
      <w:r w:rsidRPr="001D2E59">
        <w:rPr>
          <w:rFonts w:ascii="Arial" w:hAnsi="Arial" w:cs="Arial"/>
        </w:rPr>
        <w:t>ORC</w:t>
      </w:r>
      <w:r w:rsidRPr="001D2E59">
        <w:rPr>
          <w:rFonts w:ascii="Arial" w:hAnsi="Arial"/>
        </w:rPr>
        <w:t xml:space="preserve">“, </w:t>
      </w:r>
    </w:p>
    <w:p w:rsidR="001D2E59" w:rsidRPr="001D2E59" w:rsidRDefault="001D2E59" w:rsidP="001D2E59">
      <w:pPr>
        <w:numPr>
          <w:ilvl w:val="0"/>
          <w:numId w:val="6"/>
        </w:numPr>
        <w:tabs>
          <w:tab w:val="num" w:pos="1080"/>
        </w:tabs>
        <w:spacing w:after="120"/>
        <w:ind w:left="1080" w:hanging="360"/>
        <w:jc w:val="both"/>
        <w:rPr>
          <w:rFonts w:ascii="Arial" w:hAnsi="Arial"/>
        </w:rPr>
      </w:pPr>
      <w:r w:rsidRPr="001D2E59">
        <w:rPr>
          <w:rFonts w:ascii="Arial" w:hAnsi="Arial"/>
        </w:rPr>
        <w:t xml:space="preserve">na základě shora uvedeného průzkumu samostatně vést jednání </w:t>
      </w:r>
      <w:r w:rsidRPr="001D2E59">
        <w:rPr>
          <w:rFonts w:ascii="Arial" w:hAnsi="Arial"/>
        </w:rPr>
        <w:br/>
        <w:t xml:space="preserve">o uzavření a podmínkách příslušných smluv o zapojení nových historických památek, kulturních zařízení a dalších subjektů cestovního ruchu z Olomouckého kraje do realizace „produktu </w:t>
      </w:r>
      <w:r w:rsidRPr="001D2E59">
        <w:rPr>
          <w:rFonts w:ascii="Arial" w:hAnsi="Arial" w:cs="Arial"/>
        </w:rPr>
        <w:t>ORC“</w:t>
      </w:r>
      <w:r w:rsidRPr="001D2E59">
        <w:rPr>
          <w:rFonts w:ascii="Arial" w:hAnsi="Arial"/>
        </w:rPr>
        <w:t xml:space="preserve"> a uzavírání těchto smluv, </w:t>
      </w:r>
    </w:p>
    <w:p w:rsidR="001D2E59" w:rsidRPr="001D2E59" w:rsidRDefault="001D2E59" w:rsidP="001D2E59">
      <w:pPr>
        <w:numPr>
          <w:ilvl w:val="0"/>
          <w:numId w:val="6"/>
        </w:numPr>
        <w:tabs>
          <w:tab w:val="num" w:pos="1080"/>
        </w:tabs>
        <w:spacing w:after="120"/>
        <w:ind w:left="1080" w:hanging="360"/>
        <w:jc w:val="both"/>
        <w:rPr>
          <w:rFonts w:ascii="Arial" w:hAnsi="Arial"/>
        </w:rPr>
      </w:pPr>
      <w:r w:rsidRPr="001D2E59">
        <w:rPr>
          <w:rFonts w:ascii="Arial" w:hAnsi="Arial"/>
        </w:rPr>
        <w:t xml:space="preserve">činit potřebné kroky k udržení či prodloužení již navázaných smluvních vztahů v oblasti realizace </w:t>
      </w:r>
      <w:r w:rsidRPr="001D2E59">
        <w:rPr>
          <w:rFonts w:ascii="Arial" w:hAnsi="Arial" w:cs="Arial"/>
        </w:rPr>
        <w:t>„</w:t>
      </w:r>
      <w:r w:rsidRPr="001D2E59">
        <w:rPr>
          <w:rFonts w:ascii="Arial" w:hAnsi="Arial"/>
        </w:rPr>
        <w:t xml:space="preserve">produktu </w:t>
      </w:r>
      <w:r w:rsidRPr="001D2E59">
        <w:rPr>
          <w:rFonts w:ascii="Arial" w:hAnsi="Arial" w:cs="Arial"/>
        </w:rPr>
        <w:t>ORC</w:t>
      </w:r>
      <w:r w:rsidRPr="001D2E59">
        <w:rPr>
          <w:rFonts w:ascii="Arial" w:hAnsi="Arial"/>
        </w:rPr>
        <w:t xml:space="preserve">“, </w:t>
      </w:r>
    </w:p>
    <w:p w:rsidR="001D2E59" w:rsidRPr="001D2E59" w:rsidRDefault="001D2E59" w:rsidP="001D2E59">
      <w:pPr>
        <w:numPr>
          <w:ilvl w:val="0"/>
          <w:numId w:val="6"/>
        </w:numPr>
        <w:tabs>
          <w:tab w:val="num" w:pos="1080"/>
        </w:tabs>
        <w:spacing w:after="120"/>
        <w:ind w:left="1080" w:hanging="360"/>
        <w:jc w:val="both"/>
        <w:rPr>
          <w:rFonts w:ascii="Arial" w:hAnsi="Arial"/>
        </w:rPr>
      </w:pPr>
      <w:r w:rsidRPr="001D2E59">
        <w:rPr>
          <w:rFonts w:ascii="Arial" w:hAnsi="Arial"/>
        </w:rPr>
        <w:t xml:space="preserve">na základě provedeného průzkumu vést příslušná jednání se zapojenými </w:t>
      </w:r>
      <w:r w:rsidRPr="001D2E59">
        <w:rPr>
          <w:rFonts w:ascii="Arial" w:hAnsi="Arial"/>
        </w:rPr>
        <w:br/>
        <w:t xml:space="preserve">i nově zapojovanými historickými památkami, kulturními zařízeními </w:t>
      </w:r>
      <w:r w:rsidRPr="001D2E59">
        <w:rPr>
          <w:rFonts w:ascii="Arial" w:hAnsi="Arial"/>
        </w:rPr>
        <w:br/>
        <w:t>a dalšími subjekty cestovního ruchu o rozšíření spektra jimi poskytovaných slev a jiných výhod a uzavíraní smluv, či dodatků k již existujícím smlouvám upravujících a vymezujících tyto nové slevy a výhody či rozšíření již poskytovaných slev a výhod,</w:t>
      </w:r>
    </w:p>
    <w:p w:rsidR="001D2E59" w:rsidRPr="001D2E59" w:rsidRDefault="001D2E59" w:rsidP="001D2E59">
      <w:pPr>
        <w:numPr>
          <w:ilvl w:val="0"/>
          <w:numId w:val="6"/>
        </w:numPr>
        <w:tabs>
          <w:tab w:val="num" w:pos="1080"/>
        </w:tabs>
        <w:spacing w:after="120"/>
        <w:ind w:left="1080" w:hanging="360"/>
        <w:jc w:val="both"/>
        <w:rPr>
          <w:rFonts w:ascii="Arial" w:hAnsi="Arial"/>
        </w:rPr>
      </w:pPr>
      <w:r w:rsidRPr="001D2E59">
        <w:rPr>
          <w:rFonts w:ascii="Arial" w:hAnsi="Arial"/>
        </w:rPr>
        <w:t xml:space="preserve">v návaznosti na zapojení nových subjektů do realizace </w:t>
      </w:r>
      <w:r w:rsidRPr="001D2E59">
        <w:rPr>
          <w:rFonts w:ascii="Arial" w:hAnsi="Arial" w:cs="Arial"/>
        </w:rPr>
        <w:t>„</w:t>
      </w:r>
      <w:r w:rsidRPr="001D2E59">
        <w:rPr>
          <w:rFonts w:ascii="Arial" w:hAnsi="Arial"/>
        </w:rPr>
        <w:t xml:space="preserve">produktu </w:t>
      </w:r>
      <w:r w:rsidRPr="001D2E59">
        <w:rPr>
          <w:rFonts w:ascii="Arial" w:hAnsi="Arial" w:cs="Arial"/>
        </w:rPr>
        <w:t>ORC“</w:t>
      </w:r>
      <w:r w:rsidRPr="001D2E59">
        <w:rPr>
          <w:rFonts w:ascii="Arial" w:hAnsi="Arial"/>
        </w:rPr>
        <w:t xml:space="preserve"> </w:t>
      </w:r>
      <w:r w:rsidRPr="001D2E59">
        <w:rPr>
          <w:rFonts w:ascii="Arial" w:hAnsi="Arial"/>
        </w:rPr>
        <w:br/>
        <w:t>a rozšiřování poskytovaných slev a výhod aktualizovat informační brožuru náležející k „</w:t>
      </w:r>
      <w:proofErr w:type="gramStart"/>
      <w:r w:rsidRPr="001D2E59">
        <w:rPr>
          <w:rFonts w:ascii="Arial" w:hAnsi="Arial" w:cs="Arial"/>
        </w:rPr>
        <w:t>Olomouc</w:t>
      </w:r>
      <w:proofErr w:type="gramEnd"/>
      <w:r w:rsidRPr="001D2E59">
        <w:rPr>
          <w:rFonts w:ascii="Arial" w:hAnsi="Arial" w:cs="Arial"/>
        </w:rPr>
        <w:t xml:space="preserve"> region </w:t>
      </w:r>
      <w:proofErr w:type="spellStart"/>
      <w:r w:rsidRPr="001D2E59">
        <w:rPr>
          <w:rFonts w:ascii="Arial" w:hAnsi="Arial" w:cs="Arial"/>
        </w:rPr>
        <w:t>Card</w:t>
      </w:r>
      <w:proofErr w:type="spellEnd"/>
      <w:r w:rsidRPr="001D2E59">
        <w:rPr>
          <w:rFonts w:ascii="Arial" w:hAnsi="Arial"/>
        </w:rPr>
        <w:t>“.</w:t>
      </w:r>
    </w:p>
    <w:p w:rsidR="001D2E59" w:rsidRPr="001D2E59" w:rsidRDefault="001D2E59" w:rsidP="001D2E59">
      <w:pPr>
        <w:numPr>
          <w:ilvl w:val="0"/>
          <w:numId w:val="4"/>
        </w:numPr>
        <w:tabs>
          <w:tab w:val="num" w:pos="1080"/>
        </w:tabs>
        <w:spacing w:after="120"/>
        <w:ind w:left="1078" w:hanging="718"/>
        <w:rPr>
          <w:rFonts w:ascii="Arial" w:hAnsi="Arial"/>
          <w:b/>
          <w:noProof/>
        </w:rPr>
      </w:pPr>
      <w:r w:rsidRPr="001D2E59">
        <w:rPr>
          <w:rFonts w:ascii="Arial" w:hAnsi="Arial"/>
          <w:b/>
          <w:noProof/>
        </w:rPr>
        <w:t>Reklama, propagace a výroba</w:t>
      </w:r>
    </w:p>
    <w:p w:rsidR="001D2E59" w:rsidRPr="001D2E59" w:rsidRDefault="001D2E59" w:rsidP="001D2E59">
      <w:pPr>
        <w:numPr>
          <w:ilvl w:val="0"/>
          <w:numId w:val="12"/>
        </w:numPr>
        <w:tabs>
          <w:tab w:val="num" w:pos="1080"/>
        </w:tabs>
        <w:spacing w:after="120"/>
        <w:ind w:left="1080"/>
        <w:jc w:val="both"/>
        <w:rPr>
          <w:rFonts w:ascii="Arial" w:hAnsi="Arial"/>
          <w:u w:val="single"/>
        </w:rPr>
      </w:pPr>
      <w:r w:rsidRPr="001D2E59">
        <w:rPr>
          <w:rFonts w:ascii="Arial" w:hAnsi="Arial"/>
        </w:rPr>
        <w:t xml:space="preserve">zajišťovat v případě zájmu subjektů uzavíráním konkrétních smluv pro „produkt </w:t>
      </w:r>
      <w:r w:rsidRPr="001D2E59">
        <w:rPr>
          <w:rFonts w:ascii="Arial" w:hAnsi="Arial" w:cs="Arial"/>
        </w:rPr>
        <w:t>ORC</w:t>
      </w:r>
      <w:r w:rsidRPr="001D2E59">
        <w:rPr>
          <w:rFonts w:ascii="Arial" w:hAnsi="Arial"/>
        </w:rPr>
        <w:t>“ generálního sponzora a další sponzory,</w:t>
      </w:r>
    </w:p>
    <w:p w:rsidR="001D2E59" w:rsidRP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 xml:space="preserve">zajišťovat v případě zájmu subjektů uzavíráním konkrétních smluv pro „produkt </w:t>
      </w:r>
      <w:r w:rsidRPr="001D2E59">
        <w:rPr>
          <w:rFonts w:ascii="Arial" w:hAnsi="Arial" w:cs="Arial"/>
        </w:rPr>
        <w:t>ORC</w:t>
      </w:r>
      <w:r w:rsidRPr="001D2E59">
        <w:rPr>
          <w:rFonts w:ascii="Arial" w:hAnsi="Arial"/>
        </w:rPr>
        <w:t>“ mediální partnery,</w:t>
      </w:r>
    </w:p>
    <w:p w:rsidR="001D2E59" w:rsidRP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 xml:space="preserve">provádět prostřednictvím mediálních partnerů i dalších vhodných subjektů náležitou reklamní kampaň „produktu </w:t>
      </w:r>
      <w:r w:rsidRPr="001D2E59">
        <w:rPr>
          <w:rFonts w:ascii="Arial" w:hAnsi="Arial" w:cs="Arial"/>
        </w:rPr>
        <w:t>ORC</w:t>
      </w:r>
      <w:r w:rsidRPr="001D2E59">
        <w:rPr>
          <w:rFonts w:ascii="Arial" w:hAnsi="Arial"/>
        </w:rPr>
        <w:t xml:space="preserve">“ ve finančním rozsahu odpovídající rozpočtu dle Přílohy č. 2 </w:t>
      </w:r>
      <w:proofErr w:type="gramStart"/>
      <w:r w:rsidRPr="001D2E59">
        <w:rPr>
          <w:rFonts w:ascii="Arial" w:hAnsi="Arial"/>
        </w:rPr>
        <w:t>této</w:t>
      </w:r>
      <w:proofErr w:type="gramEnd"/>
      <w:r w:rsidRPr="001D2E59">
        <w:rPr>
          <w:rFonts w:ascii="Arial" w:hAnsi="Arial"/>
        </w:rPr>
        <w:t xml:space="preserve"> smlouvy, a propagaci ve spolupráci s incomingovými cestovními kancelářemi a kancelářemi specializujícími se na domácí cestovní ruch,</w:t>
      </w:r>
    </w:p>
    <w:p w:rsidR="001D2E59" w:rsidRP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 xml:space="preserve">zajistit prostřednictvím příslušných internetových stránek </w:t>
      </w:r>
      <w:r w:rsidRPr="001D2E59">
        <w:rPr>
          <w:rFonts w:ascii="Arial" w:hAnsi="Arial"/>
          <w:color w:val="000000"/>
        </w:rPr>
        <w:t>″www.olomoucregioncard.cz″</w:t>
      </w:r>
      <w:r w:rsidRPr="001D2E59">
        <w:rPr>
          <w:rFonts w:ascii="Arial" w:hAnsi="Arial"/>
        </w:rPr>
        <w:t xml:space="preserve"> možnost získání nejméně těch informací, které jsou obsaženy v informační brožuře, v elektronické podobě a dále zajišťovat</w:t>
      </w:r>
      <w:r w:rsidRPr="001D2E59">
        <w:rPr>
          <w:rFonts w:ascii="Arial" w:hAnsi="Arial"/>
          <w:color w:val="0000FF"/>
        </w:rPr>
        <w:t xml:space="preserve"> </w:t>
      </w:r>
      <w:r w:rsidRPr="001D2E59">
        <w:rPr>
          <w:rFonts w:ascii="Arial" w:hAnsi="Arial"/>
          <w:color w:val="000000"/>
        </w:rPr>
        <w:t xml:space="preserve">aktualizaci těchto </w:t>
      </w:r>
      <w:r w:rsidRPr="001D2E59">
        <w:rPr>
          <w:rFonts w:ascii="Arial" w:hAnsi="Arial"/>
        </w:rPr>
        <w:t>stránek,</w:t>
      </w:r>
    </w:p>
    <w:p w:rsidR="001D2E59" w:rsidRP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 xml:space="preserve">zajišťovat možnou </w:t>
      </w:r>
      <w:r w:rsidRPr="001D2E59">
        <w:rPr>
          <w:rFonts w:ascii="Arial" w:hAnsi="Arial"/>
          <w:color w:val="000000"/>
        </w:rPr>
        <w:t>p</w:t>
      </w:r>
      <w:r w:rsidRPr="001D2E59">
        <w:rPr>
          <w:rFonts w:ascii="Arial" w:hAnsi="Arial"/>
        </w:rPr>
        <w:t xml:space="preserve">rezentaci „produktu </w:t>
      </w:r>
      <w:r w:rsidRPr="001D2E59">
        <w:rPr>
          <w:rFonts w:ascii="Arial" w:hAnsi="Arial" w:cs="Arial"/>
        </w:rPr>
        <w:t>ORC“</w:t>
      </w:r>
      <w:r w:rsidRPr="001D2E59">
        <w:rPr>
          <w:rFonts w:ascii="Arial" w:hAnsi="Arial"/>
        </w:rPr>
        <w:t xml:space="preserve"> v médiích v návaznosti na schválené projekty zaměřené na propagaci a publicitu,</w:t>
      </w:r>
    </w:p>
    <w:p w:rsidR="001D2E59" w:rsidRP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 xml:space="preserve">zajišťovat propagaci turistického „produktu </w:t>
      </w:r>
      <w:r w:rsidRPr="001D2E59">
        <w:rPr>
          <w:rFonts w:ascii="Arial" w:hAnsi="Arial" w:cs="Arial"/>
        </w:rPr>
        <w:t>ORC“</w:t>
      </w:r>
      <w:r w:rsidRPr="001D2E59">
        <w:rPr>
          <w:rFonts w:ascii="Arial" w:hAnsi="Arial"/>
        </w:rPr>
        <w:t xml:space="preserve"> prostřednictvím k tomu účelu navržených a vyrobených samolepek, které rovněž mohou </w:t>
      </w:r>
      <w:r w:rsidRPr="001D2E59">
        <w:rPr>
          <w:rFonts w:ascii="Arial" w:hAnsi="Arial"/>
        </w:rPr>
        <w:lastRenderedPageBreak/>
        <w:t>obsahovat logo „produktu ORC“, tedy zajišťovat zpracování návrhů těchto samolepek, jejich výrobu a distribuci vhodným subjektům,</w:t>
      </w:r>
    </w:p>
    <w:p w:rsidR="001D2E59" w:rsidRDefault="001D2E59" w:rsidP="001D2E59">
      <w:pPr>
        <w:numPr>
          <w:ilvl w:val="0"/>
          <w:numId w:val="12"/>
        </w:numPr>
        <w:tabs>
          <w:tab w:val="num" w:pos="1080"/>
        </w:tabs>
        <w:spacing w:after="120"/>
        <w:ind w:left="1080"/>
        <w:jc w:val="both"/>
        <w:rPr>
          <w:rFonts w:ascii="Arial" w:hAnsi="Arial"/>
        </w:rPr>
      </w:pPr>
      <w:r w:rsidRPr="001D2E59">
        <w:rPr>
          <w:rFonts w:ascii="Arial" w:hAnsi="Arial"/>
        </w:rPr>
        <w:t>zajišťovat aktualizaci, tisk a distribuci reklamních letáků včetně potřebných jazykových mutací,</w:t>
      </w:r>
    </w:p>
    <w:p w:rsidR="001D2E59" w:rsidRPr="001D2E59" w:rsidRDefault="001D2E59" w:rsidP="001D2E59">
      <w:pPr>
        <w:spacing w:after="120"/>
        <w:ind w:left="1080"/>
        <w:jc w:val="both"/>
        <w:rPr>
          <w:rFonts w:ascii="Arial" w:hAnsi="Arial"/>
        </w:rPr>
      </w:pPr>
    </w:p>
    <w:p w:rsidR="001D2E59" w:rsidRPr="001D2E59" w:rsidRDefault="001D2E59" w:rsidP="001D2E59">
      <w:pPr>
        <w:numPr>
          <w:ilvl w:val="0"/>
          <w:numId w:val="4"/>
        </w:numPr>
        <w:tabs>
          <w:tab w:val="num" w:pos="1080"/>
        </w:tabs>
        <w:spacing w:after="120"/>
        <w:ind w:left="1078" w:hanging="718"/>
        <w:rPr>
          <w:rFonts w:ascii="Arial" w:hAnsi="Arial"/>
          <w:b/>
          <w:noProof/>
        </w:rPr>
      </w:pPr>
      <w:r w:rsidRPr="001D2E59">
        <w:rPr>
          <w:rFonts w:ascii="Arial" w:hAnsi="Arial"/>
          <w:b/>
          <w:noProof/>
        </w:rPr>
        <w:t xml:space="preserve">Administrace </w:t>
      </w:r>
    </w:p>
    <w:p w:rsidR="001D2E59" w:rsidRPr="001D2E59" w:rsidRDefault="001D2E59" w:rsidP="001D2E59">
      <w:pPr>
        <w:numPr>
          <w:ilvl w:val="1"/>
          <w:numId w:val="11"/>
        </w:numPr>
        <w:tabs>
          <w:tab w:val="num" w:pos="1080"/>
        </w:tabs>
        <w:spacing w:after="120"/>
        <w:ind w:left="1080"/>
        <w:jc w:val="both"/>
        <w:rPr>
          <w:rFonts w:ascii="Arial" w:hAnsi="Arial"/>
        </w:rPr>
      </w:pPr>
      <w:r w:rsidRPr="001D2E59">
        <w:rPr>
          <w:rFonts w:ascii="Arial" w:hAnsi="Arial"/>
          <w:color w:val="000000"/>
        </w:rPr>
        <w:t xml:space="preserve">v návaznosti na pravidelně prováděná zjištění o zásobení jednotlivých prodejních míst kartami a informačními brožurami </w:t>
      </w:r>
      <w:r w:rsidRPr="001D2E59">
        <w:rPr>
          <w:rFonts w:ascii="Arial" w:hAnsi="Arial"/>
        </w:rPr>
        <w:t>„produktu ORC“,</w:t>
      </w:r>
      <w:r w:rsidRPr="001D2E59">
        <w:rPr>
          <w:rFonts w:ascii="Arial" w:hAnsi="Arial"/>
          <w:color w:val="000000"/>
        </w:rPr>
        <w:t xml:space="preserve"> zajišťovat v dostatečném časovém předstihu výrobu nových karet </w:t>
      </w:r>
      <w:r w:rsidRPr="001D2E59">
        <w:rPr>
          <w:rFonts w:ascii="Arial" w:hAnsi="Arial"/>
          <w:color w:val="000000"/>
        </w:rPr>
        <w:br/>
        <w:t xml:space="preserve">a informačních brožur </w:t>
      </w:r>
      <w:r w:rsidRPr="001D2E59">
        <w:rPr>
          <w:rFonts w:ascii="Arial" w:hAnsi="Arial"/>
        </w:rPr>
        <w:t>„produktu ORC“</w:t>
      </w:r>
      <w:r w:rsidRPr="001D2E59">
        <w:rPr>
          <w:rFonts w:ascii="Arial" w:hAnsi="Arial"/>
          <w:color w:val="000000"/>
        </w:rPr>
        <w:t xml:space="preserve"> a jejich distribuci jednotlivým prodejním místům,</w:t>
      </w:r>
    </w:p>
    <w:p w:rsidR="001D2E59" w:rsidRPr="001D2E59" w:rsidRDefault="001D2E59" w:rsidP="001D2E59">
      <w:pPr>
        <w:numPr>
          <w:ilvl w:val="1"/>
          <w:numId w:val="11"/>
        </w:numPr>
        <w:tabs>
          <w:tab w:val="num" w:pos="1080"/>
        </w:tabs>
        <w:spacing w:after="120"/>
        <w:ind w:left="1080"/>
        <w:jc w:val="both"/>
        <w:rPr>
          <w:rFonts w:ascii="Arial" w:hAnsi="Arial"/>
        </w:rPr>
      </w:pPr>
      <w:r w:rsidRPr="001D2E59">
        <w:rPr>
          <w:rFonts w:ascii="Arial" w:hAnsi="Arial"/>
          <w:color w:val="000000"/>
        </w:rPr>
        <w:t xml:space="preserve">v návaznosti na aktualizaci seznamu zapojených historických a kulturních památek a dalších subjektů cestovního ruchu a na aktualizaci výčtu jimi poskytovaných slev a výhod pro držitele „Olomouc region </w:t>
      </w:r>
      <w:proofErr w:type="spellStart"/>
      <w:r w:rsidRPr="001D2E59">
        <w:rPr>
          <w:rFonts w:ascii="Arial" w:hAnsi="Arial"/>
          <w:color w:val="000000"/>
        </w:rPr>
        <w:t>Card</w:t>
      </w:r>
      <w:proofErr w:type="spellEnd"/>
      <w:r w:rsidRPr="001D2E59">
        <w:rPr>
          <w:rFonts w:ascii="Arial" w:hAnsi="Arial"/>
          <w:color w:val="000000"/>
        </w:rPr>
        <w:t>“ zajistit výrobu nových informačních brožur a jejich distribuci jednotlivým prodejním místům,</w:t>
      </w:r>
    </w:p>
    <w:p w:rsidR="001D2E59" w:rsidRPr="001D2E59" w:rsidRDefault="001D2E59" w:rsidP="001D2E59">
      <w:pPr>
        <w:numPr>
          <w:ilvl w:val="1"/>
          <w:numId w:val="11"/>
        </w:numPr>
        <w:tabs>
          <w:tab w:val="num" w:pos="1080"/>
        </w:tabs>
        <w:spacing w:after="120"/>
        <w:ind w:left="1080"/>
        <w:jc w:val="both"/>
        <w:rPr>
          <w:rFonts w:ascii="Arial" w:hAnsi="Arial"/>
          <w:color w:val="000000"/>
          <w:u w:val="single"/>
        </w:rPr>
      </w:pPr>
      <w:r w:rsidRPr="001D2E59">
        <w:rPr>
          <w:rFonts w:ascii="Arial" w:hAnsi="Arial"/>
        </w:rPr>
        <w:t>sjednávat a uzavírat příslušné smlouvy s prodejními místy nově zapojovanými do realizace „produktu ORC“ a sjednávat změny a doplnění, případně prodlužování doby platnosti smluv u již zapojených prodejních míst,</w:t>
      </w:r>
    </w:p>
    <w:p w:rsidR="001D2E59" w:rsidRPr="001D2E59" w:rsidRDefault="001D2E59" w:rsidP="001D2E59">
      <w:pPr>
        <w:numPr>
          <w:ilvl w:val="1"/>
          <w:numId w:val="11"/>
        </w:numPr>
        <w:tabs>
          <w:tab w:val="num" w:pos="1080"/>
        </w:tabs>
        <w:spacing w:after="120"/>
        <w:ind w:left="1080"/>
        <w:jc w:val="both"/>
        <w:rPr>
          <w:rFonts w:ascii="Arial" w:hAnsi="Arial"/>
          <w:color w:val="000000"/>
          <w:u w:val="single"/>
        </w:rPr>
      </w:pPr>
      <w:r w:rsidRPr="001D2E59">
        <w:rPr>
          <w:rFonts w:ascii="Arial" w:hAnsi="Arial"/>
        </w:rPr>
        <w:t xml:space="preserve">zajistit označení všech zapojených subjektů a prodejců samolepkami s logem „Olomouc region </w:t>
      </w:r>
      <w:proofErr w:type="spellStart"/>
      <w:r w:rsidRPr="001D2E59">
        <w:rPr>
          <w:rFonts w:ascii="Arial" w:hAnsi="Arial"/>
        </w:rPr>
        <w:t>Card</w:t>
      </w:r>
      <w:proofErr w:type="spellEnd"/>
      <w:r w:rsidRPr="001D2E59">
        <w:rPr>
          <w:rFonts w:ascii="Arial" w:hAnsi="Arial"/>
        </w:rPr>
        <w:t>“,</w:t>
      </w:r>
    </w:p>
    <w:p w:rsidR="001D2E59" w:rsidRPr="001D2E59" w:rsidRDefault="001D2E59" w:rsidP="001D2E59">
      <w:pPr>
        <w:numPr>
          <w:ilvl w:val="1"/>
          <w:numId w:val="11"/>
        </w:numPr>
        <w:tabs>
          <w:tab w:val="num" w:pos="1080"/>
        </w:tabs>
        <w:spacing w:after="120"/>
        <w:ind w:left="1080"/>
        <w:jc w:val="both"/>
        <w:rPr>
          <w:rFonts w:ascii="Arial" w:hAnsi="Arial"/>
          <w:color w:val="000000"/>
          <w:u w:val="single"/>
        </w:rPr>
      </w:pPr>
      <w:r w:rsidRPr="001D2E59">
        <w:rPr>
          <w:rFonts w:ascii="Arial" w:hAnsi="Arial"/>
        </w:rPr>
        <w:t xml:space="preserve">zajistit proškolení nově zapojených prodejců a </w:t>
      </w:r>
      <w:r w:rsidRPr="001D2E59">
        <w:rPr>
          <w:rFonts w:ascii="Arial" w:hAnsi="Arial"/>
          <w:color w:val="000000"/>
        </w:rPr>
        <w:t xml:space="preserve">historických a kulturních památek a dalších subjektů cestovního ruchu, </w:t>
      </w:r>
    </w:p>
    <w:p w:rsidR="001D2E59" w:rsidRPr="001D2E59" w:rsidRDefault="001D2E59" w:rsidP="001D2E59">
      <w:pPr>
        <w:numPr>
          <w:ilvl w:val="1"/>
          <w:numId w:val="11"/>
        </w:numPr>
        <w:tabs>
          <w:tab w:val="num" w:pos="1080"/>
        </w:tabs>
        <w:spacing w:after="120"/>
        <w:ind w:left="1080"/>
        <w:jc w:val="both"/>
        <w:rPr>
          <w:rFonts w:ascii="Arial" w:hAnsi="Arial"/>
          <w:color w:val="000000"/>
          <w:u w:val="single"/>
        </w:rPr>
      </w:pPr>
      <w:r w:rsidRPr="001D2E59">
        <w:rPr>
          <w:rFonts w:ascii="Arial" w:hAnsi="Arial"/>
        </w:rPr>
        <w:t xml:space="preserve">zajišťovat aktualizaci PC programu pro evidenci prodaných karet </w:t>
      </w:r>
      <w:r w:rsidRPr="001D2E59">
        <w:rPr>
          <w:rFonts w:ascii="Arial" w:hAnsi="Arial"/>
        </w:rPr>
        <w:br/>
        <w:t>a návštěvnosti zapojených subjektů tak, aby tento program odpovídal potřebám prodeje a evidence všech druhů karet,</w:t>
      </w:r>
    </w:p>
    <w:p w:rsidR="001D2E59" w:rsidRPr="001D2E59" w:rsidRDefault="001D2E59" w:rsidP="001D2E59">
      <w:pPr>
        <w:numPr>
          <w:ilvl w:val="1"/>
          <w:numId w:val="11"/>
        </w:numPr>
        <w:tabs>
          <w:tab w:val="num" w:pos="1080"/>
        </w:tabs>
        <w:spacing w:after="120"/>
        <w:ind w:left="1080"/>
        <w:jc w:val="both"/>
        <w:rPr>
          <w:rFonts w:ascii="Arial" w:hAnsi="Arial"/>
          <w:color w:val="000000"/>
          <w:u w:val="single"/>
        </w:rPr>
      </w:pPr>
      <w:r w:rsidRPr="001D2E59">
        <w:rPr>
          <w:rFonts w:ascii="Arial" w:hAnsi="Arial"/>
        </w:rPr>
        <w:t>na základě údajů získaných od jednotlivých zapojených subjektů provádět pravidelné vyúčtování prodeje všech typů karet, pravidelné vyúčtování návštěvnosti a následné vyúčtování a vyplacení příslušných provizí dle smluv uzavřených s poskytovateli volných vstupů a provizními prodejci,</w:t>
      </w:r>
    </w:p>
    <w:p w:rsidR="001D2E59" w:rsidRPr="001D2E59" w:rsidRDefault="001D2E59" w:rsidP="001D2E59">
      <w:pPr>
        <w:numPr>
          <w:ilvl w:val="1"/>
          <w:numId w:val="11"/>
        </w:numPr>
        <w:tabs>
          <w:tab w:val="num" w:pos="1080"/>
        </w:tabs>
        <w:spacing w:after="120"/>
        <w:ind w:left="1080"/>
        <w:jc w:val="both"/>
        <w:rPr>
          <w:rFonts w:ascii="Arial" w:hAnsi="Arial"/>
        </w:rPr>
      </w:pPr>
      <w:r w:rsidRPr="001D2E59">
        <w:rPr>
          <w:rFonts w:ascii="Arial" w:hAnsi="Arial"/>
        </w:rPr>
        <w:t xml:space="preserve">podat půlroční hlášení </w:t>
      </w:r>
      <w:r w:rsidRPr="001D2E59">
        <w:rPr>
          <w:rFonts w:ascii="Arial" w:hAnsi="Arial"/>
          <w:color w:val="000000"/>
        </w:rPr>
        <w:t>Olomouckému kraji a statutárnímu městu Olomouc do 30. 9. 2011, která bude obsahovat:</w:t>
      </w:r>
      <w:r w:rsidRPr="001D2E59">
        <w:rPr>
          <w:rFonts w:ascii="Arial" w:hAnsi="Arial"/>
        </w:rPr>
        <w:t xml:space="preserve"> vyúčtování počtu prodaných karet dle jednotlivých typů, počtu uskutečněných volných vstupů a vstupů za zlevněné vstupné s uvedením subjektů, které tyto slevy a volné vstupy poskytly. Tyto informace budou použity k medializaci produktu zadavateli,</w:t>
      </w:r>
    </w:p>
    <w:p w:rsidR="001D2E59" w:rsidRPr="001D2E59" w:rsidRDefault="001D2E59" w:rsidP="001D2E59">
      <w:pPr>
        <w:numPr>
          <w:ilvl w:val="1"/>
          <w:numId w:val="11"/>
        </w:numPr>
        <w:tabs>
          <w:tab w:val="num" w:pos="1080"/>
        </w:tabs>
        <w:spacing w:after="120"/>
        <w:ind w:left="1080"/>
        <w:jc w:val="both"/>
        <w:rPr>
          <w:rFonts w:ascii="Arial" w:hAnsi="Arial"/>
          <w:color w:val="000000"/>
        </w:rPr>
      </w:pPr>
      <w:r w:rsidRPr="001D2E59">
        <w:rPr>
          <w:rFonts w:ascii="Arial" w:hAnsi="Arial"/>
          <w:color w:val="000000"/>
        </w:rPr>
        <w:t xml:space="preserve">podat závěrečnou zprávu Olomouckému kraji a statutárnímu městu Olomouc do 31. 1. 2012 – hodnocení realizace produktu (současný stav, přehledný popis plnění všech bodů smlouvy, popis aktivit projektu, přehled prodeje karet, přehled návštěvnosti objektů se vstupy zdarma, seznam prodejců) a dále vyúčtování výdajů a příjmů celé realizace produktu „Olomouc Region </w:t>
      </w:r>
      <w:proofErr w:type="spellStart"/>
      <w:r w:rsidRPr="001D2E59">
        <w:rPr>
          <w:rFonts w:ascii="Arial" w:hAnsi="Arial"/>
          <w:color w:val="000000"/>
        </w:rPr>
        <w:t>Card</w:t>
      </w:r>
      <w:proofErr w:type="spellEnd"/>
      <w:r w:rsidRPr="001D2E59">
        <w:rPr>
          <w:rFonts w:ascii="Arial" w:hAnsi="Arial"/>
          <w:color w:val="000000"/>
        </w:rPr>
        <w:t>“. Tato závěrečná zpráva je součástí vyúčtování příspěvku dle čl. IV. odst. 4. této smlouvy.</w:t>
      </w:r>
    </w:p>
    <w:p w:rsidR="001D2E59" w:rsidRPr="001D2E59" w:rsidRDefault="001D2E59" w:rsidP="001D2E59">
      <w:pPr>
        <w:numPr>
          <w:ilvl w:val="0"/>
          <w:numId w:val="4"/>
        </w:numPr>
        <w:tabs>
          <w:tab w:val="num" w:pos="1080"/>
        </w:tabs>
        <w:spacing w:after="120"/>
        <w:ind w:left="1078" w:hanging="718"/>
        <w:rPr>
          <w:rFonts w:ascii="Arial" w:hAnsi="Arial"/>
          <w:b/>
          <w:noProof/>
        </w:rPr>
      </w:pPr>
      <w:r w:rsidRPr="001D2E59">
        <w:rPr>
          <w:rFonts w:ascii="Arial" w:hAnsi="Arial"/>
          <w:b/>
          <w:noProof/>
        </w:rPr>
        <w:lastRenderedPageBreak/>
        <w:t>Ujednání o dobrých mravech realizátora „produktu ORC“</w:t>
      </w:r>
    </w:p>
    <w:p w:rsidR="001D2E59" w:rsidRPr="001D2E59" w:rsidRDefault="001D2E59" w:rsidP="001D2E59">
      <w:pPr>
        <w:widowControl w:val="0"/>
        <w:numPr>
          <w:ilvl w:val="1"/>
          <w:numId w:val="7"/>
        </w:numPr>
        <w:tabs>
          <w:tab w:val="clear" w:pos="1440"/>
          <w:tab w:val="num" w:pos="1080"/>
        </w:tabs>
        <w:spacing w:after="120"/>
        <w:ind w:left="1080"/>
        <w:jc w:val="both"/>
        <w:rPr>
          <w:rFonts w:ascii="Arial" w:hAnsi="Arial"/>
          <w:noProof/>
        </w:rPr>
      </w:pPr>
      <w:r w:rsidRPr="001D2E59">
        <w:rPr>
          <w:rFonts w:ascii="Arial" w:hAnsi="Arial"/>
          <w:noProof/>
        </w:rPr>
        <w:t xml:space="preserve">Dle výslovné dohody statutárního města Olomouce a realizátora projektu je realizátor projektu při realizaci práv vyplývajících pro něj z poskytnuté licence povinen dodržovat veškeré zásady dobrých mravů a svým jednáním nepoškodit ani nezpochybnit dobré jméno a dobrou pověst statutárního města Olomouc, Olomouckého kraje či </w:t>
      </w:r>
      <w:r w:rsidRPr="001D2E59">
        <w:rPr>
          <w:rFonts w:ascii="Arial" w:hAnsi="Arial"/>
        </w:rPr>
        <w:t>„produktu ORC“</w:t>
      </w:r>
      <w:r w:rsidRPr="001D2E59">
        <w:rPr>
          <w:rFonts w:ascii="Arial" w:hAnsi="Arial"/>
          <w:noProof/>
        </w:rPr>
        <w:t>.</w:t>
      </w:r>
    </w:p>
    <w:p w:rsidR="001D2E59" w:rsidRPr="001D2E59" w:rsidRDefault="001D2E59" w:rsidP="001D2E59">
      <w:pPr>
        <w:widowControl w:val="0"/>
        <w:spacing w:after="120"/>
        <w:ind w:left="720"/>
        <w:jc w:val="both"/>
        <w:rPr>
          <w:rFonts w:ascii="Arial" w:hAnsi="Arial"/>
          <w:noProof/>
        </w:rPr>
      </w:pPr>
    </w:p>
    <w:p w:rsidR="001D2E59" w:rsidRPr="001D2E59" w:rsidRDefault="001D2E59" w:rsidP="001D2E59">
      <w:pPr>
        <w:widowControl w:val="0"/>
        <w:numPr>
          <w:ilvl w:val="1"/>
          <w:numId w:val="7"/>
        </w:numPr>
        <w:tabs>
          <w:tab w:val="clear" w:pos="1440"/>
          <w:tab w:val="num" w:pos="1080"/>
        </w:tabs>
        <w:spacing w:after="120"/>
        <w:ind w:left="1080"/>
        <w:jc w:val="both"/>
        <w:rPr>
          <w:rFonts w:ascii="Arial" w:hAnsi="Arial"/>
          <w:noProof/>
        </w:rPr>
      </w:pPr>
      <w:r w:rsidRPr="001D2E59">
        <w:rPr>
          <w:rFonts w:ascii="Arial" w:hAnsi="Arial"/>
          <w:noProof/>
        </w:rPr>
        <w:t xml:space="preserve">Vzhledem k ujednání obsaženému v bodě 1. tohoto článku smlouvy sjednalo statutární město Olomouc s realizátorem projektu výslovný zákaz jakýmkoli způsobem zapojovat do realizace a to ani formou sponzorství, reklamy či finančních příspěvků tyto subjekty: </w:t>
      </w:r>
    </w:p>
    <w:p w:rsidR="001D2E59" w:rsidRPr="001D2E59" w:rsidRDefault="001D2E59" w:rsidP="001D2E59">
      <w:pPr>
        <w:widowControl w:val="0"/>
        <w:numPr>
          <w:ilvl w:val="0"/>
          <w:numId w:val="14"/>
        </w:numPr>
        <w:tabs>
          <w:tab w:val="num" w:pos="1440"/>
        </w:tabs>
        <w:spacing w:after="120"/>
        <w:ind w:left="1440"/>
        <w:jc w:val="both"/>
        <w:rPr>
          <w:rFonts w:ascii="Arial" w:hAnsi="Arial"/>
          <w:noProof/>
        </w:rPr>
      </w:pPr>
      <w:r w:rsidRPr="001D2E59">
        <w:rPr>
          <w:rFonts w:ascii="Arial" w:hAnsi="Arial"/>
          <w:noProof/>
        </w:rPr>
        <w:t xml:space="preserve">poskytující </w:t>
      </w:r>
      <w:r w:rsidRPr="001D2E59">
        <w:rPr>
          <w:rFonts w:ascii="Arial" w:hAnsi="Arial"/>
          <w:noProof/>
          <w:color w:val="000000"/>
        </w:rPr>
        <w:t>erotické</w:t>
      </w:r>
      <w:r w:rsidRPr="001D2E59">
        <w:rPr>
          <w:rFonts w:ascii="Arial" w:hAnsi="Arial"/>
          <w:noProof/>
        </w:rPr>
        <w:t xml:space="preserve"> služby v jakékoli podobě, </w:t>
      </w:r>
    </w:p>
    <w:p w:rsidR="001D2E59" w:rsidRPr="001D2E59" w:rsidRDefault="001D2E59" w:rsidP="001D2E59">
      <w:pPr>
        <w:widowControl w:val="0"/>
        <w:numPr>
          <w:ilvl w:val="0"/>
          <w:numId w:val="14"/>
        </w:numPr>
        <w:tabs>
          <w:tab w:val="num" w:pos="1440"/>
        </w:tabs>
        <w:spacing w:after="120"/>
        <w:ind w:left="1440"/>
        <w:jc w:val="both"/>
        <w:rPr>
          <w:rFonts w:ascii="Arial" w:hAnsi="Arial"/>
          <w:noProof/>
        </w:rPr>
      </w:pPr>
      <w:r w:rsidRPr="001D2E59">
        <w:rPr>
          <w:rFonts w:ascii="Arial" w:hAnsi="Arial"/>
          <w:noProof/>
        </w:rPr>
        <w:t xml:space="preserve">zabývající se prodejem </w:t>
      </w:r>
      <w:r w:rsidRPr="001D2E59">
        <w:rPr>
          <w:rFonts w:ascii="Arial" w:hAnsi="Arial"/>
          <w:noProof/>
          <w:color w:val="000000"/>
        </w:rPr>
        <w:t xml:space="preserve">erotických </w:t>
      </w:r>
      <w:r w:rsidRPr="001D2E59">
        <w:rPr>
          <w:rFonts w:ascii="Arial" w:hAnsi="Arial"/>
          <w:noProof/>
        </w:rPr>
        <w:t>pomůcek,</w:t>
      </w:r>
    </w:p>
    <w:p w:rsidR="001D2E59" w:rsidRPr="001D2E59" w:rsidRDefault="001D2E59" w:rsidP="001D2E59">
      <w:pPr>
        <w:widowControl w:val="0"/>
        <w:numPr>
          <w:ilvl w:val="0"/>
          <w:numId w:val="14"/>
        </w:numPr>
        <w:tabs>
          <w:tab w:val="num" w:pos="1440"/>
        </w:tabs>
        <w:spacing w:after="120"/>
        <w:ind w:left="1440"/>
        <w:jc w:val="both"/>
        <w:rPr>
          <w:rFonts w:ascii="Arial" w:hAnsi="Arial"/>
          <w:noProof/>
        </w:rPr>
      </w:pPr>
      <w:r w:rsidRPr="001D2E59">
        <w:rPr>
          <w:rFonts w:ascii="Arial" w:hAnsi="Arial"/>
          <w:noProof/>
        </w:rPr>
        <w:t>propagující potlačování lidských práv a svobod, rasovou, národnostní, náboženskou či jinou diskriminaci,</w:t>
      </w:r>
    </w:p>
    <w:p w:rsidR="001D2E59" w:rsidRPr="001D2E59" w:rsidRDefault="001D2E59" w:rsidP="001D2E59">
      <w:pPr>
        <w:numPr>
          <w:ilvl w:val="0"/>
          <w:numId w:val="14"/>
        </w:numPr>
        <w:tabs>
          <w:tab w:val="num" w:pos="1440"/>
        </w:tabs>
        <w:spacing w:after="120"/>
        <w:ind w:left="1440"/>
        <w:jc w:val="both"/>
        <w:rPr>
          <w:rFonts w:ascii="Arial" w:hAnsi="Arial"/>
          <w:color w:val="000000"/>
        </w:rPr>
      </w:pPr>
      <w:r w:rsidRPr="001D2E59">
        <w:rPr>
          <w:rFonts w:ascii="Arial" w:hAnsi="Arial"/>
          <w:color w:val="000000"/>
        </w:rPr>
        <w:t>nikoli bezúhonné.</w:t>
      </w:r>
    </w:p>
    <w:p w:rsidR="001D2E59" w:rsidRPr="001D2E59" w:rsidRDefault="001D2E59" w:rsidP="001D2E59">
      <w:pPr>
        <w:tabs>
          <w:tab w:val="left" w:pos="1440"/>
        </w:tabs>
        <w:spacing w:after="120"/>
        <w:ind w:left="1080"/>
        <w:jc w:val="both"/>
        <w:rPr>
          <w:rFonts w:ascii="Arial" w:hAnsi="Arial"/>
          <w:color w:val="000000"/>
        </w:rPr>
      </w:pPr>
    </w:p>
    <w:p w:rsidR="001D2E59" w:rsidRPr="001D2E59" w:rsidRDefault="001D2E59" w:rsidP="001D2E59">
      <w:pPr>
        <w:jc w:val="center"/>
        <w:rPr>
          <w:rFonts w:ascii="Arial" w:hAnsi="Arial"/>
          <w:b/>
          <w:color w:val="000000"/>
        </w:rPr>
      </w:pPr>
      <w:r w:rsidRPr="001D2E59">
        <w:rPr>
          <w:rFonts w:ascii="Arial" w:hAnsi="Arial"/>
          <w:b/>
          <w:color w:val="000000"/>
        </w:rPr>
        <w:t>IV.</w:t>
      </w:r>
    </w:p>
    <w:p w:rsidR="001D2E59" w:rsidRPr="001D2E59" w:rsidRDefault="001D2E59" w:rsidP="001D2E59">
      <w:pPr>
        <w:jc w:val="center"/>
        <w:rPr>
          <w:rFonts w:ascii="Arial" w:hAnsi="Arial"/>
          <w:b/>
          <w:color w:val="000000"/>
        </w:rPr>
      </w:pPr>
      <w:r w:rsidRPr="001D2E59">
        <w:rPr>
          <w:rFonts w:ascii="Arial" w:hAnsi="Arial"/>
          <w:b/>
          <w:color w:val="000000"/>
        </w:rPr>
        <w:t>Ostatní ujednání</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 xml:space="preserve">Příjemce příspěvek přijímá a zavazuje se ho použít výlučně v souladu s účelem poskytnutí příspěvku dle čl. I. odst. 2. a 4. této smlouvy, v souladu s podmínkami stanovenými v této smlouvě, ve Smlouvě o poskytnutí licenčních práv a v souladu s usnesením Zastupitelstva Olomouckého kraje č. UZ/16/48/2010 ze dne </w:t>
      </w:r>
      <w:r w:rsidRPr="001D2E59">
        <w:rPr>
          <w:rFonts w:ascii="Arial" w:hAnsi="Arial"/>
        </w:rPr>
        <w:br/>
        <w:t xml:space="preserve">24. 9. 2010. Příspěvek musí být použit hospodárně. Příjemce je oprávněn použít příspěvek pouze na úhradu těchto nákladů spojených se zajištěním produktu „Olomouc region </w:t>
      </w:r>
      <w:proofErr w:type="spellStart"/>
      <w:r w:rsidRPr="001D2E59">
        <w:rPr>
          <w:rFonts w:ascii="Arial" w:hAnsi="Arial"/>
        </w:rPr>
        <w:t>Card</w:t>
      </w:r>
      <w:proofErr w:type="spellEnd"/>
      <w:r w:rsidRPr="001D2E59">
        <w:rPr>
          <w:rFonts w:ascii="Arial" w:hAnsi="Arial"/>
        </w:rPr>
        <w:t xml:space="preserve">“: výrobu a distribuci karet, informačních brožur, samolepek, označení pro prodejce, info letáčků; mzdové náklady pro administraci projektu; režijní náklady příjemce pro realizaci projektu (právní, účetní a daňové poplatky, bankovní poplatky, doprava, služby spojené s „Olomouc region </w:t>
      </w:r>
      <w:proofErr w:type="spellStart"/>
      <w:r w:rsidRPr="001D2E59">
        <w:rPr>
          <w:rFonts w:ascii="Arial" w:hAnsi="Arial"/>
        </w:rPr>
        <w:t>Card</w:t>
      </w:r>
      <w:proofErr w:type="spellEnd"/>
      <w:r w:rsidRPr="001D2E59">
        <w:rPr>
          <w:rFonts w:ascii="Arial" w:hAnsi="Arial"/>
        </w:rPr>
        <w:t xml:space="preserve">“), náklady spojené s reklamní kampaní a podporou prodeje karet; náklady na úhradu provizí prodejcům „Olomouc region </w:t>
      </w:r>
      <w:proofErr w:type="spellStart"/>
      <w:r w:rsidRPr="001D2E59">
        <w:rPr>
          <w:rFonts w:ascii="Arial" w:hAnsi="Arial"/>
        </w:rPr>
        <w:t>Card</w:t>
      </w:r>
      <w:proofErr w:type="spellEnd"/>
      <w:r w:rsidRPr="001D2E59">
        <w:rPr>
          <w:rFonts w:ascii="Arial" w:hAnsi="Arial"/>
        </w:rPr>
        <w:t>“, refundace vstupného poskytovatelům volných vstupů. Příjemce nesmí použít příspěvek na nákup darů a pohoštění. Bez předchozího písemného souhlasu poskytovatele nesmí příjemce příspěvek nebo jeho část poskytnout třetí osobě, není-li touto smlouvou stanoveno jinak.</w:t>
      </w:r>
    </w:p>
    <w:p w:rsidR="001D2E59" w:rsidRPr="001D2E59" w:rsidRDefault="001D2E59" w:rsidP="001D2E59">
      <w:pPr>
        <w:spacing w:after="120"/>
        <w:ind w:left="360"/>
        <w:jc w:val="both"/>
        <w:rPr>
          <w:rFonts w:ascii="Arial" w:hAnsi="Arial" w:cs="Arial"/>
          <w:iCs/>
        </w:rPr>
      </w:pPr>
      <w:r w:rsidRPr="001D2E59">
        <w:rPr>
          <w:rFonts w:ascii="Arial" w:hAnsi="Arial" w:cs="Arial"/>
          <w:iCs/>
        </w:rPr>
        <w:t>Je-li příjemce plátcem daně z přidané hodnoty (dále „DPH“) a může uplatnit odpočet DPH ve vazbě na ekonomickou činnost podléhající dani na výstupu podle § 72 zákona č. 235/2004 Sb., o dani z přidané hodnoty, v platném znění (dále jen „ZDPH“), a to v plné nebo zkrácené výši, nelze z příspěvku uhradit DPH ve výši tohoto odpočtu DPH, na který příjemci vznikl nárok.</w:t>
      </w:r>
    </w:p>
    <w:p w:rsidR="001D2E59" w:rsidRPr="001D2E59" w:rsidRDefault="001D2E59" w:rsidP="001D2E59">
      <w:pPr>
        <w:spacing w:after="120"/>
        <w:ind w:left="360"/>
        <w:jc w:val="both"/>
        <w:rPr>
          <w:rFonts w:ascii="Arial" w:hAnsi="Arial" w:cs="Arial"/>
          <w:iCs/>
        </w:rPr>
      </w:pPr>
      <w:r w:rsidRPr="001D2E59">
        <w:rPr>
          <w:rFonts w:ascii="Arial" w:hAnsi="Arial" w:cs="Arial"/>
          <w:iCs/>
        </w:rPr>
        <w:t xml:space="preserve">V případě, že se příjemce stane plátcem DPH v průběhu čerpání příspěvku a že se jeho právo uplatnit odpočet DPH při změně režimu podle § 74 ZDPH vztahuje na zdanitelná plnění hrazená včetně příslušné DPH z příspěvku, je příjemce povinen snížit výši dosud čerpaného příspěvku o výši daně z přidané hodnoty, </w:t>
      </w:r>
      <w:r w:rsidRPr="001D2E59">
        <w:rPr>
          <w:rFonts w:ascii="Arial" w:hAnsi="Arial" w:cs="Arial"/>
          <w:iCs/>
        </w:rPr>
        <w:lastRenderedPageBreak/>
        <w:t xml:space="preserve">kterou je příjemce oprávněn v souladu s § 74 ZDPH uplatnit v prvním daňovém přiznání po registraci k DPH. </w:t>
      </w:r>
    </w:p>
    <w:p w:rsidR="001D2E59" w:rsidRPr="001D2E59" w:rsidRDefault="001D2E59" w:rsidP="001D2E59">
      <w:pPr>
        <w:spacing w:after="120"/>
        <w:ind w:left="360"/>
        <w:jc w:val="both"/>
        <w:rPr>
          <w:rFonts w:ascii="Arial" w:hAnsi="Arial" w:cs="Arial"/>
          <w:iCs/>
        </w:rPr>
      </w:pPr>
      <w:r w:rsidRPr="001D2E59">
        <w:rPr>
          <w:rFonts w:ascii="Arial" w:hAnsi="Arial" w:cs="Arial"/>
          <w:iCs/>
        </w:rPr>
        <w:t xml:space="preserve">V případě, že dojde k registraci příjemce k DPH a příjemce při změně režimu podle § 74 ZDPH je oprávněn až po vyúčtování příspěvku uplatnit nárok na odpočet DPH, jež byla uhrazena z příspěvku, je příjemce povinen vrátit poskytovateli částku ve výši uplatněného odpočtu DPH, který byl čerpán jako uznatelný výdaj. </w:t>
      </w:r>
    </w:p>
    <w:p w:rsidR="001D2E59" w:rsidRPr="001D2E59" w:rsidRDefault="001D2E59" w:rsidP="001D2E59">
      <w:pPr>
        <w:spacing w:after="120"/>
        <w:ind w:left="360"/>
        <w:jc w:val="both"/>
        <w:rPr>
          <w:rFonts w:ascii="Arial" w:hAnsi="Arial" w:cs="Arial"/>
          <w:iCs/>
        </w:rPr>
      </w:pPr>
      <w:r w:rsidRPr="001D2E59">
        <w:rPr>
          <w:rFonts w:ascii="Arial" w:hAnsi="Arial" w:cs="Arial"/>
          <w:iCs/>
        </w:rPr>
        <w:t xml:space="preserve">Pokud má příjemce (plátce daně) ve shodě s  úpravou odpočtu podle § 78 ZDPH a vyrovnáním odpočtu podle § 79 ZDPH právo zvýšit ve lhůtě stanovené ZDPH svůj původně uplatněný nárok na odpočet DPH, který se vztahuje na zdanitelná plnění hrazená včetně příslušné DPH z příspěvku, je příjemce povinen upravit </w:t>
      </w:r>
      <w:r w:rsidRPr="001D2E59">
        <w:rPr>
          <w:rFonts w:ascii="Arial" w:hAnsi="Arial" w:cs="Arial"/>
          <w:iCs/>
        </w:rPr>
        <w:br/>
        <w:t xml:space="preserve">a vrátit poskytovateli část příspěvku ve výši uplatněného odpočtu DPH, a to do jednoho měsíce ode dne, kdy příslušný státní orgán vrátil příjemci uhrazenou DPH. Nevrátí-li příjemce takovou část příspěvku v této lhůtě, dopustí se porušení rozpočtové kázně ve smyslu </w:t>
      </w:r>
      <w:proofErr w:type="spellStart"/>
      <w:r w:rsidRPr="001D2E59">
        <w:rPr>
          <w:rFonts w:ascii="Arial" w:hAnsi="Arial" w:cs="Arial"/>
          <w:iCs/>
        </w:rPr>
        <w:t>ust</w:t>
      </w:r>
      <w:proofErr w:type="spellEnd"/>
      <w:r w:rsidRPr="001D2E59">
        <w:rPr>
          <w:rFonts w:ascii="Arial" w:hAnsi="Arial" w:cs="Arial"/>
          <w:iCs/>
        </w:rPr>
        <w:t>. § 22 zákona č. 250/2000 Sb., o rozpočtových pravidlech územních rozpočtů, ve znění pozdějších předpisů.</w:t>
      </w:r>
    </w:p>
    <w:p w:rsidR="001D2E59" w:rsidRPr="001D2E59" w:rsidRDefault="001D2E59" w:rsidP="001D2E59">
      <w:pPr>
        <w:spacing w:after="120"/>
        <w:ind w:left="360"/>
        <w:jc w:val="both"/>
        <w:rPr>
          <w:rFonts w:ascii="Arial" w:hAnsi="Arial" w:cs="Arial"/>
          <w:iCs/>
        </w:rPr>
      </w:pPr>
      <w:r w:rsidRPr="001D2E59">
        <w:rPr>
          <w:rFonts w:ascii="Arial" w:hAnsi="Arial" w:cs="Arial"/>
          <w:iCs/>
        </w:rPr>
        <w:t>Příspěvek nelze rovněž použít na úhradu ostatních daní.</w:t>
      </w:r>
    </w:p>
    <w:p w:rsidR="001D2E59" w:rsidRPr="001D2E59" w:rsidRDefault="001D2E59" w:rsidP="001D2E59">
      <w:pPr>
        <w:spacing w:after="120"/>
        <w:ind w:left="360"/>
        <w:jc w:val="both"/>
        <w:rPr>
          <w:rFonts w:ascii="Arial" w:hAnsi="Arial"/>
        </w:rPr>
      </w:pPr>
      <w:r w:rsidRPr="001D2E59">
        <w:rPr>
          <w:rFonts w:ascii="Arial" w:hAnsi="Arial"/>
        </w:rPr>
        <w:t>Příjemce je povinen vést příspěvek ve svém účetnictví odděleně.</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Příjemce je povinen použít poskytnutý příspěvek nejpozději do 31. 1. 2012. K vyúčtování poskytnutého příspěvku je příjemce oprávněn předložit doklady o platbách, které uskutečnil v období od 1. 1. 2011 do 31. 1. 2012, pokud byl dodržen účel poskytnutí příspěvku dle čl. I. odst. 2. a 4. této smlouvy a podmínky užití příspěvku dle čl. IV. odst. 1. této smlouvy a za předpokladu, že věcně náleží k nákladům kalendářního roku 2011.</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 xml:space="preserve">Příjemce je povinen umožnit poskytovateli provedení kontroly dodržení účelu </w:t>
      </w:r>
      <w:r w:rsidRPr="001D2E59">
        <w:rPr>
          <w:rFonts w:ascii="Arial" w:hAnsi="Arial"/>
        </w:rPr>
        <w:br/>
        <w:t>a podmínek použití poskytnutého příspěvku. Při této kontrole je příjemce povinen vyvíjet veškerou poskytovatelem požadovanou součinnost.</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Příjemce je povinen nejpozději do 28. 2. 2012 předložit poskytovateli vyúčtování poskytnutého příspěvku (dále jen „vyúčtování“)</w:t>
      </w:r>
    </w:p>
    <w:p w:rsidR="001D2E59" w:rsidRPr="001D2E59" w:rsidRDefault="001D2E59" w:rsidP="001D2E59">
      <w:pPr>
        <w:spacing w:after="60"/>
        <w:ind w:left="357"/>
        <w:jc w:val="both"/>
        <w:rPr>
          <w:rFonts w:ascii="Arial" w:hAnsi="Arial"/>
        </w:rPr>
      </w:pPr>
      <w:r w:rsidRPr="001D2E59">
        <w:rPr>
          <w:rFonts w:ascii="Arial" w:hAnsi="Arial"/>
        </w:rPr>
        <w:t>Vyúčtování musí obsahovat:</w:t>
      </w:r>
    </w:p>
    <w:p w:rsidR="001D2E59" w:rsidRPr="001D2E59" w:rsidRDefault="001D2E59" w:rsidP="001D2E59">
      <w:pPr>
        <w:widowControl w:val="0"/>
        <w:spacing w:after="60"/>
        <w:ind w:left="900" w:hanging="540"/>
        <w:jc w:val="both"/>
        <w:rPr>
          <w:rFonts w:ascii="Arial" w:hAnsi="Arial"/>
          <w:noProof/>
          <w:szCs w:val="20"/>
        </w:rPr>
      </w:pPr>
      <w:r w:rsidRPr="001D2E59">
        <w:rPr>
          <w:rFonts w:ascii="Arial" w:hAnsi="Arial"/>
          <w:noProof/>
          <w:szCs w:val="20"/>
        </w:rPr>
        <w:t xml:space="preserve">4.1. soupis výdajů hrazených z poskytnutého příspěvku v rozsahu uvedeném </w:t>
      </w:r>
      <w:r w:rsidRPr="001D2E59">
        <w:rPr>
          <w:rFonts w:ascii="Arial" w:hAnsi="Arial"/>
          <w:noProof/>
          <w:szCs w:val="20"/>
        </w:rPr>
        <w:br/>
        <w:t>v příloze č. 1 „Finanční vyúčtování příspěvku“ doložený:</w:t>
      </w:r>
    </w:p>
    <w:p w:rsidR="001D2E59" w:rsidRPr="001D2E59" w:rsidRDefault="001D2E59" w:rsidP="001D2E59">
      <w:pPr>
        <w:numPr>
          <w:ilvl w:val="0"/>
          <w:numId w:val="15"/>
        </w:numPr>
        <w:spacing w:after="120"/>
        <w:jc w:val="both"/>
        <w:rPr>
          <w:rFonts w:ascii="Arial" w:hAnsi="Arial" w:cs="Arial"/>
        </w:rPr>
      </w:pPr>
      <w:r w:rsidRPr="001D2E59">
        <w:rPr>
          <w:rFonts w:ascii="Arial" w:hAnsi="Arial" w:cs="Arial"/>
        </w:rPr>
        <w:t>fotokopiemi faktur s podrobným rozpisem dodávky (případně dodacím listem), popřípadě jiných účetních dokladů včetně příloh, prokazujících vynaložení výdajů,</w:t>
      </w:r>
    </w:p>
    <w:p w:rsidR="001D2E59" w:rsidRPr="001D2E59" w:rsidRDefault="001D2E59" w:rsidP="001D2E59">
      <w:pPr>
        <w:numPr>
          <w:ilvl w:val="0"/>
          <w:numId w:val="15"/>
        </w:numPr>
        <w:spacing w:after="120"/>
        <w:jc w:val="both"/>
        <w:rPr>
          <w:rFonts w:ascii="Arial" w:hAnsi="Arial" w:cs="Arial"/>
        </w:rPr>
      </w:pPr>
      <w:r w:rsidRPr="001D2E59">
        <w:rPr>
          <w:rFonts w:ascii="Arial" w:hAnsi="Arial" w:cs="Arial"/>
        </w:rPr>
        <w:t xml:space="preserve">fotokopiemi výdajových dokladů včetně příloh (stvrzenky, paragony apod.), na základě kterých je pokladní doklad vystaven, a to pouze </w:t>
      </w:r>
      <w:r w:rsidRPr="001D2E59">
        <w:rPr>
          <w:rFonts w:ascii="Arial" w:hAnsi="Arial" w:cs="Arial"/>
        </w:rPr>
        <w:br/>
        <w:t>u jednotlivých výdajů přesahujících částku 1000 Kč. U jednotlivých výdajů do výše 1000 Kč doloží příjemce pouze soupis těchto výdajů,</w:t>
      </w:r>
    </w:p>
    <w:p w:rsidR="001D2E59" w:rsidRPr="001D2E59" w:rsidRDefault="001D2E59" w:rsidP="001D2E59">
      <w:pPr>
        <w:numPr>
          <w:ilvl w:val="0"/>
          <w:numId w:val="15"/>
        </w:numPr>
        <w:spacing w:after="120"/>
        <w:jc w:val="both"/>
        <w:rPr>
          <w:rFonts w:ascii="Arial" w:hAnsi="Arial" w:cs="Arial"/>
        </w:rPr>
      </w:pPr>
      <w:r w:rsidRPr="001D2E59">
        <w:rPr>
          <w:rFonts w:ascii="Arial" w:hAnsi="Arial" w:cs="Arial"/>
        </w:rPr>
        <w:t>fotokopiemi všech výpisů z bankovního účtu, které dokládají úhradu předložených faktur, s vyznačením dotčených plateb,</w:t>
      </w:r>
    </w:p>
    <w:p w:rsidR="001D2E59" w:rsidRPr="001D2E59" w:rsidRDefault="001D2E59" w:rsidP="001D2E59">
      <w:pPr>
        <w:numPr>
          <w:ilvl w:val="0"/>
          <w:numId w:val="15"/>
        </w:numPr>
        <w:spacing w:after="120"/>
        <w:jc w:val="both"/>
        <w:rPr>
          <w:rFonts w:ascii="Arial" w:hAnsi="Arial" w:cs="Arial"/>
        </w:rPr>
      </w:pPr>
      <w:r w:rsidRPr="001D2E59">
        <w:rPr>
          <w:rFonts w:ascii="Arial" w:hAnsi="Arial" w:cs="Arial"/>
        </w:rPr>
        <w:lastRenderedPageBreak/>
        <w:t>čestným prohlášením, že fotokopie předaných dokladů a výdaje uvedené v soupisech jsou shodné s originály dokladů a se záznamy v účetnictví příjemce.</w:t>
      </w:r>
    </w:p>
    <w:p w:rsidR="001D2E59" w:rsidRPr="001D2E59" w:rsidRDefault="001D2E59" w:rsidP="001D2E59">
      <w:pPr>
        <w:tabs>
          <w:tab w:val="left" w:pos="1080"/>
        </w:tabs>
        <w:spacing w:before="120" w:after="120"/>
        <w:ind w:left="357"/>
        <w:jc w:val="both"/>
        <w:rPr>
          <w:rFonts w:ascii="Arial" w:hAnsi="Arial"/>
        </w:rPr>
      </w:pPr>
      <w:r w:rsidRPr="001D2E59">
        <w:rPr>
          <w:rFonts w:ascii="Arial" w:hAnsi="Arial"/>
        </w:rPr>
        <w:t>Společně s vyúčtováním příjemce předloží poskytovateli závěrečnou zprávu</w:t>
      </w:r>
      <w:r w:rsidRPr="001D2E59">
        <w:t xml:space="preserve">. </w:t>
      </w:r>
      <w:r w:rsidRPr="001D2E59">
        <w:rPr>
          <w:rFonts w:ascii="Arial" w:hAnsi="Arial"/>
        </w:rPr>
        <w:t xml:space="preserve">Závěrečná zpráva musí obsahovat popis jednotlivých aktivit realizovaných v rámci „produktu ORC“, seznam subjektů zapojených do „produktu ORC“, přehled prodeje jednotlivých druhů karet za rok 2011, přehled návštěvnosti objektů se vstupy zdarma, seznam prodejců, podrobný rozpis marketingových aktivit, rozpočet za rok 2011 (původní plán a skutečný stav) a vzorky brožur </w:t>
      </w:r>
      <w:r w:rsidRPr="001D2E59">
        <w:rPr>
          <w:rFonts w:ascii="Arial" w:hAnsi="Arial"/>
        </w:rPr>
        <w:br/>
        <w:t>a propagačních materiálů vydaných k „</w:t>
      </w:r>
      <w:proofErr w:type="gramStart"/>
      <w:r w:rsidRPr="001D2E59">
        <w:rPr>
          <w:rFonts w:ascii="Arial" w:hAnsi="Arial"/>
        </w:rPr>
        <w:t>Olomouc</w:t>
      </w:r>
      <w:proofErr w:type="gramEnd"/>
      <w:r w:rsidRPr="001D2E59">
        <w:rPr>
          <w:rFonts w:ascii="Arial" w:hAnsi="Arial"/>
        </w:rPr>
        <w:t xml:space="preserve"> region </w:t>
      </w:r>
      <w:proofErr w:type="spellStart"/>
      <w:r w:rsidRPr="001D2E59">
        <w:rPr>
          <w:rFonts w:ascii="Arial" w:hAnsi="Arial"/>
        </w:rPr>
        <w:t>Card</w:t>
      </w:r>
      <w:proofErr w:type="spellEnd"/>
      <w:r w:rsidRPr="001D2E59">
        <w:rPr>
          <w:rFonts w:ascii="Arial" w:hAnsi="Arial"/>
        </w:rPr>
        <w:t xml:space="preserve">“. Závěrečná zpráva bude dodána v tištěné i elektronické podobě. </w:t>
      </w:r>
    </w:p>
    <w:p w:rsidR="001D2E59" w:rsidRPr="001D2E59" w:rsidRDefault="001D2E59" w:rsidP="001D2E59">
      <w:pPr>
        <w:widowControl w:val="0"/>
        <w:numPr>
          <w:ilvl w:val="0"/>
          <w:numId w:val="8"/>
        </w:numPr>
        <w:spacing w:after="120"/>
        <w:jc w:val="both"/>
        <w:outlineLvl w:val="0"/>
        <w:rPr>
          <w:rFonts w:ascii="Arial" w:hAnsi="Arial"/>
          <w:noProof/>
          <w:szCs w:val="20"/>
        </w:rPr>
      </w:pPr>
      <w:r w:rsidRPr="001D2E59">
        <w:rPr>
          <w:rFonts w:ascii="Arial" w:hAnsi="Arial"/>
          <w:noProof/>
          <w:szCs w:val="20"/>
        </w:rPr>
        <w:t xml:space="preserve">V případě, že příspěvek nebyl použit v celé výši ve lhůtě uvedené v čl. II. odst. 2. této smlouvy, je příjemce povinen vrátit nevyčerpanou část příspěvku na účet poskytovatele nejpozději do 15 dnů ode dne předložení vyúčtování poskytovateli. </w:t>
      </w:r>
      <w:r w:rsidRPr="001D2E59">
        <w:rPr>
          <w:rFonts w:ascii="Arial" w:hAnsi="Arial" w:cs="Arial"/>
          <w:noProof/>
          <w:szCs w:val="20"/>
        </w:rPr>
        <w:t>Nevrátí-li příjemce nevyčerpanou část příspěvku v této lhůtě, dopustí se porušení rozpočtové kázně ve smyslu ust. § 22 zákona č. 250/2000 Sb., o rozpočtových pravidlech územních rozpočtů, ve znění pozdějších předpisů.</w:t>
      </w:r>
      <w:r w:rsidRPr="001D2E59">
        <w:rPr>
          <w:rFonts w:ascii="Arial" w:hAnsi="Arial"/>
          <w:noProof/>
          <w:szCs w:val="20"/>
        </w:rPr>
        <w:t>.</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 xml:space="preserve">V případě, že příjemce použije příspěvek nebo jeho část na jiný účel než účel sjednaný touto smlouvou v čl. I. odst. 2. a 4. či poruší některou z jiných podmínek použití příspěvku, stanovených v čl. IV. odst. 1. této smlouvy, </w:t>
      </w:r>
      <w:r w:rsidRPr="001D2E59">
        <w:rPr>
          <w:rFonts w:ascii="Arial" w:hAnsi="Arial" w:cs="Arial"/>
        </w:rPr>
        <w:t xml:space="preserve">dopustí se porušení rozpočtové kázně ve smyslu </w:t>
      </w:r>
      <w:proofErr w:type="spellStart"/>
      <w:r w:rsidRPr="001D2E59">
        <w:rPr>
          <w:rFonts w:ascii="Arial" w:hAnsi="Arial" w:cs="Arial"/>
        </w:rPr>
        <w:t>ust</w:t>
      </w:r>
      <w:proofErr w:type="spellEnd"/>
      <w:r w:rsidRPr="001D2E59">
        <w:rPr>
          <w:rFonts w:ascii="Arial" w:hAnsi="Arial" w:cs="Arial"/>
        </w:rPr>
        <w:t>. § 22 zákona č. 250/2000 Sb., o rozpočtových pravidlech územních rozpočtů, ve znění pozdějších předpisů.</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 xml:space="preserve">V případě, že příjemce poruší některou z povinností uvedených v ustanoveních </w:t>
      </w:r>
      <w:r w:rsidRPr="001D2E59">
        <w:rPr>
          <w:rFonts w:ascii="Arial" w:hAnsi="Arial"/>
        </w:rPr>
        <w:br/>
        <w:t xml:space="preserve">čl. III., čl. IV. odst. 3., 4., 10. a 12. této smlouvy, je poskytovatel oprávněn odstoupit od této smlouvy. V takovém případě je příjemce povinen do 15 dnů ode dne doručení písemného odstoupení od smlouvy vrátit poskytovateli všechna plnění, která obdržel na základě této smlouvy. </w:t>
      </w:r>
      <w:r w:rsidRPr="001D2E59">
        <w:rPr>
          <w:rFonts w:ascii="Arial" w:hAnsi="Arial" w:cs="Arial"/>
        </w:rPr>
        <w:t xml:space="preserve">Nevrátí-li příjemce tato plnění ve stanovené lhůtě, dopustí se porušení rozpočtové kázně ve smyslu </w:t>
      </w:r>
      <w:proofErr w:type="spellStart"/>
      <w:r w:rsidRPr="001D2E59">
        <w:rPr>
          <w:rFonts w:ascii="Arial" w:hAnsi="Arial" w:cs="Arial"/>
        </w:rPr>
        <w:t>ust</w:t>
      </w:r>
      <w:proofErr w:type="spellEnd"/>
      <w:r w:rsidRPr="001D2E59">
        <w:rPr>
          <w:rFonts w:ascii="Arial" w:hAnsi="Arial" w:cs="Arial"/>
        </w:rPr>
        <w:t>. § 22 zákona č. 250/2000 Sb., o rozpočtových pravidlech územních rozpočtů, ve znění pozdějších předpisů.</w:t>
      </w:r>
      <w:r w:rsidRPr="001D2E59">
        <w:rPr>
          <w:rFonts w:ascii="Arial" w:hAnsi="Arial"/>
        </w:rPr>
        <w:t xml:space="preserve"> </w:t>
      </w:r>
    </w:p>
    <w:p w:rsidR="001D2E59" w:rsidRPr="001D2E59" w:rsidRDefault="001D2E59" w:rsidP="001D2E59">
      <w:pPr>
        <w:numPr>
          <w:ilvl w:val="0"/>
          <w:numId w:val="8"/>
        </w:numPr>
        <w:tabs>
          <w:tab w:val="left" w:pos="360"/>
        </w:tabs>
        <w:spacing w:after="120"/>
        <w:jc w:val="both"/>
        <w:rPr>
          <w:rFonts w:ascii="Arial" w:hAnsi="Arial"/>
        </w:rPr>
      </w:pPr>
      <w:r w:rsidRPr="001D2E59">
        <w:rPr>
          <w:rFonts w:ascii="Arial" w:hAnsi="Arial"/>
        </w:rPr>
        <w:t xml:space="preserve">V případě, že je příjemce dle čl. IV. odst. 1., 5., 6. nebo 7. této smlouvy povinen </w:t>
      </w:r>
      <w:r w:rsidRPr="001D2E59">
        <w:rPr>
          <w:rFonts w:ascii="Arial" w:hAnsi="Arial"/>
        </w:rPr>
        <w:br/>
        <w:t xml:space="preserve">vrátit příspěvek nebo jeho část nebo uhradit penále, vrátí příjemce </w:t>
      </w:r>
      <w:r w:rsidRPr="001D2E59">
        <w:rPr>
          <w:rFonts w:ascii="Arial" w:hAnsi="Arial"/>
        </w:rPr>
        <w:br/>
        <w:t xml:space="preserve">příspěvek nebo jeho část, resp. uhradí penále na účet poskytovatele </w:t>
      </w:r>
      <w:r w:rsidRPr="001D2E59">
        <w:rPr>
          <w:rFonts w:ascii="Arial" w:hAnsi="Arial"/>
        </w:rPr>
        <w:br/>
        <w:t>č. 27-4228330207/0100, Komerční banka, a. s. Olomouc.</w:t>
      </w:r>
    </w:p>
    <w:p w:rsidR="001D2E59" w:rsidRPr="001D2E59" w:rsidRDefault="001D2E59" w:rsidP="001D2E59">
      <w:pPr>
        <w:numPr>
          <w:ilvl w:val="0"/>
          <w:numId w:val="8"/>
        </w:numPr>
        <w:tabs>
          <w:tab w:val="left" w:pos="360"/>
          <w:tab w:val="left" w:pos="1800"/>
        </w:tabs>
        <w:spacing w:after="120"/>
        <w:jc w:val="both"/>
        <w:rPr>
          <w:rFonts w:ascii="Arial" w:hAnsi="Arial"/>
        </w:rPr>
      </w:pPr>
      <w:r w:rsidRPr="001D2E59">
        <w:rPr>
          <w:rFonts w:ascii="Arial" w:hAnsi="Arial"/>
        </w:rPr>
        <w:t>Příjemce se zavazuje seznámit poskytovatele neprodleně s těmito skutečnostmi: se změnami bankovního spojení, statutárního zástupce a dalšími zásadními změnami, které mají vliv na fungování „produktu ORC“.</w:t>
      </w:r>
    </w:p>
    <w:p w:rsidR="001D2E59" w:rsidRPr="001D2E59" w:rsidRDefault="001D2E59" w:rsidP="001D2E59">
      <w:pPr>
        <w:numPr>
          <w:ilvl w:val="0"/>
          <w:numId w:val="8"/>
        </w:numPr>
        <w:tabs>
          <w:tab w:val="left" w:pos="360"/>
          <w:tab w:val="left" w:pos="1800"/>
        </w:tabs>
        <w:spacing w:after="120"/>
        <w:jc w:val="both"/>
        <w:rPr>
          <w:rFonts w:ascii="Arial" w:hAnsi="Arial"/>
        </w:rPr>
      </w:pPr>
      <w:r w:rsidRPr="001D2E59">
        <w:rPr>
          <w:rFonts w:ascii="Arial" w:hAnsi="Arial"/>
        </w:rPr>
        <w:t xml:space="preserve">Příjemce je povinen na všechny propagační materiály a na </w:t>
      </w:r>
      <w:proofErr w:type="spellStart"/>
      <w:r w:rsidRPr="001D2E59">
        <w:rPr>
          <w:rFonts w:ascii="Arial" w:hAnsi="Arial"/>
        </w:rPr>
        <w:t>infobrožury</w:t>
      </w:r>
      <w:proofErr w:type="spellEnd"/>
      <w:r w:rsidRPr="001D2E59">
        <w:rPr>
          <w:rFonts w:ascii="Arial" w:hAnsi="Arial"/>
        </w:rPr>
        <w:t xml:space="preserve"> vydané příjemcem ve spojení s produktem „Olomouc region </w:t>
      </w:r>
      <w:proofErr w:type="spellStart"/>
      <w:r w:rsidRPr="001D2E59">
        <w:rPr>
          <w:rFonts w:ascii="Arial" w:hAnsi="Arial"/>
        </w:rPr>
        <w:t>Card</w:t>
      </w:r>
      <w:proofErr w:type="spellEnd"/>
      <w:r w:rsidRPr="001D2E59">
        <w:rPr>
          <w:rFonts w:ascii="Arial" w:hAnsi="Arial"/>
        </w:rPr>
        <w:t>“ umístit logo Olomouckého kraje a uvést zde, že poskytovatel finančně přispívá na realizaci projektu.</w:t>
      </w:r>
    </w:p>
    <w:p w:rsidR="001D2E59" w:rsidRPr="001D2E59" w:rsidRDefault="001D2E59" w:rsidP="001D2E59">
      <w:pPr>
        <w:numPr>
          <w:ilvl w:val="0"/>
          <w:numId w:val="8"/>
        </w:numPr>
        <w:tabs>
          <w:tab w:val="left" w:pos="360"/>
          <w:tab w:val="left" w:pos="1800"/>
        </w:tabs>
        <w:spacing w:after="120"/>
        <w:jc w:val="both"/>
        <w:rPr>
          <w:rFonts w:ascii="Arial" w:hAnsi="Arial"/>
        </w:rPr>
      </w:pPr>
      <w:r w:rsidRPr="001D2E59">
        <w:rPr>
          <w:rFonts w:ascii="Arial" w:hAnsi="Arial"/>
        </w:rPr>
        <w:t>Poskytovatel uděluje příjemci souhlas s bezúplatným užitím loga Olomouckého kraje způsobem a v rozsahu uvedeném ve čl. IV. odst. 10. smlouvy.</w:t>
      </w:r>
    </w:p>
    <w:p w:rsidR="001D2E59" w:rsidRPr="001D2E59" w:rsidRDefault="001D2E59" w:rsidP="001D2E59">
      <w:pPr>
        <w:numPr>
          <w:ilvl w:val="0"/>
          <w:numId w:val="8"/>
        </w:numPr>
        <w:tabs>
          <w:tab w:val="left" w:pos="360"/>
          <w:tab w:val="left" w:pos="1800"/>
        </w:tabs>
        <w:spacing w:after="120"/>
        <w:jc w:val="both"/>
        <w:rPr>
          <w:rFonts w:ascii="Arial" w:hAnsi="Arial"/>
        </w:rPr>
      </w:pPr>
      <w:r w:rsidRPr="001D2E59">
        <w:rPr>
          <w:rFonts w:ascii="Arial" w:hAnsi="Arial"/>
        </w:rPr>
        <w:lastRenderedPageBreak/>
        <w:t xml:space="preserve">Pokud bude příjemce při realizaci akce, na niž je poskytován příspěvek dle této smlouvy, zadavatelem veřejné zakázky dle příslušných ustanovení zákona </w:t>
      </w:r>
      <w:r w:rsidRPr="001D2E59">
        <w:rPr>
          <w:rFonts w:ascii="Arial" w:hAnsi="Arial"/>
        </w:rPr>
        <w:br/>
        <w:t>o veřejných zakázkách, je povinen při její realizaci postupovat dle tohoto zákona.</w:t>
      </w:r>
    </w:p>
    <w:p w:rsidR="001D2E59" w:rsidRPr="001D2E59" w:rsidRDefault="001D2E59" w:rsidP="001D2E59">
      <w:pPr>
        <w:numPr>
          <w:ilvl w:val="0"/>
          <w:numId w:val="8"/>
        </w:numPr>
        <w:tabs>
          <w:tab w:val="left" w:pos="360"/>
          <w:tab w:val="left" w:pos="1800"/>
        </w:tabs>
        <w:spacing w:after="120"/>
        <w:jc w:val="both"/>
        <w:rPr>
          <w:rFonts w:ascii="Arial" w:hAnsi="Arial"/>
        </w:rPr>
      </w:pPr>
      <w:r w:rsidRPr="001D2E59">
        <w:rPr>
          <w:rFonts w:ascii="Arial" w:hAnsi="Arial"/>
        </w:rPr>
        <w:t>V případě vypovězení smlouvy ze strany poskytovatele dle čl. V. odst. 5 předloží příjemce poskytovateli vyúčtování aktivit „produktu ORC“ realizovaných do data vypovězení smlouvy a je oprávněn použít příspěvek na úhradu nákladů, které převyšují příjmy z „produktu ORC“.</w:t>
      </w:r>
    </w:p>
    <w:p w:rsidR="001D2E59" w:rsidRPr="001D2E59" w:rsidRDefault="001D2E59" w:rsidP="001D2E59">
      <w:pPr>
        <w:tabs>
          <w:tab w:val="left" w:pos="1800"/>
        </w:tabs>
        <w:spacing w:after="120"/>
        <w:jc w:val="both"/>
        <w:rPr>
          <w:rFonts w:ascii="Arial" w:hAnsi="Arial"/>
        </w:rPr>
      </w:pPr>
    </w:p>
    <w:p w:rsidR="001D2E59" w:rsidRPr="001D2E59" w:rsidRDefault="001D2E59" w:rsidP="001D2E59">
      <w:pPr>
        <w:keepNext/>
        <w:tabs>
          <w:tab w:val="left" w:pos="360"/>
        </w:tabs>
        <w:ind w:left="360" w:hanging="433"/>
        <w:jc w:val="center"/>
        <w:outlineLvl w:val="2"/>
        <w:rPr>
          <w:rFonts w:ascii="Arial" w:hAnsi="Arial" w:cs="Arial"/>
          <w:b/>
          <w:bCs/>
        </w:rPr>
      </w:pPr>
      <w:r w:rsidRPr="001D2E59">
        <w:rPr>
          <w:rFonts w:ascii="Arial" w:hAnsi="Arial" w:cs="Arial"/>
          <w:b/>
          <w:bCs/>
        </w:rPr>
        <w:t>V.</w:t>
      </w:r>
    </w:p>
    <w:p w:rsidR="001D2E59" w:rsidRPr="001D2E59" w:rsidRDefault="001D2E59" w:rsidP="001D2E59">
      <w:pPr>
        <w:jc w:val="center"/>
        <w:rPr>
          <w:rFonts w:ascii="Arial" w:hAnsi="Arial"/>
          <w:b/>
        </w:rPr>
      </w:pPr>
      <w:r w:rsidRPr="001D2E59">
        <w:rPr>
          <w:rFonts w:ascii="Arial" w:hAnsi="Arial"/>
          <w:b/>
        </w:rPr>
        <w:t>Závěrečná ustanovení</w:t>
      </w:r>
    </w:p>
    <w:p w:rsidR="001D2E59" w:rsidRPr="001D2E59" w:rsidRDefault="001D2E59" w:rsidP="001D2E59">
      <w:pPr>
        <w:widowControl w:val="0"/>
        <w:numPr>
          <w:ilvl w:val="0"/>
          <w:numId w:val="9"/>
        </w:numPr>
        <w:spacing w:after="120"/>
        <w:jc w:val="both"/>
        <w:outlineLvl w:val="0"/>
        <w:rPr>
          <w:rFonts w:ascii="Arial" w:hAnsi="Arial"/>
          <w:noProof/>
          <w:szCs w:val="20"/>
        </w:rPr>
      </w:pPr>
      <w:r w:rsidRPr="001D2E59">
        <w:rPr>
          <w:rFonts w:ascii="Arial" w:hAnsi="Arial"/>
          <w:noProof/>
          <w:szCs w:val="20"/>
        </w:rPr>
        <w:t>Smluvní strany se v souladu s § 262 odst. 1 zákona č. 513/1991 Sb., obchodního zákoníku, v platném znění, dohodly, že závazkový vztah upravený touto smlouvou a vztahy ve smlouvě výslovně neupravené a z ní vyplývající se řídí obchodním zákoníkem v platném znění.</w:t>
      </w:r>
    </w:p>
    <w:p w:rsidR="001D2E59" w:rsidRPr="001D2E59" w:rsidRDefault="001D2E59" w:rsidP="001D2E59">
      <w:pPr>
        <w:numPr>
          <w:ilvl w:val="0"/>
          <w:numId w:val="9"/>
        </w:numPr>
        <w:spacing w:after="120"/>
        <w:jc w:val="both"/>
        <w:rPr>
          <w:rFonts w:ascii="Arial" w:hAnsi="Arial"/>
        </w:rPr>
      </w:pPr>
      <w:r w:rsidRPr="001D2E59">
        <w:rPr>
          <w:rFonts w:ascii="Arial" w:hAnsi="Arial" w:cs="Arial"/>
        </w:rPr>
        <w:t xml:space="preserve">Příjemce bere na vědomí, že příspěvek poskytnutý dle této smlouvy zakládá podporu malého rozsahu – tj. podporu de </w:t>
      </w:r>
      <w:proofErr w:type="spellStart"/>
      <w:r w:rsidRPr="001D2E59">
        <w:rPr>
          <w:rFonts w:ascii="Arial" w:hAnsi="Arial" w:cs="Arial"/>
        </w:rPr>
        <w:t>minimis</w:t>
      </w:r>
      <w:proofErr w:type="spellEnd"/>
      <w:r w:rsidRPr="001D2E59">
        <w:rPr>
          <w:rFonts w:ascii="Arial" w:hAnsi="Arial" w:cs="Arial"/>
        </w:rPr>
        <w:t xml:space="preserve"> při splnění podmínek Nařízení Komise č. 1998/2006 ze dne 15. prosince 2006 o použití článku 87 a 88 Smlouvy na podporu de </w:t>
      </w:r>
      <w:proofErr w:type="spellStart"/>
      <w:r w:rsidRPr="001D2E59">
        <w:rPr>
          <w:rFonts w:ascii="Arial" w:hAnsi="Arial" w:cs="Arial"/>
        </w:rPr>
        <w:t>minimis</w:t>
      </w:r>
      <w:proofErr w:type="spellEnd"/>
      <w:r w:rsidRPr="001D2E59">
        <w:rPr>
          <w:rFonts w:ascii="Arial" w:hAnsi="Arial" w:cs="Arial"/>
        </w:rPr>
        <w:t>, které bylo zveřejněno v Úředním věstníku Evropské unie L 379 dne 28. prosince 2006.</w:t>
      </w:r>
    </w:p>
    <w:p w:rsidR="001D2E59" w:rsidRPr="001D2E59" w:rsidRDefault="001D2E59" w:rsidP="001D2E59">
      <w:pPr>
        <w:numPr>
          <w:ilvl w:val="0"/>
          <w:numId w:val="9"/>
        </w:numPr>
        <w:spacing w:after="120"/>
        <w:jc w:val="both"/>
        <w:rPr>
          <w:rFonts w:ascii="Arial" w:hAnsi="Arial"/>
        </w:rPr>
      </w:pPr>
      <w:r w:rsidRPr="001D2E59">
        <w:rPr>
          <w:rFonts w:ascii="Arial" w:hAnsi="Arial" w:cs="Arial"/>
        </w:rPr>
        <w:t xml:space="preserve">Příjemce prohlašuje, že před uzavřením této smlouvy informoval poskytovatele prostřednictvím Krajského úřadu Olomouckého kraje, odboru Kancelář hejtmana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Kancelář hejtmana veškeré změny, které nastanou v uvedených skutečnostech až do dne vyplacení podpory, a to neprodleně po jejich vzniku. </w:t>
      </w:r>
      <w:r w:rsidRPr="001D2E59">
        <w:rPr>
          <w:rFonts w:ascii="Arial" w:hAnsi="Arial"/>
        </w:rPr>
        <w:t>Tato smlouva nabývá platnosti a účinnosti dnem jejího uzavření.</w:t>
      </w:r>
    </w:p>
    <w:p w:rsidR="001D2E59" w:rsidRPr="001D2E59" w:rsidRDefault="001D2E59" w:rsidP="001D2E59">
      <w:pPr>
        <w:numPr>
          <w:ilvl w:val="0"/>
          <w:numId w:val="9"/>
        </w:numPr>
        <w:spacing w:after="120"/>
        <w:jc w:val="both"/>
        <w:rPr>
          <w:rFonts w:ascii="Arial" w:hAnsi="Arial"/>
        </w:rPr>
      </w:pPr>
      <w:r w:rsidRPr="001D2E59">
        <w:rPr>
          <w:rFonts w:ascii="Arial" w:hAnsi="Arial"/>
        </w:rPr>
        <w:t>Tato smlouva nabývá platnosti a účinnosti dnem jejího uzavření.</w:t>
      </w:r>
    </w:p>
    <w:p w:rsidR="001D2E59" w:rsidRPr="001D2E59" w:rsidRDefault="001D2E59" w:rsidP="001D2E59">
      <w:pPr>
        <w:numPr>
          <w:ilvl w:val="0"/>
          <w:numId w:val="9"/>
        </w:numPr>
        <w:spacing w:after="120"/>
        <w:jc w:val="both"/>
        <w:rPr>
          <w:rFonts w:ascii="Arial" w:hAnsi="Arial"/>
        </w:rPr>
      </w:pPr>
      <w:r w:rsidRPr="001D2E59">
        <w:rPr>
          <w:rFonts w:ascii="Arial" w:hAnsi="Arial"/>
        </w:rPr>
        <w:t>Tuto smlouvu lze měnit pouze písemnými vzestupně číslovanými dodatky.</w:t>
      </w:r>
    </w:p>
    <w:p w:rsidR="001D2E59" w:rsidRPr="001D2E59" w:rsidRDefault="001D2E59" w:rsidP="001D2E59">
      <w:pPr>
        <w:numPr>
          <w:ilvl w:val="0"/>
          <w:numId w:val="9"/>
        </w:numPr>
        <w:spacing w:after="120"/>
        <w:jc w:val="both"/>
        <w:rPr>
          <w:rFonts w:ascii="Arial" w:hAnsi="Arial"/>
        </w:rPr>
      </w:pPr>
      <w:r w:rsidRPr="001D2E59">
        <w:rPr>
          <w:rFonts w:ascii="Arial" w:hAnsi="Arial"/>
        </w:rPr>
        <w:t xml:space="preserve">Každá ze smluvních stran je oprávněna od této smlouvy odstoupit nebo tuto smlouvu vypovědět v případě neplatnosti, zrušení nebo ukončení účinnosti Smlouvy o poskytnutí licenčních práv k projektu „Marketingová podpora Olomouc region </w:t>
      </w:r>
      <w:proofErr w:type="spellStart"/>
      <w:r w:rsidRPr="001D2E59">
        <w:rPr>
          <w:rFonts w:ascii="Arial" w:hAnsi="Arial"/>
        </w:rPr>
        <w:t>Card</w:t>
      </w:r>
      <w:proofErr w:type="spellEnd"/>
      <w:r w:rsidRPr="001D2E59">
        <w:rPr>
          <w:rFonts w:ascii="Arial" w:hAnsi="Arial"/>
        </w:rPr>
        <w:t>“ uzavřené mezi příjemcem a statutárním městem Olomouc dne 10. 10. 2006 nebo při faktickém nevykonávání činností dle výše uvedených smluv příjemcem. Výpovědní lhůta je tříměsíční a počíná běžet od prvního dne měsíce následujícího po doručení písemné výpovědi druhé smluvní straně.</w:t>
      </w:r>
    </w:p>
    <w:p w:rsidR="001D2E59" w:rsidRPr="001D2E59" w:rsidRDefault="001D2E59" w:rsidP="001D2E59">
      <w:pPr>
        <w:numPr>
          <w:ilvl w:val="0"/>
          <w:numId w:val="9"/>
        </w:numPr>
        <w:spacing w:after="120"/>
        <w:jc w:val="both"/>
        <w:rPr>
          <w:rFonts w:ascii="Arial" w:hAnsi="Arial"/>
        </w:rPr>
      </w:pPr>
      <w:r w:rsidRPr="001D2E59">
        <w:rPr>
          <w:rFonts w:ascii="Arial" w:hAnsi="Arial"/>
        </w:rPr>
        <w:t xml:space="preserve">Smluvní strany shodně prohlašují, že obsah této smlouvy není obchodním tajemstvím ve smyslu ustanovení § 17 obchodního zákoníku v platném znění </w:t>
      </w:r>
      <w:r w:rsidRPr="001D2E59">
        <w:rPr>
          <w:rFonts w:ascii="Arial" w:hAnsi="Arial"/>
        </w:rPr>
        <w:br/>
        <w:t>a souhlasí s případným zveřejněním jejího textu.</w:t>
      </w:r>
    </w:p>
    <w:p w:rsidR="001D2E59" w:rsidRPr="001D2E59" w:rsidRDefault="001D2E59" w:rsidP="001D2E59">
      <w:pPr>
        <w:numPr>
          <w:ilvl w:val="0"/>
          <w:numId w:val="9"/>
        </w:numPr>
        <w:spacing w:after="120"/>
        <w:jc w:val="both"/>
        <w:rPr>
          <w:rFonts w:ascii="Arial" w:hAnsi="Arial"/>
        </w:rPr>
      </w:pPr>
      <w:r w:rsidRPr="001D2E59">
        <w:rPr>
          <w:rFonts w:ascii="Arial" w:hAnsi="Arial"/>
        </w:rPr>
        <w:t>Poskytnutí příspěvku a uzavření smlouvy bylo schváleno usnesením Zastupitelstva Olomouckého kraje č. UZ/16/48/2010 ze dne 24. 9. 2010.</w:t>
      </w:r>
    </w:p>
    <w:p w:rsidR="001D2E59" w:rsidRPr="001D2E59" w:rsidRDefault="001D2E59" w:rsidP="001D2E59">
      <w:pPr>
        <w:numPr>
          <w:ilvl w:val="0"/>
          <w:numId w:val="9"/>
        </w:numPr>
        <w:spacing w:after="120"/>
        <w:jc w:val="both"/>
        <w:rPr>
          <w:rFonts w:ascii="Arial" w:hAnsi="Arial"/>
        </w:rPr>
      </w:pPr>
      <w:r w:rsidRPr="001D2E59">
        <w:rPr>
          <w:rFonts w:ascii="Arial" w:hAnsi="Arial"/>
        </w:rPr>
        <w:lastRenderedPageBreak/>
        <w:t>Tato smlouva je sepsána ve 4 vyhotoveních, z nichž jedno obdrží příjemce příspěvku a tři vyhotovení obdrží poskytovatel.</w:t>
      </w:r>
    </w:p>
    <w:p w:rsidR="001D2E59" w:rsidRPr="001D2E59" w:rsidRDefault="001D2E59" w:rsidP="001D2E59">
      <w:pPr>
        <w:jc w:val="both"/>
        <w:outlineLvl w:val="0"/>
        <w:rPr>
          <w:rFonts w:ascii="Arial" w:hAnsi="Arial"/>
        </w:rPr>
      </w:pPr>
    </w:p>
    <w:p w:rsidR="001D2E59" w:rsidRPr="001D2E59" w:rsidRDefault="001D2E59" w:rsidP="001D2E59">
      <w:pPr>
        <w:jc w:val="both"/>
        <w:outlineLvl w:val="0"/>
        <w:rPr>
          <w:rFonts w:ascii="Arial" w:hAnsi="Arial"/>
        </w:rPr>
      </w:pPr>
    </w:p>
    <w:p w:rsidR="001D2E59" w:rsidRPr="001D2E59" w:rsidRDefault="001D2E59" w:rsidP="001D2E59">
      <w:pPr>
        <w:tabs>
          <w:tab w:val="left" w:pos="5400"/>
        </w:tabs>
        <w:rPr>
          <w:rFonts w:ascii="Arial" w:hAnsi="Arial"/>
        </w:rPr>
      </w:pPr>
      <w:r w:rsidRPr="001D2E59">
        <w:rPr>
          <w:rFonts w:ascii="Arial" w:hAnsi="Arial"/>
        </w:rPr>
        <w:t xml:space="preserve">V Olomouci </w:t>
      </w:r>
      <w:proofErr w:type="gramStart"/>
      <w:r w:rsidRPr="001D2E59">
        <w:rPr>
          <w:rFonts w:ascii="Arial" w:hAnsi="Arial"/>
        </w:rPr>
        <w:t>dne ..........................</w:t>
      </w:r>
      <w:r w:rsidRPr="001D2E59">
        <w:rPr>
          <w:rFonts w:ascii="Arial" w:hAnsi="Arial"/>
        </w:rPr>
        <w:tab/>
        <w:t>V Olomouci</w:t>
      </w:r>
      <w:proofErr w:type="gramEnd"/>
      <w:r w:rsidRPr="001D2E59">
        <w:rPr>
          <w:rFonts w:ascii="Arial" w:hAnsi="Arial"/>
        </w:rPr>
        <w:t xml:space="preserve"> dne:……………….</w:t>
      </w:r>
    </w:p>
    <w:p w:rsidR="001D2E59" w:rsidRPr="001D2E59" w:rsidRDefault="001D2E59" w:rsidP="001D2E59">
      <w:pPr>
        <w:tabs>
          <w:tab w:val="left" w:pos="5400"/>
        </w:tabs>
        <w:rPr>
          <w:rFonts w:ascii="Arial" w:hAnsi="Arial"/>
        </w:rPr>
      </w:pPr>
    </w:p>
    <w:p w:rsidR="001D2E59" w:rsidRPr="001D2E59" w:rsidRDefault="001D2E59" w:rsidP="001D2E59">
      <w:pPr>
        <w:tabs>
          <w:tab w:val="left" w:pos="5400"/>
        </w:tabs>
        <w:rPr>
          <w:rFonts w:ascii="Arial" w:hAnsi="Arial"/>
        </w:rPr>
      </w:pPr>
      <w:r w:rsidRPr="001D2E59">
        <w:rPr>
          <w:rFonts w:ascii="Arial" w:hAnsi="Arial"/>
        </w:rPr>
        <w:t>Poskytovatel:</w:t>
      </w:r>
      <w:r w:rsidRPr="001D2E59">
        <w:rPr>
          <w:rFonts w:ascii="Arial" w:hAnsi="Arial"/>
        </w:rPr>
        <w:tab/>
        <w:t>Příjemce:</w:t>
      </w:r>
    </w:p>
    <w:p w:rsidR="001D2E59" w:rsidRPr="001D2E59" w:rsidRDefault="001D2E59" w:rsidP="001D2E59">
      <w:pPr>
        <w:tabs>
          <w:tab w:val="center" w:pos="7200"/>
        </w:tabs>
        <w:rPr>
          <w:rFonts w:ascii="Arial" w:hAnsi="Arial"/>
        </w:rPr>
      </w:pPr>
    </w:p>
    <w:p w:rsidR="001D2E59" w:rsidRPr="001D2E59" w:rsidRDefault="001D2E59" w:rsidP="001D2E59">
      <w:pPr>
        <w:tabs>
          <w:tab w:val="center" w:pos="7200"/>
        </w:tabs>
        <w:rPr>
          <w:rFonts w:ascii="Arial" w:hAnsi="Arial"/>
        </w:rPr>
      </w:pPr>
    </w:p>
    <w:p w:rsidR="001D2E59" w:rsidRPr="001D2E59" w:rsidRDefault="001D2E59" w:rsidP="001D2E59">
      <w:pPr>
        <w:tabs>
          <w:tab w:val="center" w:pos="7200"/>
        </w:tabs>
        <w:rPr>
          <w:rFonts w:ascii="Arial" w:hAnsi="Arial"/>
        </w:rPr>
      </w:pPr>
    </w:p>
    <w:p w:rsidR="001D2E59" w:rsidRPr="001D2E59" w:rsidRDefault="001D2E59" w:rsidP="001D2E59">
      <w:pPr>
        <w:tabs>
          <w:tab w:val="center" w:pos="7200"/>
        </w:tabs>
        <w:rPr>
          <w:rFonts w:ascii="Arial" w:hAnsi="Arial"/>
        </w:rPr>
      </w:pPr>
      <w:r w:rsidRPr="001D2E59">
        <w:rPr>
          <w:rFonts w:ascii="Arial" w:hAnsi="Arial"/>
        </w:rPr>
        <w:t>..............................................</w:t>
      </w:r>
      <w:r w:rsidRPr="001D2E59">
        <w:rPr>
          <w:rFonts w:ascii="Arial" w:hAnsi="Arial"/>
        </w:rPr>
        <w:tab/>
        <w:t>.................................................</w:t>
      </w:r>
    </w:p>
    <w:p w:rsidR="001D2E59" w:rsidRPr="001D2E59" w:rsidRDefault="001D2E59" w:rsidP="001D2E59">
      <w:pPr>
        <w:tabs>
          <w:tab w:val="center" w:pos="1440"/>
          <w:tab w:val="center" w:pos="7200"/>
        </w:tabs>
        <w:rPr>
          <w:rFonts w:ascii="Arial" w:hAnsi="Arial"/>
        </w:rPr>
      </w:pPr>
      <w:r w:rsidRPr="001D2E59">
        <w:rPr>
          <w:rFonts w:ascii="Arial" w:hAnsi="Arial"/>
        </w:rPr>
        <w:tab/>
        <w:t>Olomoucký kraj</w:t>
      </w:r>
      <w:r w:rsidRPr="001D2E59">
        <w:rPr>
          <w:rFonts w:ascii="Arial" w:hAnsi="Arial"/>
        </w:rPr>
        <w:tab/>
        <w:t>RNDr. Ivan Marek</w:t>
      </w:r>
    </w:p>
    <w:p w:rsidR="001D2E59" w:rsidRPr="001D2E59" w:rsidRDefault="001D2E59" w:rsidP="001D2E59">
      <w:pPr>
        <w:tabs>
          <w:tab w:val="center" w:pos="1440"/>
          <w:tab w:val="center" w:pos="7200"/>
        </w:tabs>
        <w:rPr>
          <w:rFonts w:ascii="Arial" w:hAnsi="Arial"/>
        </w:rPr>
      </w:pPr>
      <w:r w:rsidRPr="001D2E59">
        <w:rPr>
          <w:rFonts w:ascii="Arial" w:hAnsi="Arial"/>
        </w:rPr>
        <w:tab/>
        <w:t>Ing. Martin Tesařík</w:t>
      </w:r>
      <w:r w:rsidRPr="001D2E59">
        <w:rPr>
          <w:rFonts w:ascii="Arial" w:hAnsi="Arial"/>
        </w:rPr>
        <w:tab/>
      </w:r>
    </w:p>
    <w:p w:rsidR="001D2E59" w:rsidRDefault="001D2E59" w:rsidP="001D2E59">
      <w:pPr>
        <w:tabs>
          <w:tab w:val="center" w:pos="1440"/>
          <w:tab w:val="center" w:pos="7200"/>
        </w:tabs>
        <w:rPr>
          <w:rFonts w:ascii="Arial" w:hAnsi="Arial"/>
        </w:rPr>
      </w:pPr>
      <w:r w:rsidRPr="001D2E59">
        <w:rPr>
          <w:rFonts w:ascii="Arial" w:hAnsi="Arial"/>
        </w:rPr>
        <w:tab/>
        <w:t xml:space="preserve">hejtman </w:t>
      </w:r>
      <w:r w:rsidRPr="001D2E59">
        <w:rPr>
          <w:rFonts w:ascii="Arial" w:hAnsi="Arial"/>
        </w:rPr>
        <w:tab/>
      </w:r>
    </w:p>
    <w:p w:rsidR="001D2E59" w:rsidRDefault="001D2E59" w:rsidP="00155818">
      <w:pPr>
        <w:jc w:val="both"/>
        <w:rPr>
          <w:rFonts w:ascii="Arial" w:hAnsi="Arial"/>
        </w:rPr>
        <w:sectPr w:rsidR="001D2E59">
          <w:headerReference w:type="default" r:id="rId13"/>
          <w:footerReference w:type="default" r:id="rId14"/>
          <w:pgSz w:w="11906" w:h="16838"/>
          <w:pgMar w:top="1417" w:right="1417" w:bottom="1417" w:left="1417" w:header="708" w:footer="708" w:gutter="0"/>
          <w:cols w:space="708"/>
          <w:docGrid w:linePitch="360"/>
        </w:sectPr>
      </w:pPr>
    </w:p>
    <w:p w:rsidR="00FB382F" w:rsidRPr="001D2E59" w:rsidRDefault="00DB4452" w:rsidP="00FB382F">
      <w:r w:rsidRPr="00DB4452">
        <w:rPr>
          <w:rFonts w:ascii="Arial" w:hAnsi="Arial" w:cs="Arial"/>
          <w:b/>
          <w:bCs/>
        </w:rPr>
        <w:lastRenderedPageBreak/>
        <w:t xml:space="preserve">Porovnání finanční rozvahy Olomouc region </w:t>
      </w:r>
      <w:proofErr w:type="spellStart"/>
      <w:r w:rsidRPr="00DB4452">
        <w:rPr>
          <w:rFonts w:ascii="Arial" w:hAnsi="Arial" w:cs="Arial"/>
          <w:b/>
          <w:bCs/>
        </w:rPr>
        <w:t>Card</w:t>
      </w:r>
      <w:proofErr w:type="spellEnd"/>
      <w:r w:rsidRPr="00DB4452">
        <w:rPr>
          <w:rFonts w:ascii="Arial" w:hAnsi="Arial" w:cs="Arial"/>
          <w:b/>
          <w:bCs/>
        </w:rPr>
        <w:t xml:space="preserve"> 201</w:t>
      </w:r>
      <w:r w:rsidR="00813ABB">
        <w:rPr>
          <w:rFonts w:ascii="Arial" w:hAnsi="Arial" w:cs="Arial"/>
          <w:b/>
          <w:bCs/>
        </w:rPr>
        <w:t>4</w:t>
      </w:r>
      <w:r w:rsidRPr="00DB4452">
        <w:rPr>
          <w:rFonts w:ascii="Arial" w:hAnsi="Arial" w:cs="Arial"/>
          <w:b/>
          <w:bCs/>
        </w:rPr>
        <w:t xml:space="preserve"> a 201</w:t>
      </w:r>
      <w:r w:rsidR="00813ABB">
        <w:rPr>
          <w:rFonts w:ascii="Arial" w:hAnsi="Arial" w:cs="Arial"/>
          <w:b/>
          <w:bCs/>
        </w:rPr>
        <w:t>3</w:t>
      </w:r>
    </w:p>
    <w:p w:rsidR="00FB382F" w:rsidRDefault="00FB382F" w:rsidP="00FB382F"/>
    <w:tbl>
      <w:tblPr>
        <w:tblW w:w="8804" w:type="dxa"/>
        <w:tblInd w:w="55" w:type="dxa"/>
        <w:tblLayout w:type="fixed"/>
        <w:tblCellMar>
          <w:left w:w="70" w:type="dxa"/>
          <w:right w:w="70" w:type="dxa"/>
        </w:tblCellMar>
        <w:tblLook w:val="04A0" w:firstRow="1" w:lastRow="0" w:firstColumn="1" w:lastColumn="0" w:noHBand="0" w:noVBand="1"/>
      </w:tblPr>
      <w:tblGrid>
        <w:gridCol w:w="3276"/>
        <w:gridCol w:w="1417"/>
        <w:gridCol w:w="1418"/>
        <w:gridCol w:w="1417"/>
        <w:gridCol w:w="1276"/>
      </w:tblGrid>
      <w:tr w:rsidR="00DB4452" w:rsidRPr="00813ABB" w:rsidTr="006814BE">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452" w:rsidRPr="00DB4452" w:rsidRDefault="00DB4452" w:rsidP="003D79A7">
            <w:pPr>
              <w:jc w:val="center"/>
              <w:rPr>
                <w:rFonts w:ascii="Arial" w:hAnsi="Arial" w:cs="Arial"/>
                <w:b/>
                <w:i/>
                <w:iCs/>
                <w:sz w:val="22"/>
                <w:szCs w:val="22"/>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DB4452" w:rsidRPr="006814BE" w:rsidRDefault="00DB4452" w:rsidP="003D79A7">
            <w:pPr>
              <w:ind w:right="72"/>
              <w:jc w:val="center"/>
              <w:rPr>
                <w:rFonts w:ascii="Arial" w:hAnsi="Arial" w:cs="Arial"/>
                <w:b/>
                <w:sz w:val="22"/>
                <w:szCs w:val="22"/>
              </w:rPr>
            </w:pPr>
            <w:r w:rsidRPr="006814BE">
              <w:rPr>
                <w:rFonts w:ascii="Arial" w:hAnsi="Arial" w:cs="Arial"/>
                <w:b/>
                <w:sz w:val="22"/>
                <w:szCs w:val="22"/>
              </w:rPr>
              <w:t>201</w:t>
            </w:r>
            <w:r w:rsidR="006814BE" w:rsidRPr="006814BE">
              <w:rPr>
                <w:rFonts w:ascii="Arial" w:hAnsi="Arial" w:cs="Arial"/>
                <w:b/>
                <w:sz w:val="22"/>
                <w:szCs w:val="22"/>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452" w:rsidRPr="006814BE" w:rsidRDefault="00DB4452" w:rsidP="003D79A7">
            <w:pPr>
              <w:ind w:right="72"/>
              <w:jc w:val="center"/>
              <w:rPr>
                <w:rFonts w:ascii="Arial" w:hAnsi="Arial" w:cs="Arial"/>
                <w:b/>
                <w:sz w:val="22"/>
                <w:szCs w:val="22"/>
              </w:rPr>
            </w:pPr>
            <w:r w:rsidRPr="006814BE">
              <w:rPr>
                <w:rFonts w:ascii="Arial" w:hAnsi="Arial" w:cs="Arial"/>
                <w:b/>
                <w:sz w:val="22"/>
                <w:szCs w:val="22"/>
              </w:rPr>
              <w:t>201</w:t>
            </w:r>
            <w:r w:rsidR="006814BE" w:rsidRPr="006814BE">
              <w:rPr>
                <w:rFonts w:ascii="Arial" w:hAnsi="Arial" w:cs="Arial"/>
                <w:b/>
                <w:sz w:val="22"/>
                <w:szCs w:val="22"/>
              </w:rPr>
              <w:t>3</w:t>
            </w:r>
          </w:p>
        </w:tc>
        <w:tc>
          <w:tcPr>
            <w:tcW w:w="1276" w:type="dxa"/>
            <w:vMerge w:val="restart"/>
            <w:tcBorders>
              <w:top w:val="single" w:sz="4" w:space="0" w:color="auto"/>
              <w:left w:val="nil"/>
              <w:bottom w:val="single" w:sz="4" w:space="0" w:color="auto"/>
              <w:right w:val="single" w:sz="4" w:space="0" w:color="auto"/>
            </w:tcBorders>
            <w:vAlign w:val="center"/>
          </w:tcPr>
          <w:p w:rsidR="00DB4452" w:rsidRPr="00813ABB" w:rsidRDefault="006814BE" w:rsidP="003D79A7">
            <w:pPr>
              <w:ind w:right="72"/>
              <w:jc w:val="center"/>
              <w:rPr>
                <w:rFonts w:ascii="Arial" w:hAnsi="Arial" w:cs="Arial"/>
                <w:b/>
                <w:sz w:val="22"/>
                <w:szCs w:val="22"/>
                <w:highlight w:val="yellow"/>
              </w:rPr>
            </w:pPr>
            <w:r w:rsidRPr="006814BE">
              <w:rPr>
                <w:rFonts w:ascii="Arial" w:hAnsi="Arial" w:cs="Arial"/>
                <w:b/>
                <w:sz w:val="20"/>
                <w:szCs w:val="20"/>
              </w:rPr>
              <w:t>Porovnání 2014</w:t>
            </w:r>
            <w:r w:rsidR="00DB4452" w:rsidRPr="006814BE">
              <w:rPr>
                <w:rFonts w:ascii="Arial" w:hAnsi="Arial" w:cs="Arial"/>
                <w:b/>
                <w:sz w:val="20"/>
                <w:szCs w:val="20"/>
              </w:rPr>
              <w:t>/201</w:t>
            </w:r>
            <w:r w:rsidRPr="006814BE">
              <w:rPr>
                <w:rFonts w:ascii="Arial" w:hAnsi="Arial" w:cs="Arial"/>
                <w:b/>
                <w:sz w:val="20"/>
                <w:szCs w:val="20"/>
              </w:rPr>
              <w:t>3</w:t>
            </w:r>
          </w:p>
        </w:tc>
      </w:tr>
      <w:tr w:rsidR="00DB4452" w:rsidRPr="00813ABB" w:rsidTr="006814BE">
        <w:trPr>
          <w:trHeight w:val="285"/>
        </w:trPr>
        <w:tc>
          <w:tcPr>
            <w:tcW w:w="327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DB4452" w:rsidRPr="006814BE" w:rsidRDefault="00DB4452" w:rsidP="00DB4452">
            <w:pPr>
              <w:jc w:val="center"/>
              <w:rPr>
                <w:rFonts w:ascii="Arial" w:hAnsi="Arial" w:cs="Arial"/>
                <w:b/>
                <w:bCs/>
                <w:sz w:val="22"/>
                <w:szCs w:val="22"/>
              </w:rPr>
            </w:pPr>
            <w:r w:rsidRPr="006814BE">
              <w:rPr>
                <w:rFonts w:ascii="Arial" w:hAnsi="Arial" w:cs="Arial"/>
                <w:b/>
                <w:bCs/>
                <w:sz w:val="22"/>
                <w:szCs w:val="22"/>
              </w:rPr>
              <w:t xml:space="preserve">položky </w:t>
            </w:r>
          </w:p>
        </w:tc>
        <w:tc>
          <w:tcPr>
            <w:tcW w:w="1417" w:type="dxa"/>
            <w:tcBorders>
              <w:top w:val="single" w:sz="4" w:space="0" w:color="auto"/>
              <w:left w:val="nil"/>
              <w:bottom w:val="single" w:sz="4" w:space="0" w:color="auto"/>
              <w:right w:val="single" w:sz="4" w:space="0" w:color="auto"/>
            </w:tcBorders>
            <w:shd w:val="clear" w:color="000000" w:fill="auto"/>
            <w:noWrap/>
            <w:vAlign w:val="bottom"/>
            <w:hideMark/>
          </w:tcPr>
          <w:p w:rsidR="00DB4452" w:rsidRPr="00813ABB" w:rsidRDefault="00DB4452" w:rsidP="00FB382F">
            <w:pPr>
              <w:ind w:right="72"/>
              <w:jc w:val="right"/>
              <w:rPr>
                <w:rFonts w:ascii="Arial" w:hAnsi="Arial" w:cs="Arial"/>
                <w:sz w:val="20"/>
                <w:szCs w:val="20"/>
                <w:highlight w:val="yellow"/>
              </w:rPr>
            </w:pPr>
            <w:r w:rsidRPr="006814BE">
              <w:rPr>
                <w:rFonts w:ascii="Arial" w:hAnsi="Arial" w:cs="Arial"/>
                <w:sz w:val="20"/>
                <w:szCs w:val="20"/>
              </w:rPr>
              <w:t>cena bez DPH v Kč</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DB4452" w:rsidRPr="006814BE" w:rsidRDefault="00DB4452" w:rsidP="00FB382F">
            <w:pPr>
              <w:ind w:right="72"/>
              <w:jc w:val="right"/>
              <w:rPr>
                <w:rFonts w:ascii="Arial" w:hAnsi="Arial" w:cs="Arial"/>
                <w:sz w:val="20"/>
                <w:szCs w:val="20"/>
              </w:rPr>
            </w:pPr>
            <w:r w:rsidRPr="006814BE">
              <w:rPr>
                <w:rFonts w:ascii="Arial" w:hAnsi="Arial" w:cs="Arial"/>
                <w:sz w:val="20"/>
                <w:szCs w:val="20"/>
              </w:rPr>
              <w:t>cena vč. DPH v Kč</w:t>
            </w:r>
          </w:p>
        </w:tc>
        <w:tc>
          <w:tcPr>
            <w:tcW w:w="1417" w:type="dxa"/>
            <w:tcBorders>
              <w:top w:val="single" w:sz="4" w:space="0" w:color="auto"/>
              <w:left w:val="nil"/>
              <w:bottom w:val="single" w:sz="4" w:space="0" w:color="auto"/>
              <w:right w:val="single" w:sz="4" w:space="0" w:color="auto"/>
            </w:tcBorders>
            <w:shd w:val="clear" w:color="auto" w:fill="auto"/>
          </w:tcPr>
          <w:p w:rsidR="00DB4452" w:rsidRPr="006814BE" w:rsidRDefault="00DB4452" w:rsidP="00FB382F">
            <w:pPr>
              <w:ind w:right="72"/>
              <w:jc w:val="right"/>
              <w:rPr>
                <w:rFonts w:ascii="Arial" w:hAnsi="Arial" w:cs="Arial"/>
                <w:sz w:val="20"/>
                <w:szCs w:val="20"/>
              </w:rPr>
            </w:pPr>
            <w:r w:rsidRPr="006814BE">
              <w:rPr>
                <w:rFonts w:ascii="Arial" w:hAnsi="Arial" w:cs="Arial"/>
                <w:sz w:val="20"/>
                <w:szCs w:val="20"/>
              </w:rPr>
              <w:t>cena vč. DPH v Kč</w:t>
            </w:r>
          </w:p>
        </w:tc>
        <w:tc>
          <w:tcPr>
            <w:tcW w:w="1276" w:type="dxa"/>
            <w:vMerge/>
            <w:tcBorders>
              <w:top w:val="single" w:sz="4" w:space="0" w:color="auto"/>
              <w:left w:val="nil"/>
              <w:bottom w:val="single" w:sz="4" w:space="0" w:color="auto"/>
              <w:right w:val="single" w:sz="4" w:space="0" w:color="auto"/>
            </w:tcBorders>
            <w:shd w:val="clear" w:color="000000" w:fill="auto"/>
          </w:tcPr>
          <w:p w:rsidR="00DB4452" w:rsidRPr="00813ABB" w:rsidRDefault="00DB4452" w:rsidP="003D79A7">
            <w:pPr>
              <w:ind w:right="72"/>
              <w:jc w:val="center"/>
              <w:rPr>
                <w:rFonts w:ascii="Arial" w:hAnsi="Arial" w:cs="Arial"/>
                <w:sz w:val="20"/>
                <w:szCs w:val="20"/>
                <w:highlight w:val="yellow"/>
              </w:rPr>
            </w:pPr>
          </w:p>
        </w:tc>
      </w:tr>
      <w:tr w:rsidR="00DC473F"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DC473F" w:rsidRPr="006814BE" w:rsidRDefault="00DC473F" w:rsidP="00FB382F">
            <w:pPr>
              <w:rPr>
                <w:rFonts w:ascii="Arial" w:hAnsi="Arial" w:cs="Arial"/>
                <w:b/>
                <w:bCs/>
                <w:sz w:val="22"/>
                <w:szCs w:val="22"/>
              </w:rPr>
            </w:pPr>
            <w:r w:rsidRPr="006814BE">
              <w:rPr>
                <w:rFonts w:ascii="Arial" w:hAnsi="Arial" w:cs="Arial"/>
                <w:b/>
                <w:bCs/>
                <w:sz w:val="22"/>
                <w:szCs w:val="22"/>
              </w:rPr>
              <w:t>A) NÁKLADY</w:t>
            </w:r>
          </w:p>
        </w:tc>
        <w:tc>
          <w:tcPr>
            <w:tcW w:w="1417" w:type="dxa"/>
            <w:tcBorders>
              <w:top w:val="nil"/>
              <w:left w:val="nil"/>
              <w:bottom w:val="single" w:sz="4" w:space="0" w:color="auto"/>
              <w:right w:val="single" w:sz="4" w:space="0" w:color="auto"/>
            </w:tcBorders>
            <w:shd w:val="clear" w:color="auto" w:fill="auto"/>
            <w:noWrap/>
            <w:vAlign w:val="bottom"/>
            <w:hideMark/>
          </w:tcPr>
          <w:p w:rsidR="00DC473F" w:rsidRPr="006814BE" w:rsidRDefault="00DC473F" w:rsidP="00FB382F">
            <w:pPr>
              <w:ind w:right="72" w:hanging="70"/>
              <w:jc w:val="right"/>
              <w:rPr>
                <w:rFonts w:ascii="Arial" w:hAnsi="Arial" w:cs="Arial"/>
                <w:sz w:val="22"/>
                <w:szCs w:val="22"/>
              </w:rPr>
            </w:pPr>
            <w:r w:rsidRPr="006814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DC473F" w:rsidRPr="006814BE" w:rsidRDefault="00DC473F" w:rsidP="00FB382F">
            <w:pPr>
              <w:ind w:right="72"/>
              <w:jc w:val="right"/>
              <w:rPr>
                <w:rFonts w:ascii="Arial" w:hAnsi="Arial" w:cs="Arial"/>
                <w:color w:val="FF0000"/>
                <w:sz w:val="22"/>
                <w:szCs w:val="22"/>
              </w:rPr>
            </w:pPr>
            <w:r w:rsidRPr="006814BE">
              <w:rPr>
                <w:rFonts w:ascii="Arial" w:hAnsi="Arial" w:cs="Arial"/>
                <w:color w:val="FF0000"/>
                <w:sz w:val="22"/>
                <w:szCs w:val="22"/>
              </w:rPr>
              <w:t> </w:t>
            </w:r>
          </w:p>
        </w:tc>
        <w:tc>
          <w:tcPr>
            <w:tcW w:w="1417" w:type="dxa"/>
            <w:tcBorders>
              <w:top w:val="nil"/>
              <w:left w:val="nil"/>
              <w:bottom w:val="single" w:sz="4" w:space="0" w:color="auto"/>
              <w:right w:val="single" w:sz="4" w:space="0" w:color="auto"/>
            </w:tcBorders>
            <w:shd w:val="clear" w:color="auto" w:fill="auto"/>
          </w:tcPr>
          <w:p w:rsidR="00DC473F" w:rsidRPr="006814BE" w:rsidRDefault="00DC473F" w:rsidP="00FB382F">
            <w:pPr>
              <w:ind w:right="72"/>
              <w:jc w:val="right"/>
              <w:rPr>
                <w:rFonts w:ascii="Arial" w:hAnsi="Arial" w:cs="Arial"/>
                <w:color w:val="FF0000"/>
                <w:sz w:val="22"/>
                <w:szCs w:val="22"/>
              </w:rPr>
            </w:pPr>
          </w:p>
        </w:tc>
        <w:tc>
          <w:tcPr>
            <w:tcW w:w="1276" w:type="dxa"/>
            <w:tcBorders>
              <w:top w:val="nil"/>
              <w:left w:val="nil"/>
              <w:bottom w:val="single" w:sz="4" w:space="0" w:color="auto"/>
              <w:right w:val="single" w:sz="4" w:space="0" w:color="auto"/>
            </w:tcBorders>
          </w:tcPr>
          <w:p w:rsidR="00DC473F" w:rsidRPr="00813ABB" w:rsidRDefault="00DC473F" w:rsidP="003D79A7">
            <w:pPr>
              <w:ind w:right="72"/>
              <w:jc w:val="right"/>
              <w:rPr>
                <w:rFonts w:ascii="Arial" w:hAnsi="Arial" w:cs="Arial"/>
                <w:color w:val="FF0000"/>
                <w:sz w:val="22"/>
                <w:szCs w:val="22"/>
                <w:highlight w:val="yellow"/>
              </w:rPr>
            </w:pPr>
          </w:p>
        </w:tc>
      </w:tr>
      <w:tr w:rsidR="00DC473F"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DC473F" w:rsidRPr="006814BE" w:rsidRDefault="00DC473F" w:rsidP="00FB382F">
            <w:pPr>
              <w:rPr>
                <w:rFonts w:ascii="Arial" w:hAnsi="Arial" w:cs="Arial"/>
                <w:sz w:val="22"/>
                <w:szCs w:val="22"/>
              </w:rPr>
            </w:pPr>
            <w:r w:rsidRPr="006814BE">
              <w:rPr>
                <w:rFonts w:ascii="Arial" w:hAnsi="Arial" w:cs="Arial"/>
                <w:sz w:val="22"/>
                <w:szCs w:val="22"/>
              </w:rPr>
              <w:t>I. Provozní náklady:</w:t>
            </w:r>
          </w:p>
        </w:tc>
        <w:tc>
          <w:tcPr>
            <w:tcW w:w="1417" w:type="dxa"/>
            <w:tcBorders>
              <w:top w:val="nil"/>
              <w:left w:val="nil"/>
              <w:bottom w:val="single" w:sz="4" w:space="0" w:color="auto"/>
              <w:right w:val="single" w:sz="4" w:space="0" w:color="auto"/>
            </w:tcBorders>
            <w:shd w:val="clear" w:color="auto" w:fill="auto"/>
            <w:noWrap/>
            <w:vAlign w:val="bottom"/>
            <w:hideMark/>
          </w:tcPr>
          <w:p w:rsidR="00DC473F" w:rsidRPr="006814BE" w:rsidRDefault="00DC473F" w:rsidP="00FB382F">
            <w:pPr>
              <w:ind w:right="72"/>
              <w:jc w:val="right"/>
              <w:rPr>
                <w:rFonts w:ascii="Arial" w:hAnsi="Arial" w:cs="Arial"/>
                <w:sz w:val="22"/>
                <w:szCs w:val="22"/>
              </w:rPr>
            </w:pPr>
            <w:r w:rsidRPr="006814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DC473F" w:rsidRPr="006814BE" w:rsidRDefault="00DC473F" w:rsidP="00FB382F">
            <w:pPr>
              <w:ind w:right="72"/>
              <w:jc w:val="right"/>
              <w:rPr>
                <w:rFonts w:ascii="Arial" w:hAnsi="Arial" w:cs="Arial"/>
                <w:color w:val="FF0000"/>
                <w:sz w:val="22"/>
                <w:szCs w:val="22"/>
              </w:rPr>
            </w:pPr>
            <w:r w:rsidRPr="006814BE">
              <w:rPr>
                <w:rFonts w:ascii="Arial" w:hAnsi="Arial" w:cs="Arial"/>
                <w:color w:val="FF0000"/>
                <w:sz w:val="22"/>
                <w:szCs w:val="22"/>
              </w:rPr>
              <w:t> </w:t>
            </w:r>
          </w:p>
        </w:tc>
        <w:tc>
          <w:tcPr>
            <w:tcW w:w="1417" w:type="dxa"/>
            <w:tcBorders>
              <w:top w:val="nil"/>
              <w:left w:val="nil"/>
              <w:bottom w:val="single" w:sz="4" w:space="0" w:color="auto"/>
              <w:right w:val="single" w:sz="4" w:space="0" w:color="auto"/>
            </w:tcBorders>
            <w:shd w:val="clear" w:color="auto" w:fill="auto"/>
          </w:tcPr>
          <w:p w:rsidR="00DC473F" w:rsidRPr="006814BE" w:rsidRDefault="00DC473F" w:rsidP="00FB382F">
            <w:pPr>
              <w:ind w:right="72"/>
              <w:jc w:val="right"/>
              <w:rPr>
                <w:rFonts w:ascii="Arial" w:hAnsi="Arial" w:cs="Arial"/>
                <w:color w:val="FF0000"/>
                <w:sz w:val="22"/>
                <w:szCs w:val="22"/>
              </w:rPr>
            </w:pPr>
          </w:p>
        </w:tc>
        <w:tc>
          <w:tcPr>
            <w:tcW w:w="1276" w:type="dxa"/>
            <w:tcBorders>
              <w:top w:val="nil"/>
              <w:left w:val="nil"/>
              <w:bottom w:val="single" w:sz="4" w:space="0" w:color="auto"/>
              <w:right w:val="single" w:sz="4" w:space="0" w:color="auto"/>
            </w:tcBorders>
          </w:tcPr>
          <w:p w:rsidR="00DC473F" w:rsidRPr="00813ABB" w:rsidRDefault="00DC473F" w:rsidP="003D79A7">
            <w:pPr>
              <w:ind w:right="72"/>
              <w:jc w:val="right"/>
              <w:rPr>
                <w:rFonts w:ascii="Arial" w:hAnsi="Arial" w:cs="Arial"/>
                <w:color w:val="FF0000"/>
                <w:sz w:val="22"/>
                <w:szCs w:val="22"/>
                <w:highlight w:val="yellow"/>
              </w:rPr>
            </w:pP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6814BE" w:rsidRPr="006814BE" w:rsidRDefault="006814BE" w:rsidP="00DC473F">
            <w:pPr>
              <w:rPr>
                <w:rFonts w:ascii="Arial" w:hAnsi="Arial" w:cs="Arial"/>
                <w:b/>
                <w:bCs/>
                <w:sz w:val="22"/>
                <w:szCs w:val="22"/>
              </w:rPr>
            </w:pPr>
            <w:r w:rsidRPr="006814BE">
              <w:rPr>
                <w:rFonts w:ascii="Arial" w:hAnsi="Arial" w:cs="Arial"/>
                <w:b/>
                <w:bCs/>
                <w:sz w:val="22"/>
                <w:szCs w:val="22"/>
              </w:rPr>
              <w:t xml:space="preserve">výroba karet, samolepky a označení prodejců </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50 000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4A25BE" w:rsidP="00FB382F">
            <w:pPr>
              <w:ind w:right="72"/>
              <w:jc w:val="right"/>
              <w:rPr>
                <w:rFonts w:ascii="Arial" w:hAnsi="Arial" w:cs="Arial"/>
                <w:sz w:val="20"/>
                <w:szCs w:val="20"/>
              </w:rPr>
            </w:pPr>
            <w:r>
              <w:rPr>
                <w:rFonts w:ascii="Arial" w:hAnsi="Arial" w:cs="Arial"/>
                <w:sz w:val="20"/>
                <w:szCs w:val="20"/>
              </w:rPr>
              <w:t xml:space="preserve">60 </w:t>
            </w:r>
            <w:r w:rsidR="006814BE" w:rsidRPr="006814BE">
              <w:rPr>
                <w:rFonts w:ascii="Arial" w:hAnsi="Arial" w:cs="Arial"/>
                <w:sz w:val="20"/>
                <w:szCs w:val="20"/>
              </w:rPr>
              <w:t>5</w:t>
            </w:r>
            <w:r>
              <w:rPr>
                <w:rFonts w:ascii="Arial" w:hAnsi="Arial" w:cs="Arial"/>
                <w:sz w:val="20"/>
                <w:szCs w:val="20"/>
              </w:rPr>
              <w:t>0</w:t>
            </w:r>
            <w:r w:rsidR="006814BE" w:rsidRPr="006814BE">
              <w:rPr>
                <w:rFonts w:ascii="Arial" w:hAnsi="Arial" w:cs="Arial"/>
                <w:sz w:val="20"/>
                <w:szCs w:val="20"/>
              </w:rPr>
              <w:t xml:space="preserve">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60 000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4A25BE"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info letáčky - doplnění mutací</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37 500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45 375</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45 000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4A25BE"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brožura ORC</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33 058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40 000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135 000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4A25BE" w:rsidP="004A25BE">
            <w:pPr>
              <w:jc w:val="right"/>
              <w:rPr>
                <w:rFonts w:ascii="Arial" w:hAnsi="Arial" w:cs="Arial"/>
                <w:color w:val="000000"/>
                <w:sz w:val="20"/>
                <w:szCs w:val="20"/>
              </w:rPr>
            </w:pPr>
            <w:r w:rsidRPr="005A01BF">
              <w:rPr>
                <w:rFonts w:ascii="Arial" w:hAnsi="Arial" w:cs="Arial"/>
                <w:color w:val="000000"/>
                <w:sz w:val="20"/>
                <w:szCs w:val="20"/>
              </w:rPr>
              <w:t>29</w:t>
            </w:r>
            <w:r w:rsidR="006814BE" w:rsidRPr="005A01BF">
              <w:rPr>
                <w:rFonts w:ascii="Arial" w:hAnsi="Arial" w:cs="Arial"/>
                <w:color w:val="000000"/>
                <w:sz w:val="20"/>
                <w:szCs w:val="20"/>
              </w:rPr>
              <w:t>,</w:t>
            </w:r>
            <w:r w:rsidRPr="005A01BF">
              <w:rPr>
                <w:rFonts w:ascii="Arial" w:hAnsi="Arial" w:cs="Arial"/>
                <w:color w:val="000000"/>
                <w:sz w:val="20"/>
                <w:szCs w:val="20"/>
              </w:rPr>
              <w:t>63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814BE" w:rsidRPr="006814BE" w:rsidRDefault="006814BE" w:rsidP="00DB4452">
            <w:pPr>
              <w:rPr>
                <w:rFonts w:ascii="Arial" w:hAnsi="Arial" w:cs="Arial"/>
                <w:b/>
                <w:bCs/>
                <w:sz w:val="22"/>
                <w:szCs w:val="22"/>
              </w:rPr>
            </w:pPr>
            <w:r w:rsidRPr="006814BE">
              <w:rPr>
                <w:rFonts w:ascii="Arial" w:hAnsi="Arial" w:cs="Arial"/>
                <w:b/>
                <w:bCs/>
                <w:sz w:val="22"/>
                <w:szCs w:val="22"/>
              </w:rPr>
              <w:t>spolupráce CK (distribuce 1000 karet)</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29 167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35 292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35 000 </w:t>
            </w:r>
          </w:p>
        </w:tc>
        <w:tc>
          <w:tcPr>
            <w:tcW w:w="1276" w:type="dxa"/>
            <w:tcBorders>
              <w:top w:val="nil"/>
              <w:left w:val="nil"/>
              <w:bottom w:val="single" w:sz="4" w:space="0" w:color="auto"/>
              <w:right w:val="single" w:sz="4" w:space="0" w:color="auto"/>
            </w:tcBorders>
            <w:vAlign w:val="bottom"/>
          </w:tcPr>
          <w:p w:rsidR="006814BE" w:rsidRPr="005A01BF" w:rsidRDefault="004A25BE"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 xml:space="preserve">administrace projektu </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300 000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360 000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360 000 </w:t>
            </w:r>
          </w:p>
        </w:tc>
        <w:tc>
          <w:tcPr>
            <w:tcW w:w="1276" w:type="dxa"/>
            <w:tcBorders>
              <w:top w:val="nil"/>
              <w:left w:val="nil"/>
              <w:bottom w:val="single" w:sz="4" w:space="0" w:color="auto"/>
              <w:right w:val="single" w:sz="4" w:space="0" w:color="auto"/>
            </w:tcBorders>
            <w:vAlign w:val="bottom"/>
          </w:tcPr>
          <w:p w:rsidR="006814BE" w:rsidRPr="005A01BF" w:rsidRDefault="006814BE" w:rsidP="003D79A7">
            <w:pPr>
              <w:jc w:val="right"/>
              <w:rPr>
                <w:rFonts w:ascii="Arial" w:hAnsi="Arial" w:cs="Arial"/>
                <w:color w:val="000000"/>
                <w:sz w:val="20"/>
                <w:szCs w:val="20"/>
              </w:rPr>
            </w:pPr>
            <w:r w:rsidRPr="005A01BF">
              <w:rPr>
                <w:rFonts w:ascii="Arial" w:hAnsi="Arial" w:cs="Arial"/>
                <w:color w:val="000000"/>
                <w:sz w:val="20"/>
                <w:szCs w:val="20"/>
              </w:rPr>
              <w:t>100,00%</w:t>
            </w:r>
          </w:p>
        </w:tc>
      </w:tr>
      <w:tr w:rsidR="006814BE" w:rsidRPr="00813ABB" w:rsidTr="006814BE">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strategie a obsahové řešení m-ARK</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8 333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10 083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10 000 </w:t>
            </w:r>
          </w:p>
        </w:tc>
        <w:tc>
          <w:tcPr>
            <w:tcW w:w="1276" w:type="dxa"/>
            <w:tcBorders>
              <w:top w:val="nil"/>
              <w:left w:val="nil"/>
              <w:bottom w:val="single" w:sz="4" w:space="0" w:color="auto"/>
              <w:right w:val="single" w:sz="4" w:space="0" w:color="auto"/>
            </w:tcBorders>
            <w:vAlign w:val="bottom"/>
          </w:tcPr>
          <w:p w:rsidR="006814BE" w:rsidRPr="005A01BF" w:rsidRDefault="004A25BE"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režijní náklady m-ARK</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75 000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90 750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90 000 </w:t>
            </w:r>
          </w:p>
        </w:tc>
        <w:tc>
          <w:tcPr>
            <w:tcW w:w="1276" w:type="dxa"/>
            <w:tcBorders>
              <w:top w:val="nil"/>
              <w:left w:val="nil"/>
              <w:bottom w:val="single" w:sz="4" w:space="0" w:color="auto"/>
              <w:right w:val="single" w:sz="4" w:space="0" w:color="auto"/>
            </w:tcBorders>
            <w:vAlign w:val="bottom"/>
          </w:tcPr>
          <w:p w:rsidR="006814BE" w:rsidRPr="005A01BF" w:rsidRDefault="004A25BE"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provoz webu vč. aktualizace</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58 333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70 583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70 000 </w:t>
            </w:r>
          </w:p>
        </w:tc>
        <w:tc>
          <w:tcPr>
            <w:tcW w:w="1276" w:type="dxa"/>
            <w:tcBorders>
              <w:top w:val="nil"/>
              <w:left w:val="nil"/>
              <w:bottom w:val="single" w:sz="4" w:space="0" w:color="auto"/>
              <w:right w:val="single" w:sz="4" w:space="0" w:color="auto"/>
            </w:tcBorders>
            <w:vAlign w:val="bottom"/>
          </w:tcPr>
          <w:p w:rsidR="006814BE" w:rsidRPr="005A01BF" w:rsidRDefault="006814BE" w:rsidP="003D79A7">
            <w:pPr>
              <w:jc w:val="right"/>
              <w:rPr>
                <w:rFonts w:ascii="Arial" w:hAnsi="Arial" w:cs="Arial"/>
                <w:color w:val="000000"/>
                <w:sz w:val="20"/>
                <w:szCs w:val="20"/>
              </w:rPr>
            </w:pPr>
            <w:r w:rsidRPr="005A01BF">
              <w:rPr>
                <w:rFonts w:ascii="Arial" w:hAnsi="Arial" w:cs="Arial"/>
                <w:color w:val="000000"/>
                <w:sz w:val="20"/>
                <w:szCs w:val="20"/>
              </w:rPr>
              <w:t>100,00%</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000000" w:fill="C0C0C0"/>
            <w:vAlign w:val="bottom"/>
            <w:hideMark/>
          </w:tcPr>
          <w:p w:rsidR="006814BE" w:rsidRPr="006814BE" w:rsidRDefault="006814BE" w:rsidP="00FB382F">
            <w:pPr>
              <w:rPr>
                <w:rFonts w:ascii="Arial" w:hAnsi="Arial" w:cs="Arial"/>
                <w:b/>
                <w:bCs/>
                <w:i/>
                <w:iCs/>
                <w:sz w:val="22"/>
                <w:szCs w:val="22"/>
              </w:rPr>
            </w:pPr>
            <w:r w:rsidRPr="006814BE">
              <w:rPr>
                <w:rFonts w:ascii="Arial" w:hAnsi="Arial" w:cs="Arial"/>
                <w:b/>
                <w:bCs/>
                <w:i/>
                <w:iCs/>
                <w:sz w:val="22"/>
                <w:szCs w:val="22"/>
              </w:rPr>
              <w:t xml:space="preserve">Provozní náklady celkem: </w:t>
            </w:r>
          </w:p>
        </w:tc>
        <w:tc>
          <w:tcPr>
            <w:tcW w:w="1417" w:type="dxa"/>
            <w:tcBorders>
              <w:top w:val="nil"/>
              <w:left w:val="nil"/>
              <w:bottom w:val="single" w:sz="4" w:space="0" w:color="auto"/>
              <w:right w:val="single" w:sz="4" w:space="0" w:color="auto"/>
            </w:tcBorders>
            <w:shd w:val="clear" w:color="000000" w:fill="C0C0C0"/>
            <w:noWrap/>
            <w:vAlign w:val="bottom"/>
            <w:hideMark/>
          </w:tcPr>
          <w:p w:rsidR="006814BE" w:rsidRPr="006814BE" w:rsidRDefault="006814BE" w:rsidP="00FB382F">
            <w:pPr>
              <w:ind w:right="72"/>
              <w:jc w:val="right"/>
              <w:rPr>
                <w:rFonts w:ascii="Arial" w:hAnsi="Arial" w:cs="Arial"/>
                <w:b/>
                <w:bCs/>
                <w:i/>
                <w:iCs/>
                <w:sz w:val="22"/>
                <w:szCs w:val="22"/>
              </w:rPr>
            </w:pPr>
            <w:r w:rsidRPr="006814BE">
              <w:rPr>
                <w:rFonts w:ascii="Arial" w:hAnsi="Arial" w:cs="Arial"/>
                <w:b/>
                <w:bCs/>
                <w:i/>
                <w:iCs/>
                <w:sz w:val="22"/>
                <w:szCs w:val="22"/>
              </w:rPr>
              <w:t xml:space="preserve">591 391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6814BE" w:rsidRDefault="006814BE" w:rsidP="00FB382F">
            <w:pPr>
              <w:ind w:right="72"/>
              <w:jc w:val="right"/>
              <w:rPr>
                <w:rFonts w:ascii="Arial" w:hAnsi="Arial" w:cs="Arial"/>
                <w:b/>
                <w:bCs/>
                <w:i/>
                <w:iCs/>
                <w:sz w:val="22"/>
                <w:szCs w:val="22"/>
              </w:rPr>
            </w:pPr>
            <w:r w:rsidRPr="006814BE">
              <w:rPr>
                <w:rFonts w:ascii="Arial" w:hAnsi="Arial" w:cs="Arial"/>
                <w:b/>
                <w:bCs/>
                <w:i/>
                <w:iCs/>
                <w:sz w:val="22"/>
                <w:szCs w:val="22"/>
              </w:rPr>
              <w:t>715 583</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b/>
                <w:bCs/>
                <w:i/>
                <w:iCs/>
                <w:sz w:val="22"/>
                <w:szCs w:val="22"/>
              </w:rPr>
            </w:pPr>
            <w:r w:rsidRPr="006814BE">
              <w:rPr>
                <w:rFonts w:ascii="Arial" w:hAnsi="Arial" w:cs="Arial"/>
                <w:b/>
                <w:bCs/>
                <w:i/>
                <w:iCs/>
                <w:sz w:val="22"/>
                <w:szCs w:val="22"/>
              </w:rPr>
              <w:t xml:space="preserve">805 000 </w:t>
            </w:r>
          </w:p>
        </w:tc>
        <w:tc>
          <w:tcPr>
            <w:tcW w:w="1276" w:type="dxa"/>
            <w:tcBorders>
              <w:top w:val="nil"/>
              <w:left w:val="nil"/>
              <w:bottom w:val="single" w:sz="4" w:space="0" w:color="auto"/>
              <w:right w:val="single" w:sz="4" w:space="0" w:color="auto"/>
            </w:tcBorders>
            <w:shd w:val="clear" w:color="000000" w:fill="C0C0C0"/>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88,89</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6814BE" w:rsidRPr="006814BE" w:rsidRDefault="006814BE" w:rsidP="00FB382F">
            <w:pPr>
              <w:rPr>
                <w:rFonts w:ascii="Arial" w:hAnsi="Arial" w:cs="Arial"/>
                <w:sz w:val="22"/>
                <w:szCs w:val="22"/>
              </w:rPr>
            </w:pPr>
            <w:r w:rsidRPr="006814BE">
              <w:rPr>
                <w:rFonts w:ascii="Arial" w:hAnsi="Arial" w:cs="Arial"/>
                <w:sz w:val="22"/>
                <w:szCs w:val="22"/>
              </w:rPr>
              <w:t>II. Náklady na reklamní kampaň a podporu prodeje</w:t>
            </w:r>
          </w:p>
        </w:tc>
        <w:tc>
          <w:tcPr>
            <w:tcW w:w="1417"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2"/>
                <w:szCs w:val="22"/>
              </w:rPr>
            </w:pPr>
            <w:r w:rsidRPr="006814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6814BE" w:rsidRPr="006814BE" w:rsidRDefault="006814BE" w:rsidP="00FB382F">
            <w:pPr>
              <w:ind w:right="72"/>
              <w:jc w:val="right"/>
              <w:rPr>
                <w:rFonts w:ascii="Arial" w:hAnsi="Arial" w:cs="Arial"/>
                <w:color w:val="FF0000"/>
                <w:sz w:val="20"/>
                <w:szCs w:val="20"/>
              </w:rPr>
            </w:pPr>
            <w:r w:rsidRPr="006814BE">
              <w:rPr>
                <w:rFonts w:ascii="Arial" w:hAnsi="Arial" w:cs="Arial"/>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color w:val="FF0000"/>
                <w:sz w:val="20"/>
                <w:szCs w:val="20"/>
              </w:rPr>
            </w:pPr>
            <w:r w:rsidRPr="006814BE">
              <w:rPr>
                <w:rFonts w:ascii="Arial" w:hAnsi="Arial" w:cs="Arial"/>
                <w:color w:val="FF0000"/>
                <w:sz w:val="20"/>
                <w:szCs w:val="20"/>
              </w:rPr>
              <w:t> </w:t>
            </w:r>
          </w:p>
        </w:tc>
        <w:tc>
          <w:tcPr>
            <w:tcW w:w="1276" w:type="dxa"/>
            <w:tcBorders>
              <w:top w:val="nil"/>
              <w:left w:val="nil"/>
              <w:bottom w:val="single" w:sz="4" w:space="0" w:color="auto"/>
              <w:right w:val="single" w:sz="4" w:space="0" w:color="auto"/>
            </w:tcBorders>
            <w:vAlign w:val="bottom"/>
          </w:tcPr>
          <w:p w:rsidR="006814BE" w:rsidRPr="005A01BF" w:rsidRDefault="006814BE" w:rsidP="003D79A7">
            <w:pPr>
              <w:jc w:val="right"/>
              <w:rPr>
                <w:rFonts w:ascii="Arial" w:hAnsi="Arial" w:cs="Arial"/>
                <w:color w:val="000000"/>
                <w:sz w:val="20"/>
                <w:szCs w:val="20"/>
              </w:rPr>
            </w:pP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auto" w:fill="auto"/>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média (tisk, soutěž)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12 500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15 125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15 000 </w:t>
            </w:r>
          </w:p>
        </w:tc>
        <w:tc>
          <w:tcPr>
            <w:tcW w:w="1276" w:type="dxa"/>
            <w:tcBorders>
              <w:top w:val="nil"/>
              <w:left w:val="nil"/>
              <w:bottom w:val="single" w:sz="4" w:space="0" w:color="auto"/>
              <w:right w:val="single" w:sz="4" w:space="0" w:color="auto"/>
            </w:tcBorders>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000000" w:fill="C0C0C0"/>
            <w:vAlign w:val="bottom"/>
            <w:hideMark/>
          </w:tcPr>
          <w:p w:rsidR="006814BE" w:rsidRPr="006814BE" w:rsidRDefault="006814BE" w:rsidP="00FB382F">
            <w:pPr>
              <w:rPr>
                <w:rFonts w:ascii="Arial" w:hAnsi="Arial" w:cs="Arial"/>
                <w:b/>
                <w:bCs/>
                <w:i/>
                <w:iCs/>
                <w:sz w:val="22"/>
                <w:szCs w:val="22"/>
              </w:rPr>
            </w:pPr>
            <w:r w:rsidRPr="006814BE">
              <w:rPr>
                <w:rFonts w:ascii="Arial" w:hAnsi="Arial" w:cs="Arial"/>
                <w:b/>
                <w:bCs/>
                <w:i/>
                <w:iCs/>
                <w:sz w:val="22"/>
                <w:szCs w:val="22"/>
              </w:rPr>
              <w:t xml:space="preserve">Náklady na reklamní kampaň celkem: </w:t>
            </w:r>
          </w:p>
        </w:tc>
        <w:tc>
          <w:tcPr>
            <w:tcW w:w="1417" w:type="dxa"/>
            <w:tcBorders>
              <w:top w:val="nil"/>
              <w:left w:val="single" w:sz="4" w:space="0" w:color="auto"/>
              <w:bottom w:val="single" w:sz="4" w:space="0" w:color="auto"/>
              <w:right w:val="single" w:sz="4" w:space="0" w:color="auto"/>
            </w:tcBorders>
            <w:shd w:val="clear" w:color="000000" w:fill="C0C0C0"/>
            <w:noWrap/>
            <w:vAlign w:val="bottom"/>
            <w:hideMark/>
          </w:tcPr>
          <w:p w:rsidR="006814BE" w:rsidRPr="006814BE" w:rsidRDefault="006814BE" w:rsidP="00FB382F">
            <w:pPr>
              <w:ind w:right="72"/>
              <w:jc w:val="right"/>
              <w:rPr>
                <w:rFonts w:ascii="Arial" w:hAnsi="Arial" w:cs="Arial"/>
                <w:b/>
                <w:bCs/>
                <w:i/>
                <w:iCs/>
                <w:sz w:val="22"/>
                <w:szCs w:val="22"/>
              </w:rPr>
            </w:pPr>
            <w:r w:rsidRPr="006814BE">
              <w:rPr>
                <w:rFonts w:ascii="Arial" w:hAnsi="Arial" w:cs="Arial"/>
                <w:b/>
                <w:bCs/>
                <w:i/>
                <w:iCs/>
                <w:sz w:val="22"/>
                <w:szCs w:val="22"/>
              </w:rPr>
              <w:t xml:space="preserve">12 500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6814BE" w:rsidRDefault="006814BE" w:rsidP="00FB382F">
            <w:pPr>
              <w:ind w:right="72"/>
              <w:jc w:val="right"/>
              <w:rPr>
                <w:rFonts w:ascii="Arial" w:hAnsi="Arial" w:cs="Arial"/>
                <w:b/>
                <w:bCs/>
                <w:i/>
                <w:iCs/>
                <w:sz w:val="22"/>
                <w:szCs w:val="22"/>
              </w:rPr>
            </w:pPr>
            <w:r w:rsidRPr="006814BE">
              <w:rPr>
                <w:rFonts w:ascii="Arial" w:hAnsi="Arial" w:cs="Arial"/>
                <w:b/>
                <w:bCs/>
                <w:i/>
                <w:iCs/>
                <w:sz w:val="22"/>
                <w:szCs w:val="22"/>
              </w:rPr>
              <w:t xml:space="preserve">15 125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b/>
                <w:bCs/>
                <w:i/>
                <w:iCs/>
                <w:sz w:val="22"/>
                <w:szCs w:val="22"/>
              </w:rPr>
            </w:pPr>
            <w:r w:rsidRPr="006814BE">
              <w:rPr>
                <w:rFonts w:ascii="Arial" w:hAnsi="Arial" w:cs="Arial"/>
                <w:b/>
                <w:bCs/>
                <w:i/>
                <w:iCs/>
                <w:sz w:val="22"/>
                <w:szCs w:val="22"/>
              </w:rPr>
              <w:t xml:space="preserve">15 000 </w:t>
            </w:r>
          </w:p>
        </w:tc>
        <w:tc>
          <w:tcPr>
            <w:tcW w:w="1276" w:type="dxa"/>
            <w:tcBorders>
              <w:top w:val="nil"/>
              <w:left w:val="nil"/>
              <w:bottom w:val="single" w:sz="4" w:space="0" w:color="auto"/>
              <w:right w:val="single" w:sz="4" w:space="0" w:color="auto"/>
            </w:tcBorders>
            <w:shd w:val="clear" w:color="000000" w:fill="C0C0C0"/>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000000" w:fill="FFFFFF"/>
            <w:vAlign w:val="bottom"/>
            <w:hideMark/>
          </w:tcPr>
          <w:p w:rsidR="006814BE" w:rsidRPr="006814BE" w:rsidRDefault="006814BE" w:rsidP="00FB382F">
            <w:pPr>
              <w:rPr>
                <w:rFonts w:ascii="Arial" w:hAnsi="Arial" w:cs="Arial"/>
                <w:sz w:val="22"/>
                <w:szCs w:val="22"/>
              </w:rPr>
            </w:pPr>
            <w:r w:rsidRPr="006814BE">
              <w:rPr>
                <w:rFonts w:ascii="Arial" w:hAnsi="Arial" w:cs="Arial"/>
                <w:sz w:val="22"/>
                <w:szCs w:val="22"/>
              </w:rPr>
              <w:t>III. Náklady na úhradu provizí a vstupného</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2"/>
                <w:szCs w:val="22"/>
              </w:rPr>
            </w:pPr>
            <w:r w:rsidRPr="006814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color w:val="FF0000"/>
                <w:sz w:val="20"/>
                <w:szCs w:val="20"/>
              </w:rPr>
            </w:pPr>
            <w:r w:rsidRPr="006814BE">
              <w:rPr>
                <w:rFonts w:ascii="Arial" w:hAnsi="Arial" w:cs="Arial"/>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color w:val="FF0000"/>
                <w:sz w:val="20"/>
                <w:szCs w:val="20"/>
              </w:rPr>
            </w:pPr>
            <w:r w:rsidRPr="006814BE">
              <w:rPr>
                <w:rFonts w:ascii="Arial" w:hAnsi="Arial" w:cs="Arial"/>
                <w:color w:val="FF0000"/>
                <w:sz w:val="20"/>
                <w:szCs w:val="20"/>
              </w:rPr>
              <w:t> </w:t>
            </w:r>
          </w:p>
        </w:tc>
        <w:tc>
          <w:tcPr>
            <w:tcW w:w="1276" w:type="dxa"/>
            <w:tcBorders>
              <w:top w:val="nil"/>
              <w:left w:val="nil"/>
              <w:bottom w:val="single" w:sz="4" w:space="0" w:color="auto"/>
              <w:right w:val="single" w:sz="4" w:space="0" w:color="auto"/>
            </w:tcBorders>
            <w:vAlign w:val="bottom"/>
          </w:tcPr>
          <w:p w:rsidR="006814BE" w:rsidRPr="005A01BF" w:rsidRDefault="006814BE" w:rsidP="003D79A7">
            <w:pPr>
              <w:jc w:val="right"/>
              <w:rPr>
                <w:rFonts w:ascii="Arial" w:hAnsi="Arial" w:cs="Arial"/>
                <w:color w:val="000000"/>
                <w:sz w:val="20"/>
                <w:szCs w:val="20"/>
              </w:rPr>
            </w:pP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814BE" w:rsidRPr="006814BE" w:rsidRDefault="006814BE" w:rsidP="00DC473F">
            <w:pPr>
              <w:rPr>
                <w:rFonts w:ascii="Arial" w:hAnsi="Arial" w:cs="Arial"/>
                <w:b/>
                <w:bCs/>
                <w:sz w:val="20"/>
                <w:szCs w:val="20"/>
              </w:rPr>
            </w:pPr>
            <w:r w:rsidRPr="006814BE">
              <w:rPr>
                <w:rFonts w:ascii="Arial" w:hAnsi="Arial" w:cs="Arial"/>
                <w:b/>
                <w:bCs/>
                <w:sz w:val="20"/>
                <w:szCs w:val="20"/>
              </w:rPr>
              <w:t>refundace vstupného</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451465">
            <w:pPr>
              <w:ind w:right="72"/>
              <w:jc w:val="right"/>
              <w:rPr>
                <w:rFonts w:ascii="Arial" w:hAnsi="Arial" w:cs="Arial"/>
                <w:sz w:val="20"/>
                <w:szCs w:val="20"/>
              </w:rPr>
            </w:pPr>
            <w:r w:rsidRPr="006814BE">
              <w:rPr>
                <w:rFonts w:ascii="Arial" w:hAnsi="Arial" w:cs="Arial"/>
                <w:sz w:val="20"/>
                <w:szCs w:val="20"/>
              </w:rPr>
              <w:t xml:space="preserve">408 919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451465">
            <w:pPr>
              <w:ind w:right="72"/>
              <w:jc w:val="right"/>
              <w:rPr>
                <w:rFonts w:ascii="Arial" w:hAnsi="Arial" w:cs="Arial"/>
                <w:sz w:val="20"/>
                <w:szCs w:val="20"/>
              </w:rPr>
            </w:pPr>
            <w:r w:rsidRPr="006814BE">
              <w:rPr>
                <w:rFonts w:ascii="Arial" w:hAnsi="Arial" w:cs="Arial"/>
                <w:sz w:val="20"/>
                <w:szCs w:val="20"/>
              </w:rPr>
              <w:t xml:space="preserve">494 792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379 500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130,83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814BE" w:rsidRPr="006814BE" w:rsidRDefault="006814BE" w:rsidP="00FB382F">
            <w:pPr>
              <w:rPr>
                <w:rFonts w:ascii="Arial" w:hAnsi="Arial" w:cs="Arial"/>
                <w:b/>
                <w:bCs/>
                <w:sz w:val="20"/>
                <w:szCs w:val="20"/>
              </w:rPr>
            </w:pPr>
            <w:r w:rsidRPr="006814BE">
              <w:rPr>
                <w:rFonts w:ascii="Arial" w:hAnsi="Arial" w:cs="Arial"/>
                <w:b/>
                <w:bCs/>
                <w:sz w:val="20"/>
                <w:szCs w:val="20"/>
              </w:rPr>
              <w:t>provize MHD</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9 917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12 000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50 000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24</w:t>
            </w:r>
            <w:r w:rsidR="006814BE" w:rsidRPr="005A01BF">
              <w:rPr>
                <w:rFonts w:ascii="Arial" w:hAnsi="Arial" w:cs="Arial"/>
                <w:color w:val="000000"/>
                <w:sz w:val="20"/>
                <w:szCs w:val="20"/>
              </w:rPr>
              <w:t>,00%</w:t>
            </w: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814BE" w:rsidRPr="006814BE" w:rsidRDefault="006814BE" w:rsidP="00FB382F">
            <w:pPr>
              <w:rPr>
                <w:rFonts w:ascii="Arial" w:hAnsi="Arial" w:cs="Arial"/>
                <w:b/>
                <w:bCs/>
                <w:sz w:val="20"/>
                <w:szCs w:val="20"/>
              </w:rPr>
            </w:pPr>
            <w:r w:rsidRPr="006814BE">
              <w:rPr>
                <w:rFonts w:ascii="Arial" w:hAnsi="Arial" w:cs="Arial"/>
                <w:b/>
                <w:bCs/>
                <w:sz w:val="20"/>
                <w:szCs w:val="20"/>
              </w:rPr>
              <w:t xml:space="preserve">úhrada </w:t>
            </w:r>
            <w:proofErr w:type="spellStart"/>
            <w:r w:rsidRPr="006814BE">
              <w:rPr>
                <w:rFonts w:ascii="Arial" w:hAnsi="Arial" w:cs="Arial"/>
                <w:b/>
                <w:bCs/>
                <w:sz w:val="20"/>
                <w:szCs w:val="20"/>
              </w:rPr>
              <w:t>proviz</w:t>
            </w:r>
            <w:proofErr w:type="spellEnd"/>
            <w:r w:rsidRPr="006814BE">
              <w:rPr>
                <w:rFonts w:ascii="Arial" w:hAnsi="Arial" w:cs="Arial"/>
                <w:b/>
                <w:bCs/>
                <w:sz w:val="20"/>
                <w:szCs w:val="20"/>
              </w:rPr>
              <w:t xml:space="preserve">. prodejcům: 10 % </w:t>
            </w:r>
          </w:p>
          <w:p w:rsidR="006814BE" w:rsidRPr="006814BE" w:rsidRDefault="006814BE" w:rsidP="00FB382F">
            <w:pPr>
              <w:rPr>
                <w:rFonts w:ascii="Arial" w:hAnsi="Arial" w:cs="Arial"/>
                <w:b/>
                <w:bCs/>
                <w:sz w:val="20"/>
                <w:szCs w:val="20"/>
              </w:rPr>
            </w:pPr>
            <w:r w:rsidRPr="006814BE">
              <w:rPr>
                <w:rFonts w:ascii="Arial" w:hAnsi="Arial" w:cs="Arial"/>
                <w:b/>
                <w:bCs/>
                <w:sz w:val="20"/>
                <w:szCs w:val="20"/>
              </w:rPr>
              <w:t xml:space="preserve">z prodaných karet </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50 000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6814BE" w:rsidRDefault="006814BE" w:rsidP="00FB382F">
            <w:pPr>
              <w:ind w:right="72"/>
              <w:jc w:val="right"/>
              <w:rPr>
                <w:rFonts w:ascii="Arial" w:hAnsi="Arial" w:cs="Arial"/>
                <w:sz w:val="20"/>
                <w:szCs w:val="20"/>
              </w:rPr>
            </w:pPr>
            <w:r w:rsidRPr="006814BE">
              <w:rPr>
                <w:rFonts w:ascii="Arial" w:hAnsi="Arial" w:cs="Arial"/>
                <w:sz w:val="20"/>
                <w:szCs w:val="20"/>
              </w:rPr>
              <w:t xml:space="preserve">60 500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0"/>
                <w:szCs w:val="20"/>
              </w:rPr>
            </w:pPr>
            <w:r w:rsidRPr="006814BE">
              <w:rPr>
                <w:rFonts w:ascii="Arial" w:hAnsi="Arial" w:cs="Arial"/>
                <w:sz w:val="20"/>
                <w:szCs w:val="20"/>
              </w:rPr>
              <w:t xml:space="preserve">60 000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100,83</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000000" w:fill="C0C0C0"/>
            <w:vAlign w:val="bottom"/>
            <w:hideMark/>
          </w:tcPr>
          <w:p w:rsidR="006814BE" w:rsidRPr="006814BE" w:rsidRDefault="006814BE" w:rsidP="00FB382F">
            <w:pPr>
              <w:rPr>
                <w:rFonts w:ascii="Arial" w:hAnsi="Arial" w:cs="Arial"/>
                <w:b/>
                <w:bCs/>
                <w:i/>
                <w:iCs/>
                <w:sz w:val="22"/>
                <w:szCs w:val="22"/>
              </w:rPr>
            </w:pPr>
            <w:r w:rsidRPr="006814BE">
              <w:rPr>
                <w:rFonts w:ascii="Arial" w:hAnsi="Arial" w:cs="Arial"/>
                <w:b/>
                <w:bCs/>
                <w:i/>
                <w:iCs/>
                <w:sz w:val="22"/>
                <w:szCs w:val="22"/>
              </w:rPr>
              <w:t>Náklady na úhradu provizí a vstupného celkem</w:t>
            </w:r>
          </w:p>
        </w:tc>
        <w:tc>
          <w:tcPr>
            <w:tcW w:w="1417" w:type="dxa"/>
            <w:tcBorders>
              <w:top w:val="nil"/>
              <w:left w:val="single" w:sz="4" w:space="0" w:color="auto"/>
              <w:bottom w:val="single" w:sz="4" w:space="0" w:color="auto"/>
              <w:right w:val="single" w:sz="4" w:space="0" w:color="auto"/>
            </w:tcBorders>
            <w:shd w:val="clear" w:color="000000" w:fill="C0C0C0"/>
            <w:noWrap/>
            <w:vAlign w:val="bottom"/>
            <w:hideMark/>
          </w:tcPr>
          <w:p w:rsidR="006814BE" w:rsidRPr="004A25BE" w:rsidRDefault="006814BE" w:rsidP="006814BE">
            <w:pPr>
              <w:ind w:right="72"/>
              <w:jc w:val="right"/>
              <w:rPr>
                <w:rFonts w:ascii="Arial" w:hAnsi="Arial" w:cs="Arial"/>
                <w:b/>
                <w:bCs/>
                <w:i/>
                <w:iCs/>
                <w:sz w:val="22"/>
                <w:szCs w:val="22"/>
              </w:rPr>
            </w:pPr>
            <w:r w:rsidRPr="004A25BE">
              <w:rPr>
                <w:rFonts w:ascii="Arial" w:hAnsi="Arial" w:cs="Arial"/>
                <w:b/>
                <w:bCs/>
                <w:i/>
                <w:iCs/>
                <w:sz w:val="22"/>
                <w:szCs w:val="22"/>
              </w:rPr>
              <w:t xml:space="preserve">468 917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4A25BE" w:rsidRDefault="004A25BE" w:rsidP="004A25BE">
            <w:pPr>
              <w:ind w:right="72"/>
              <w:jc w:val="right"/>
              <w:rPr>
                <w:rFonts w:ascii="Arial" w:hAnsi="Arial" w:cs="Arial"/>
                <w:b/>
                <w:bCs/>
                <w:i/>
                <w:iCs/>
                <w:sz w:val="22"/>
                <w:szCs w:val="22"/>
              </w:rPr>
            </w:pPr>
            <w:r w:rsidRPr="004A25BE">
              <w:rPr>
                <w:rFonts w:ascii="Arial" w:hAnsi="Arial" w:cs="Arial"/>
                <w:b/>
                <w:bCs/>
                <w:i/>
                <w:iCs/>
                <w:sz w:val="22"/>
                <w:szCs w:val="22"/>
              </w:rPr>
              <w:t>567</w:t>
            </w:r>
            <w:r w:rsidR="006814BE" w:rsidRPr="004A25BE">
              <w:rPr>
                <w:rFonts w:ascii="Arial" w:hAnsi="Arial" w:cs="Arial"/>
                <w:b/>
                <w:bCs/>
                <w:i/>
                <w:iCs/>
                <w:sz w:val="22"/>
                <w:szCs w:val="22"/>
              </w:rPr>
              <w:t xml:space="preserve"> </w:t>
            </w:r>
            <w:r w:rsidRPr="004A25BE">
              <w:rPr>
                <w:rFonts w:ascii="Arial" w:hAnsi="Arial" w:cs="Arial"/>
                <w:b/>
                <w:bCs/>
                <w:i/>
                <w:iCs/>
                <w:sz w:val="22"/>
                <w:szCs w:val="22"/>
              </w:rPr>
              <w:t>292</w:t>
            </w:r>
            <w:r w:rsidR="006814BE" w:rsidRPr="004A25BE">
              <w:rPr>
                <w:rFonts w:ascii="Arial" w:hAnsi="Arial" w:cs="Arial"/>
                <w:b/>
                <w:bCs/>
                <w:i/>
                <w:iCs/>
                <w:sz w:val="22"/>
                <w:szCs w:val="22"/>
              </w:rPr>
              <w:t xml:space="preserve">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b/>
                <w:bCs/>
                <w:i/>
                <w:iCs/>
                <w:sz w:val="22"/>
                <w:szCs w:val="22"/>
              </w:rPr>
            </w:pPr>
            <w:r w:rsidRPr="006814BE">
              <w:rPr>
                <w:rFonts w:ascii="Arial" w:hAnsi="Arial" w:cs="Arial"/>
                <w:b/>
                <w:bCs/>
                <w:i/>
                <w:iCs/>
                <w:sz w:val="22"/>
                <w:szCs w:val="22"/>
              </w:rPr>
              <w:t xml:space="preserve">489 500 </w:t>
            </w:r>
          </w:p>
        </w:tc>
        <w:tc>
          <w:tcPr>
            <w:tcW w:w="1276" w:type="dxa"/>
            <w:tcBorders>
              <w:top w:val="nil"/>
              <w:left w:val="nil"/>
              <w:bottom w:val="single" w:sz="4" w:space="0" w:color="auto"/>
              <w:right w:val="single" w:sz="4" w:space="0" w:color="auto"/>
            </w:tcBorders>
            <w:shd w:val="clear" w:color="000000" w:fill="C0C0C0"/>
            <w:vAlign w:val="bottom"/>
          </w:tcPr>
          <w:p w:rsidR="006814BE" w:rsidRPr="005A01BF" w:rsidRDefault="005A01BF" w:rsidP="00451465">
            <w:pPr>
              <w:jc w:val="right"/>
              <w:rPr>
                <w:rFonts w:ascii="Arial" w:hAnsi="Arial" w:cs="Arial"/>
                <w:color w:val="000000"/>
                <w:sz w:val="20"/>
                <w:szCs w:val="20"/>
              </w:rPr>
            </w:pPr>
            <w:r w:rsidRPr="005A01BF">
              <w:rPr>
                <w:rFonts w:ascii="Arial" w:hAnsi="Arial" w:cs="Arial"/>
                <w:color w:val="000000"/>
                <w:sz w:val="20"/>
                <w:szCs w:val="20"/>
              </w:rPr>
              <w:t>115,89</w:t>
            </w:r>
            <w:r w:rsidR="006814BE" w:rsidRPr="005A01BF">
              <w:rPr>
                <w:rFonts w:ascii="Arial" w:hAnsi="Arial" w:cs="Arial"/>
                <w:color w:val="000000"/>
                <w:sz w:val="20"/>
                <w:szCs w:val="20"/>
              </w:rPr>
              <w:t>%</w:t>
            </w:r>
          </w:p>
        </w:tc>
      </w:tr>
      <w:tr w:rsidR="006814BE" w:rsidRPr="00813ABB" w:rsidTr="006814BE">
        <w:trPr>
          <w:trHeight w:val="375"/>
        </w:trPr>
        <w:tc>
          <w:tcPr>
            <w:tcW w:w="3276" w:type="dxa"/>
            <w:tcBorders>
              <w:top w:val="nil"/>
              <w:left w:val="single" w:sz="4" w:space="0" w:color="auto"/>
              <w:bottom w:val="single" w:sz="4" w:space="0" w:color="auto"/>
              <w:right w:val="nil"/>
            </w:tcBorders>
            <w:shd w:val="clear" w:color="000000" w:fill="C0C0C0"/>
            <w:vAlign w:val="bottom"/>
            <w:hideMark/>
          </w:tcPr>
          <w:p w:rsidR="006814BE" w:rsidRPr="006814BE" w:rsidRDefault="006814BE" w:rsidP="00FB382F">
            <w:pPr>
              <w:rPr>
                <w:rFonts w:ascii="Arial" w:hAnsi="Arial" w:cs="Arial"/>
                <w:b/>
                <w:bCs/>
              </w:rPr>
            </w:pPr>
            <w:r w:rsidRPr="006814BE">
              <w:rPr>
                <w:rFonts w:ascii="Arial" w:hAnsi="Arial" w:cs="Arial"/>
                <w:b/>
                <w:bCs/>
              </w:rPr>
              <w:t>Celkem náklady</w:t>
            </w:r>
          </w:p>
        </w:tc>
        <w:tc>
          <w:tcPr>
            <w:tcW w:w="1417" w:type="dxa"/>
            <w:tcBorders>
              <w:top w:val="nil"/>
              <w:left w:val="single" w:sz="4" w:space="0" w:color="auto"/>
              <w:bottom w:val="single" w:sz="4" w:space="0" w:color="auto"/>
              <w:right w:val="single" w:sz="4" w:space="0" w:color="auto"/>
            </w:tcBorders>
            <w:shd w:val="clear" w:color="000000" w:fill="C0C0C0"/>
            <w:noWrap/>
            <w:vAlign w:val="bottom"/>
            <w:hideMark/>
          </w:tcPr>
          <w:p w:rsidR="006814BE" w:rsidRPr="004A25BE" w:rsidRDefault="006814BE" w:rsidP="004A25BE">
            <w:pPr>
              <w:ind w:right="72"/>
              <w:jc w:val="right"/>
              <w:rPr>
                <w:rFonts w:ascii="Arial" w:hAnsi="Arial" w:cs="Arial"/>
                <w:b/>
                <w:bCs/>
              </w:rPr>
            </w:pPr>
            <w:r w:rsidRPr="004A25BE">
              <w:rPr>
                <w:rFonts w:ascii="Arial" w:hAnsi="Arial" w:cs="Arial"/>
                <w:b/>
                <w:bCs/>
              </w:rPr>
              <w:t>1 0</w:t>
            </w:r>
            <w:r w:rsidR="004A25BE" w:rsidRPr="004A25BE">
              <w:rPr>
                <w:rFonts w:ascii="Arial" w:hAnsi="Arial" w:cs="Arial"/>
                <w:b/>
                <w:bCs/>
              </w:rPr>
              <w:t>72</w:t>
            </w:r>
            <w:r w:rsidRPr="004A25BE">
              <w:rPr>
                <w:rFonts w:ascii="Arial" w:hAnsi="Arial" w:cs="Arial"/>
                <w:b/>
                <w:bCs/>
              </w:rPr>
              <w:t xml:space="preserve"> </w:t>
            </w:r>
            <w:r w:rsidR="004A25BE" w:rsidRPr="004A25BE">
              <w:rPr>
                <w:rFonts w:ascii="Arial" w:hAnsi="Arial" w:cs="Arial"/>
                <w:b/>
                <w:bCs/>
              </w:rPr>
              <w:t>727</w:t>
            </w:r>
            <w:r w:rsidRPr="004A25BE">
              <w:rPr>
                <w:rFonts w:ascii="Arial" w:hAnsi="Arial" w:cs="Arial"/>
                <w:b/>
                <w:bCs/>
              </w:rPr>
              <w:t xml:space="preserve">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4A25BE" w:rsidRDefault="006814BE" w:rsidP="004A25BE">
            <w:pPr>
              <w:ind w:right="72"/>
              <w:jc w:val="right"/>
              <w:rPr>
                <w:rFonts w:ascii="Arial" w:hAnsi="Arial" w:cs="Arial"/>
                <w:b/>
                <w:bCs/>
              </w:rPr>
            </w:pPr>
            <w:r w:rsidRPr="004A25BE">
              <w:rPr>
                <w:rFonts w:ascii="Arial" w:hAnsi="Arial" w:cs="Arial"/>
                <w:b/>
                <w:bCs/>
              </w:rPr>
              <w:t xml:space="preserve">1 </w:t>
            </w:r>
            <w:r w:rsidR="004A25BE" w:rsidRPr="004A25BE">
              <w:rPr>
                <w:rFonts w:ascii="Arial" w:hAnsi="Arial" w:cs="Arial"/>
                <w:b/>
                <w:bCs/>
              </w:rPr>
              <w:t>298</w:t>
            </w:r>
            <w:r w:rsidRPr="004A25BE">
              <w:rPr>
                <w:rFonts w:ascii="Arial" w:hAnsi="Arial" w:cs="Arial"/>
                <w:b/>
                <w:bCs/>
              </w:rPr>
              <w:t xml:space="preserve"> </w:t>
            </w:r>
            <w:r w:rsidR="004A25BE" w:rsidRPr="004A25BE">
              <w:rPr>
                <w:rFonts w:ascii="Arial" w:hAnsi="Arial" w:cs="Arial"/>
                <w:b/>
                <w:bCs/>
              </w:rPr>
              <w:t>0</w:t>
            </w:r>
            <w:r w:rsidRPr="004A25BE">
              <w:rPr>
                <w:rFonts w:ascii="Arial" w:hAnsi="Arial" w:cs="Arial"/>
                <w:b/>
                <w:bCs/>
              </w:rPr>
              <w:t xml:space="preserve">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b/>
                <w:bCs/>
              </w:rPr>
            </w:pPr>
            <w:r w:rsidRPr="006814BE">
              <w:rPr>
                <w:rFonts w:ascii="Arial" w:hAnsi="Arial" w:cs="Arial"/>
                <w:b/>
                <w:bCs/>
              </w:rPr>
              <w:t xml:space="preserve">1 309 500 </w:t>
            </w:r>
          </w:p>
        </w:tc>
        <w:tc>
          <w:tcPr>
            <w:tcW w:w="1276" w:type="dxa"/>
            <w:tcBorders>
              <w:top w:val="nil"/>
              <w:left w:val="nil"/>
              <w:bottom w:val="single" w:sz="4" w:space="0" w:color="auto"/>
              <w:right w:val="single" w:sz="4" w:space="0" w:color="auto"/>
            </w:tcBorders>
            <w:shd w:val="clear" w:color="000000" w:fill="C0C0C0"/>
            <w:vAlign w:val="bottom"/>
          </w:tcPr>
          <w:p w:rsidR="006814BE" w:rsidRPr="005A01BF" w:rsidRDefault="005A01BF" w:rsidP="00ED7274">
            <w:pPr>
              <w:jc w:val="right"/>
              <w:rPr>
                <w:rFonts w:ascii="Arial" w:hAnsi="Arial" w:cs="Arial"/>
                <w:color w:val="000000"/>
                <w:sz w:val="20"/>
                <w:szCs w:val="20"/>
              </w:rPr>
            </w:pPr>
            <w:r w:rsidRPr="005A01BF">
              <w:rPr>
                <w:rFonts w:ascii="Arial" w:hAnsi="Arial" w:cs="Arial"/>
                <w:color w:val="000000"/>
                <w:sz w:val="20"/>
                <w:szCs w:val="20"/>
              </w:rPr>
              <w:t>99,12</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000000" w:fill="FFFFFF"/>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B) VÝNOSY</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6814BE" w:rsidRPr="004A25BE" w:rsidRDefault="006814BE" w:rsidP="00FB382F">
            <w:pPr>
              <w:ind w:right="72"/>
              <w:jc w:val="right"/>
              <w:rPr>
                <w:rFonts w:ascii="Arial" w:hAnsi="Arial" w:cs="Arial"/>
                <w:sz w:val="22"/>
                <w:szCs w:val="22"/>
              </w:rPr>
            </w:pPr>
            <w:r w:rsidRPr="004A25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4A25BE" w:rsidRDefault="006814BE" w:rsidP="00FB382F">
            <w:pPr>
              <w:ind w:right="72"/>
              <w:jc w:val="right"/>
              <w:rPr>
                <w:rFonts w:ascii="Arial" w:hAnsi="Arial" w:cs="Arial"/>
                <w:color w:val="FF0000"/>
                <w:sz w:val="20"/>
                <w:szCs w:val="20"/>
              </w:rPr>
            </w:pPr>
            <w:r w:rsidRPr="004A25BE">
              <w:rPr>
                <w:rFonts w:ascii="Arial" w:hAnsi="Arial" w:cs="Arial"/>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color w:val="FF0000"/>
                <w:sz w:val="20"/>
                <w:szCs w:val="20"/>
              </w:rPr>
            </w:pPr>
            <w:r w:rsidRPr="006814BE">
              <w:rPr>
                <w:rFonts w:ascii="Arial" w:hAnsi="Arial" w:cs="Arial"/>
                <w:color w:val="FF0000"/>
                <w:sz w:val="20"/>
                <w:szCs w:val="20"/>
              </w:rPr>
              <w:t> </w:t>
            </w:r>
          </w:p>
        </w:tc>
        <w:tc>
          <w:tcPr>
            <w:tcW w:w="1276" w:type="dxa"/>
            <w:tcBorders>
              <w:top w:val="nil"/>
              <w:left w:val="nil"/>
              <w:bottom w:val="single" w:sz="4" w:space="0" w:color="auto"/>
              <w:right w:val="single" w:sz="4" w:space="0" w:color="auto"/>
            </w:tcBorders>
            <w:vAlign w:val="bottom"/>
          </w:tcPr>
          <w:p w:rsidR="006814BE" w:rsidRPr="005A01BF" w:rsidRDefault="006814BE" w:rsidP="003D79A7">
            <w:pPr>
              <w:jc w:val="right"/>
              <w:rPr>
                <w:rFonts w:ascii="Arial" w:hAnsi="Arial" w:cs="Arial"/>
                <w:color w:val="000000"/>
                <w:sz w:val="20"/>
                <w:szCs w:val="20"/>
              </w:rPr>
            </w:pPr>
          </w:p>
        </w:tc>
      </w:tr>
      <w:tr w:rsidR="006814BE" w:rsidRPr="00813ABB" w:rsidTr="006814BE">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814BE" w:rsidRPr="006814BE" w:rsidRDefault="006814BE" w:rsidP="00DC473F">
            <w:pPr>
              <w:rPr>
                <w:rFonts w:ascii="Arial" w:hAnsi="Arial" w:cs="Arial"/>
                <w:b/>
                <w:bCs/>
                <w:sz w:val="20"/>
                <w:szCs w:val="20"/>
              </w:rPr>
            </w:pPr>
            <w:r w:rsidRPr="006814BE">
              <w:rPr>
                <w:rFonts w:ascii="Arial" w:hAnsi="Arial" w:cs="Arial"/>
                <w:b/>
                <w:bCs/>
                <w:sz w:val="20"/>
                <w:szCs w:val="20"/>
              </w:rPr>
              <w:t xml:space="preserve">prodej karet </w:t>
            </w:r>
          </w:p>
        </w:tc>
        <w:tc>
          <w:tcPr>
            <w:tcW w:w="1417" w:type="dxa"/>
            <w:tcBorders>
              <w:top w:val="nil"/>
              <w:left w:val="nil"/>
              <w:bottom w:val="single" w:sz="4" w:space="0" w:color="auto"/>
              <w:right w:val="single" w:sz="4" w:space="0" w:color="auto"/>
            </w:tcBorders>
            <w:shd w:val="clear" w:color="auto" w:fill="auto"/>
            <w:noWrap/>
            <w:vAlign w:val="bottom"/>
            <w:hideMark/>
          </w:tcPr>
          <w:p w:rsidR="006814BE" w:rsidRPr="004A25BE" w:rsidRDefault="006814BE" w:rsidP="004A25BE">
            <w:pPr>
              <w:ind w:right="72"/>
              <w:jc w:val="right"/>
              <w:rPr>
                <w:rFonts w:ascii="Arial" w:hAnsi="Arial" w:cs="Arial"/>
                <w:sz w:val="20"/>
                <w:szCs w:val="20"/>
              </w:rPr>
            </w:pPr>
            <w:r w:rsidRPr="004A25BE">
              <w:rPr>
                <w:rFonts w:ascii="Arial" w:hAnsi="Arial" w:cs="Arial"/>
                <w:sz w:val="20"/>
                <w:szCs w:val="20"/>
              </w:rPr>
              <w:t>6</w:t>
            </w:r>
            <w:r w:rsidR="004A25BE" w:rsidRPr="004A25BE">
              <w:rPr>
                <w:rFonts w:ascii="Arial" w:hAnsi="Arial" w:cs="Arial"/>
                <w:sz w:val="20"/>
                <w:szCs w:val="20"/>
              </w:rPr>
              <w:t>00</w:t>
            </w:r>
            <w:r w:rsidRPr="004A25BE">
              <w:rPr>
                <w:rFonts w:ascii="Arial" w:hAnsi="Arial" w:cs="Arial"/>
                <w:sz w:val="20"/>
                <w:szCs w:val="20"/>
              </w:rPr>
              <w:t xml:space="preserve"> </w:t>
            </w:r>
            <w:r w:rsidR="004A25BE" w:rsidRPr="004A25BE">
              <w:rPr>
                <w:rFonts w:ascii="Arial" w:hAnsi="Arial" w:cs="Arial"/>
                <w:sz w:val="20"/>
                <w:szCs w:val="20"/>
              </w:rPr>
              <w:t>000</w:t>
            </w:r>
            <w:r w:rsidRPr="004A25BE">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rsidR="006814BE" w:rsidRPr="004A25BE" w:rsidRDefault="006814BE" w:rsidP="004A25BE">
            <w:pPr>
              <w:ind w:right="72"/>
              <w:jc w:val="right"/>
              <w:rPr>
                <w:rFonts w:ascii="Arial" w:hAnsi="Arial" w:cs="Arial"/>
                <w:sz w:val="22"/>
                <w:szCs w:val="22"/>
              </w:rPr>
            </w:pPr>
            <w:r w:rsidRPr="004A25BE">
              <w:rPr>
                <w:rFonts w:ascii="Arial" w:hAnsi="Arial" w:cs="Arial"/>
                <w:sz w:val="20"/>
                <w:szCs w:val="20"/>
              </w:rPr>
              <w:t>7</w:t>
            </w:r>
            <w:r w:rsidR="004A25BE" w:rsidRPr="004A25BE">
              <w:rPr>
                <w:rFonts w:ascii="Arial" w:hAnsi="Arial" w:cs="Arial"/>
                <w:sz w:val="20"/>
                <w:szCs w:val="20"/>
              </w:rPr>
              <w:t>26</w:t>
            </w:r>
            <w:r w:rsidRPr="004A25BE">
              <w:rPr>
                <w:rFonts w:ascii="Arial" w:hAnsi="Arial" w:cs="Arial"/>
                <w:sz w:val="20"/>
                <w:szCs w:val="20"/>
              </w:rPr>
              <w:t xml:space="preserve"> </w:t>
            </w:r>
            <w:r w:rsidR="004A25BE" w:rsidRPr="004A25BE">
              <w:rPr>
                <w:rFonts w:ascii="Arial" w:hAnsi="Arial" w:cs="Arial"/>
                <w:sz w:val="20"/>
                <w:szCs w:val="20"/>
              </w:rPr>
              <w:t>0</w:t>
            </w:r>
            <w:r w:rsidRPr="004A25BE">
              <w:rPr>
                <w:rFonts w:ascii="Arial" w:hAnsi="Arial" w:cs="Arial"/>
                <w:sz w:val="20"/>
                <w:szCs w:val="20"/>
              </w:rPr>
              <w:t xml:space="preserve">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sz w:val="22"/>
                <w:szCs w:val="22"/>
              </w:rPr>
            </w:pPr>
            <w:r w:rsidRPr="006814BE">
              <w:rPr>
                <w:rFonts w:ascii="Arial" w:hAnsi="Arial" w:cs="Arial"/>
                <w:sz w:val="20"/>
                <w:szCs w:val="20"/>
              </w:rPr>
              <w:t xml:space="preserve">737 500 </w:t>
            </w:r>
          </w:p>
        </w:tc>
        <w:tc>
          <w:tcPr>
            <w:tcW w:w="1276" w:type="dxa"/>
            <w:tcBorders>
              <w:top w:val="nil"/>
              <w:left w:val="nil"/>
              <w:bottom w:val="single" w:sz="4" w:space="0" w:color="auto"/>
              <w:right w:val="single" w:sz="4" w:space="0" w:color="auto"/>
            </w:tcBorders>
            <w:shd w:val="clear" w:color="000000" w:fill="FFFFFF"/>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98,44</w:t>
            </w:r>
            <w:r w:rsidR="006814BE" w:rsidRPr="005A01BF">
              <w:rPr>
                <w:rFonts w:ascii="Arial" w:hAnsi="Arial" w:cs="Arial"/>
                <w:color w:val="000000"/>
                <w:sz w:val="20"/>
                <w:szCs w:val="20"/>
              </w:rPr>
              <w:t>%</w:t>
            </w:r>
          </w:p>
        </w:tc>
      </w:tr>
      <w:tr w:rsidR="006814BE" w:rsidRPr="00813ABB" w:rsidTr="006814BE">
        <w:trPr>
          <w:trHeight w:val="375"/>
        </w:trPr>
        <w:tc>
          <w:tcPr>
            <w:tcW w:w="3276" w:type="dxa"/>
            <w:tcBorders>
              <w:top w:val="nil"/>
              <w:left w:val="single" w:sz="4" w:space="0" w:color="auto"/>
              <w:bottom w:val="single" w:sz="4" w:space="0" w:color="auto"/>
              <w:right w:val="nil"/>
            </w:tcBorders>
            <w:shd w:val="clear" w:color="000000" w:fill="C0C0C0"/>
            <w:vAlign w:val="bottom"/>
            <w:hideMark/>
          </w:tcPr>
          <w:p w:rsidR="006814BE" w:rsidRPr="006814BE" w:rsidRDefault="006814BE" w:rsidP="00FB382F">
            <w:pPr>
              <w:rPr>
                <w:rFonts w:ascii="Arial" w:hAnsi="Arial" w:cs="Arial"/>
                <w:b/>
                <w:bCs/>
              </w:rPr>
            </w:pPr>
            <w:r w:rsidRPr="006814BE">
              <w:rPr>
                <w:rFonts w:ascii="Arial" w:hAnsi="Arial" w:cs="Arial"/>
                <w:b/>
                <w:bCs/>
              </w:rPr>
              <w:t>Celkem výnosy</w:t>
            </w:r>
          </w:p>
        </w:tc>
        <w:tc>
          <w:tcPr>
            <w:tcW w:w="1417" w:type="dxa"/>
            <w:tcBorders>
              <w:top w:val="nil"/>
              <w:left w:val="single" w:sz="4" w:space="0" w:color="auto"/>
              <w:bottom w:val="single" w:sz="4" w:space="0" w:color="auto"/>
              <w:right w:val="single" w:sz="4" w:space="0" w:color="auto"/>
            </w:tcBorders>
            <w:shd w:val="clear" w:color="000000" w:fill="C0C0C0"/>
            <w:noWrap/>
            <w:vAlign w:val="bottom"/>
            <w:hideMark/>
          </w:tcPr>
          <w:p w:rsidR="006814BE" w:rsidRPr="004A25BE" w:rsidRDefault="006814BE" w:rsidP="004A25BE">
            <w:pPr>
              <w:ind w:right="72"/>
              <w:jc w:val="right"/>
              <w:rPr>
                <w:rFonts w:ascii="Arial" w:hAnsi="Arial" w:cs="Arial"/>
                <w:b/>
                <w:bCs/>
              </w:rPr>
            </w:pPr>
            <w:r w:rsidRPr="004A25BE">
              <w:rPr>
                <w:rFonts w:ascii="Arial" w:hAnsi="Arial" w:cs="Arial"/>
                <w:b/>
                <w:bCs/>
              </w:rPr>
              <w:t>6</w:t>
            </w:r>
            <w:r w:rsidR="004A25BE" w:rsidRPr="004A25BE">
              <w:rPr>
                <w:rFonts w:ascii="Arial" w:hAnsi="Arial" w:cs="Arial"/>
                <w:b/>
                <w:bCs/>
              </w:rPr>
              <w:t>00</w:t>
            </w:r>
            <w:r w:rsidRPr="004A25BE">
              <w:rPr>
                <w:rFonts w:ascii="Arial" w:hAnsi="Arial" w:cs="Arial"/>
                <w:b/>
                <w:bCs/>
              </w:rPr>
              <w:t xml:space="preserve"> </w:t>
            </w:r>
            <w:r w:rsidR="004A25BE" w:rsidRPr="004A25BE">
              <w:rPr>
                <w:rFonts w:ascii="Arial" w:hAnsi="Arial" w:cs="Arial"/>
                <w:b/>
                <w:bCs/>
              </w:rPr>
              <w:t>000</w:t>
            </w:r>
            <w:r w:rsidRPr="004A25BE">
              <w:rPr>
                <w:rFonts w:ascii="Arial" w:hAnsi="Arial" w:cs="Arial"/>
                <w:b/>
                <w:bCs/>
              </w:rPr>
              <w:t xml:space="preserve">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4A25BE" w:rsidRDefault="006814BE" w:rsidP="004A25BE">
            <w:pPr>
              <w:ind w:right="72"/>
              <w:jc w:val="right"/>
              <w:rPr>
                <w:rFonts w:ascii="Arial" w:hAnsi="Arial" w:cs="Arial"/>
                <w:b/>
                <w:bCs/>
              </w:rPr>
            </w:pPr>
            <w:r w:rsidRPr="004A25BE">
              <w:rPr>
                <w:rFonts w:ascii="Arial" w:hAnsi="Arial" w:cs="Arial"/>
                <w:b/>
                <w:bCs/>
              </w:rPr>
              <w:t>7</w:t>
            </w:r>
            <w:r w:rsidR="004A25BE" w:rsidRPr="004A25BE">
              <w:rPr>
                <w:rFonts w:ascii="Arial" w:hAnsi="Arial" w:cs="Arial"/>
                <w:b/>
                <w:bCs/>
              </w:rPr>
              <w:t>26</w:t>
            </w:r>
            <w:r w:rsidRPr="004A25BE">
              <w:rPr>
                <w:rFonts w:ascii="Arial" w:hAnsi="Arial" w:cs="Arial"/>
                <w:b/>
                <w:bCs/>
              </w:rPr>
              <w:t xml:space="preserve"> </w:t>
            </w:r>
            <w:r w:rsidR="004A25BE" w:rsidRPr="004A25BE">
              <w:rPr>
                <w:rFonts w:ascii="Arial" w:hAnsi="Arial" w:cs="Arial"/>
                <w:b/>
                <w:bCs/>
              </w:rPr>
              <w:t>0</w:t>
            </w:r>
            <w:r w:rsidRPr="004A25BE">
              <w:rPr>
                <w:rFonts w:ascii="Arial" w:hAnsi="Arial" w:cs="Arial"/>
                <w:b/>
                <w:bCs/>
              </w:rPr>
              <w:t xml:space="preserve">00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b/>
                <w:bCs/>
              </w:rPr>
            </w:pPr>
            <w:r w:rsidRPr="006814BE">
              <w:rPr>
                <w:rFonts w:ascii="Arial" w:hAnsi="Arial" w:cs="Arial"/>
                <w:b/>
                <w:bCs/>
              </w:rPr>
              <w:t xml:space="preserve">737 500 </w:t>
            </w:r>
          </w:p>
        </w:tc>
        <w:tc>
          <w:tcPr>
            <w:tcW w:w="1276" w:type="dxa"/>
            <w:tcBorders>
              <w:top w:val="nil"/>
              <w:left w:val="nil"/>
              <w:bottom w:val="single" w:sz="4" w:space="0" w:color="auto"/>
              <w:right w:val="single" w:sz="4" w:space="0" w:color="auto"/>
            </w:tcBorders>
            <w:shd w:val="clear" w:color="000000" w:fill="C0C0C0"/>
            <w:vAlign w:val="bottom"/>
          </w:tcPr>
          <w:p w:rsidR="006814BE" w:rsidRPr="005A01BF" w:rsidRDefault="005A01BF" w:rsidP="003D79A7">
            <w:pPr>
              <w:jc w:val="right"/>
              <w:rPr>
                <w:rFonts w:ascii="Arial" w:hAnsi="Arial" w:cs="Arial"/>
                <w:color w:val="000000"/>
                <w:sz w:val="20"/>
                <w:szCs w:val="20"/>
              </w:rPr>
            </w:pPr>
            <w:r w:rsidRPr="005A01BF">
              <w:rPr>
                <w:rFonts w:ascii="Arial" w:hAnsi="Arial" w:cs="Arial"/>
                <w:color w:val="000000"/>
                <w:sz w:val="20"/>
                <w:szCs w:val="20"/>
              </w:rPr>
              <w:t>98,44</w:t>
            </w:r>
            <w:r w:rsidR="006814BE" w:rsidRPr="005A01BF">
              <w:rPr>
                <w:rFonts w:ascii="Arial" w:hAnsi="Arial" w:cs="Arial"/>
                <w:color w:val="000000"/>
                <w:sz w:val="20"/>
                <w:szCs w:val="20"/>
              </w:rPr>
              <w:t>%</w:t>
            </w:r>
          </w:p>
        </w:tc>
      </w:tr>
      <w:tr w:rsidR="006814BE" w:rsidRPr="00813ABB" w:rsidTr="006814BE">
        <w:trPr>
          <w:trHeight w:val="300"/>
        </w:trPr>
        <w:tc>
          <w:tcPr>
            <w:tcW w:w="3276" w:type="dxa"/>
            <w:tcBorders>
              <w:top w:val="nil"/>
              <w:left w:val="single" w:sz="4" w:space="0" w:color="auto"/>
              <w:bottom w:val="single" w:sz="4" w:space="0" w:color="auto"/>
              <w:right w:val="nil"/>
            </w:tcBorders>
            <w:shd w:val="clear" w:color="000000" w:fill="FFFFFF"/>
            <w:vAlign w:val="bottom"/>
            <w:hideMark/>
          </w:tcPr>
          <w:p w:rsidR="006814BE" w:rsidRPr="006814BE" w:rsidRDefault="006814BE" w:rsidP="00FB382F">
            <w:pPr>
              <w:rPr>
                <w:rFonts w:ascii="Arial" w:hAnsi="Arial" w:cs="Arial"/>
                <w:b/>
                <w:bCs/>
                <w:sz w:val="22"/>
                <w:szCs w:val="22"/>
              </w:rPr>
            </w:pPr>
            <w:r w:rsidRPr="006814BE">
              <w:rPr>
                <w:rFonts w:ascii="Arial" w:hAnsi="Arial" w:cs="Arial"/>
                <w:b/>
                <w:bCs/>
                <w:sz w:val="22"/>
                <w:szCs w:val="22"/>
              </w:rPr>
              <w:t>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6814BE" w:rsidRPr="004A25BE" w:rsidRDefault="006814BE" w:rsidP="00FB382F">
            <w:pPr>
              <w:ind w:right="72"/>
              <w:jc w:val="right"/>
              <w:rPr>
                <w:rFonts w:ascii="Arial" w:hAnsi="Arial" w:cs="Arial"/>
                <w:sz w:val="22"/>
                <w:szCs w:val="22"/>
              </w:rPr>
            </w:pPr>
            <w:r w:rsidRPr="004A25BE">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814BE" w:rsidRPr="004A25BE" w:rsidRDefault="006814BE" w:rsidP="00FB382F">
            <w:pPr>
              <w:ind w:right="72"/>
              <w:jc w:val="right"/>
              <w:rPr>
                <w:rFonts w:ascii="Arial" w:hAnsi="Arial" w:cs="Arial"/>
                <w:color w:val="FF0000"/>
                <w:sz w:val="20"/>
                <w:szCs w:val="20"/>
              </w:rPr>
            </w:pPr>
            <w:r w:rsidRPr="004A25BE">
              <w:rPr>
                <w:rFonts w:ascii="Arial" w:hAnsi="Arial" w:cs="Arial"/>
                <w:color w:val="FF0000"/>
                <w:sz w:val="20"/>
                <w:szCs w:val="20"/>
              </w:rPr>
              <w:t> </w:t>
            </w:r>
          </w:p>
        </w:tc>
        <w:tc>
          <w:tcPr>
            <w:tcW w:w="1417" w:type="dxa"/>
            <w:tcBorders>
              <w:top w:val="nil"/>
              <w:left w:val="nil"/>
              <w:bottom w:val="single" w:sz="4" w:space="0" w:color="auto"/>
              <w:right w:val="single" w:sz="4" w:space="0" w:color="auto"/>
            </w:tcBorders>
            <w:shd w:val="clear" w:color="auto" w:fill="auto"/>
            <w:vAlign w:val="bottom"/>
          </w:tcPr>
          <w:p w:rsidR="006814BE" w:rsidRPr="006814BE" w:rsidRDefault="006814BE" w:rsidP="006814BE">
            <w:pPr>
              <w:ind w:right="72"/>
              <w:jc w:val="right"/>
              <w:rPr>
                <w:rFonts w:ascii="Arial" w:hAnsi="Arial" w:cs="Arial"/>
                <w:color w:val="FF0000"/>
                <w:sz w:val="20"/>
                <w:szCs w:val="20"/>
              </w:rPr>
            </w:pPr>
            <w:r w:rsidRPr="006814BE">
              <w:rPr>
                <w:rFonts w:ascii="Arial" w:hAnsi="Arial" w:cs="Arial"/>
                <w:color w:val="FF0000"/>
                <w:sz w:val="20"/>
                <w:szCs w:val="20"/>
              </w:rPr>
              <w:t> </w:t>
            </w:r>
          </w:p>
        </w:tc>
        <w:tc>
          <w:tcPr>
            <w:tcW w:w="1276" w:type="dxa"/>
            <w:tcBorders>
              <w:top w:val="nil"/>
              <w:left w:val="nil"/>
              <w:bottom w:val="single" w:sz="4" w:space="0" w:color="auto"/>
              <w:right w:val="single" w:sz="4" w:space="0" w:color="auto"/>
            </w:tcBorders>
            <w:vAlign w:val="bottom"/>
          </w:tcPr>
          <w:p w:rsidR="006814BE" w:rsidRPr="00813ABB" w:rsidRDefault="006814BE" w:rsidP="003D79A7">
            <w:pPr>
              <w:jc w:val="right"/>
              <w:rPr>
                <w:rFonts w:ascii="Arial" w:hAnsi="Arial" w:cs="Arial"/>
                <w:color w:val="000000"/>
                <w:sz w:val="20"/>
                <w:szCs w:val="20"/>
                <w:highlight w:val="yellow"/>
              </w:rPr>
            </w:pPr>
          </w:p>
        </w:tc>
      </w:tr>
      <w:tr w:rsidR="006814BE" w:rsidRPr="00DB4452" w:rsidTr="006814BE">
        <w:trPr>
          <w:trHeight w:val="750"/>
        </w:trPr>
        <w:tc>
          <w:tcPr>
            <w:tcW w:w="3276" w:type="dxa"/>
            <w:tcBorders>
              <w:top w:val="nil"/>
              <w:left w:val="single" w:sz="4" w:space="0" w:color="auto"/>
              <w:bottom w:val="single" w:sz="4" w:space="0" w:color="auto"/>
              <w:right w:val="nil"/>
            </w:tcBorders>
            <w:shd w:val="clear" w:color="000000" w:fill="C0C0C0"/>
            <w:vAlign w:val="bottom"/>
            <w:hideMark/>
          </w:tcPr>
          <w:p w:rsidR="006814BE" w:rsidRPr="006814BE" w:rsidRDefault="006814BE" w:rsidP="00FB382F">
            <w:pPr>
              <w:jc w:val="center"/>
              <w:rPr>
                <w:rFonts w:ascii="Arial" w:hAnsi="Arial" w:cs="Arial"/>
                <w:b/>
                <w:bCs/>
              </w:rPr>
            </w:pPr>
            <w:r w:rsidRPr="006814BE">
              <w:rPr>
                <w:rFonts w:ascii="Arial" w:hAnsi="Arial" w:cs="Arial"/>
                <w:b/>
                <w:bCs/>
              </w:rPr>
              <w:t xml:space="preserve">Částka nutná na dofinancování projektu Olomouc region </w:t>
            </w:r>
            <w:proofErr w:type="spellStart"/>
            <w:r w:rsidRPr="006814BE">
              <w:rPr>
                <w:rFonts w:ascii="Arial" w:hAnsi="Arial" w:cs="Arial"/>
                <w:b/>
                <w:bCs/>
              </w:rPr>
              <w:t>Card</w:t>
            </w:r>
            <w:proofErr w:type="spellEnd"/>
            <w:r w:rsidRPr="006814BE">
              <w:rPr>
                <w:rFonts w:ascii="Arial" w:hAnsi="Arial" w:cs="Arial"/>
                <w:b/>
                <w:bCs/>
              </w:rPr>
              <w:t xml:space="preserve"> na rok 2013</w:t>
            </w:r>
          </w:p>
        </w:tc>
        <w:tc>
          <w:tcPr>
            <w:tcW w:w="1417" w:type="dxa"/>
            <w:tcBorders>
              <w:top w:val="nil"/>
              <w:left w:val="single" w:sz="4" w:space="0" w:color="auto"/>
              <w:bottom w:val="single" w:sz="4" w:space="0" w:color="auto"/>
              <w:right w:val="single" w:sz="4" w:space="0" w:color="auto"/>
            </w:tcBorders>
            <w:shd w:val="clear" w:color="000000" w:fill="C0C0C0"/>
            <w:noWrap/>
            <w:vAlign w:val="bottom"/>
            <w:hideMark/>
          </w:tcPr>
          <w:p w:rsidR="006814BE" w:rsidRPr="004A25BE" w:rsidRDefault="006814BE" w:rsidP="004A25BE">
            <w:pPr>
              <w:ind w:right="72"/>
              <w:jc w:val="right"/>
              <w:rPr>
                <w:rFonts w:ascii="Arial" w:hAnsi="Arial" w:cs="Arial"/>
                <w:b/>
                <w:bCs/>
              </w:rPr>
            </w:pPr>
            <w:r w:rsidRPr="004A25BE">
              <w:rPr>
                <w:rFonts w:ascii="Arial" w:hAnsi="Arial" w:cs="Arial"/>
                <w:b/>
                <w:bCs/>
              </w:rPr>
              <w:t>47</w:t>
            </w:r>
            <w:r w:rsidR="004A25BE" w:rsidRPr="004A25BE">
              <w:rPr>
                <w:rFonts w:ascii="Arial" w:hAnsi="Arial" w:cs="Arial"/>
                <w:b/>
                <w:bCs/>
              </w:rPr>
              <w:t>2</w:t>
            </w:r>
            <w:r w:rsidRPr="004A25BE">
              <w:rPr>
                <w:rFonts w:ascii="Arial" w:hAnsi="Arial" w:cs="Arial"/>
                <w:b/>
                <w:bCs/>
              </w:rPr>
              <w:t xml:space="preserve"> </w:t>
            </w:r>
            <w:r w:rsidR="004A25BE" w:rsidRPr="004A25BE">
              <w:rPr>
                <w:rFonts w:ascii="Arial" w:hAnsi="Arial" w:cs="Arial"/>
                <w:b/>
                <w:bCs/>
              </w:rPr>
              <w:t>72</w:t>
            </w:r>
            <w:r w:rsidRPr="004A25BE">
              <w:rPr>
                <w:rFonts w:ascii="Arial" w:hAnsi="Arial" w:cs="Arial"/>
                <w:b/>
                <w:bCs/>
              </w:rPr>
              <w:t xml:space="preserve">7 </w:t>
            </w:r>
          </w:p>
        </w:tc>
        <w:tc>
          <w:tcPr>
            <w:tcW w:w="1418" w:type="dxa"/>
            <w:tcBorders>
              <w:top w:val="nil"/>
              <w:left w:val="nil"/>
              <w:bottom w:val="single" w:sz="4" w:space="0" w:color="auto"/>
              <w:right w:val="single" w:sz="4" w:space="0" w:color="auto"/>
            </w:tcBorders>
            <w:shd w:val="clear" w:color="000000" w:fill="C0C0C0"/>
            <w:noWrap/>
            <w:vAlign w:val="bottom"/>
            <w:hideMark/>
          </w:tcPr>
          <w:p w:rsidR="006814BE" w:rsidRPr="004A25BE" w:rsidRDefault="006814BE" w:rsidP="00FB382F">
            <w:pPr>
              <w:ind w:right="72"/>
              <w:jc w:val="right"/>
              <w:rPr>
                <w:rFonts w:ascii="Arial" w:hAnsi="Arial" w:cs="Arial"/>
                <w:b/>
                <w:bCs/>
              </w:rPr>
            </w:pPr>
            <w:r w:rsidRPr="004A25BE">
              <w:rPr>
                <w:rFonts w:ascii="Arial" w:hAnsi="Arial" w:cs="Arial"/>
                <w:b/>
                <w:bCs/>
              </w:rPr>
              <w:t xml:space="preserve">572 000 </w:t>
            </w:r>
          </w:p>
        </w:tc>
        <w:tc>
          <w:tcPr>
            <w:tcW w:w="1417" w:type="dxa"/>
            <w:tcBorders>
              <w:top w:val="nil"/>
              <w:left w:val="nil"/>
              <w:bottom w:val="single" w:sz="4" w:space="0" w:color="auto"/>
              <w:right w:val="single" w:sz="4" w:space="0" w:color="auto"/>
            </w:tcBorders>
            <w:shd w:val="clear" w:color="auto" w:fill="auto"/>
            <w:vAlign w:val="bottom"/>
          </w:tcPr>
          <w:p w:rsidR="006814BE" w:rsidRPr="004A25BE" w:rsidRDefault="006814BE" w:rsidP="006814BE">
            <w:pPr>
              <w:ind w:right="72"/>
              <w:jc w:val="right"/>
              <w:rPr>
                <w:rFonts w:ascii="Arial" w:hAnsi="Arial" w:cs="Arial"/>
                <w:b/>
                <w:bCs/>
              </w:rPr>
            </w:pPr>
            <w:r w:rsidRPr="004A25BE">
              <w:rPr>
                <w:rFonts w:ascii="Arial" w:hAnsi="Arial" w:cs="Arial"/>
                <w:b/>
                <w:bCs/>
              </w:rPr>
              <w:t xml:space="preserve">572 000 </w:t>
            </w:r>
          </w:p>
        </w:tc>
        <w:tc>
          <w:tcPr>
            <w:tcW w:w="1276" w:type="dxa"/>
            <w:tcBorders>
              <w:top w:val="nil"/>
              <w:left w:val="nil"/>
              <w:bottom w:val="single" w:sz="4" w:space="0" w:color="auto"/>
              <w:right w:val="single" w:sz="4" w:space="0" w:color="auto"/>
            </w:tcBorders>
            <w:shd w:val="clear" w:color="000000" w:fill="C0C0C0"/>
            <w:vAlign w:val="bottom"/>
          </w:tcPr>
          <w:p w:rsidR="006814BE" w:rsidRPr="004A25BE" w:rsidRDefault="006814BE" w:rsidP="004A25BE">
            <w:pPr>
              <w:jc w:val="right"/>
              <w:rPr>
                <w:rFonts w:ascii="Arial" w:hAnsi="Arial" w:cs="Arial"/>
                <w:color w:val="000000"/>
                <w:sz w:val="20"/>
                <w:szCs w:val="20"/>
              </w:rPr>
            </w:pPr>
            <w:r w:rsidRPr="004A25BE">
              <w:rPr>
                <w:rFonts w:ascii="Arial" w:hAnsi="Arial" w:cs="Arial"/>
                <w:color w:val="000000"/>
                <w:sz w:val="20"/>
                <w:szCs w:val="20"/>
              </w:rPr>
              <w:t>10</w:t>
            </w:r>
            <w:r w:rsidR="004A25BE" w:rsidRPr="004A25BE">
              <w:rPr>
                <w:rFonts w:ascii="Arial" w:hAnsi="Arial" w:cs="Arial"/>
                <w:color w:val="000000"/>
                <w:sz w:val="20"/>
                <w:szCs w:val="20"/>
              </w:rPr>
              <w:t>0</w:t>
            </w:r>
            <w:r w:rsidRPr="004A25BE">
              <w:rPr>
                <w:rFonts w:ascii="Arial" w:hAnsi="Arial" w:cs="Arial"/>
                <w:color w:val="000000"/>
                <w:sz w:val="20"/>
                <w:szCs w:val="20"/>
              </w:rPr>
              <w:t>,</w:t>
            </w:r>
            <w:r w:rsidR="004A25BE" w:rsidRPr="004A25BE">
              <w:rPr>
                <w:rFonts w:ascii="Arial" w:hAnsi="Arial" w:cs="Arial"/>
                <w:color w:val="000000"/>
                <w:sz w:val="20"/>
                <w:szCs w:val="20"/>
              </w:rPr>
              <w:t>00</w:t>
            </w:r>
            <w:r w:rsidRPr="004A25BE">
              <w:rPr>
                <w:rFonts w:ascii="Arial" w:hAnsi="Arial" w:cs="Arial"/>
                <w:color w:val="000000"/>
                <w:sz w:val="20"/>
                <w:szCs w:val="20"/>
              </w:rPr>
              <w:t>%</w:t>
            </w:r>
          </w:p>
        </w:tc>
      </w:tr>
    </w:tbl>
    <w:p w:rsidR="009D0307" w:rsidRPr="009D0307" w:rsidRDefault="009D0307" w:rsidP="008A19E7">
      <w:pPr>
        <w:widowControl w:val="0"/>
        <w:tabs>
          <w:tab w:val="center" w:pos="1843"/>
          <w:tab w:val="left" w:pos="5387"/>
          <w:tab w:val="center" w:pos="6804"/>
        </w:tabs>
        <w:jc w:val="both"/>
        <w:outlineLvl w:val="0"/>
        <w:rPr>
          <w:rFonts w:ascii="Arial" w:hAnsi="Arial"/>
        </w:rPr>
      </w:pPr>
    </w:p>
    <w:sectPr w:rsidR="009D0307" w:rsidRPr="009D0307" w:rsidSect="000721C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32" w:rsidRDefault="00D60E32">
      <w:r>
        <w:separator/>
      </w:r>
    </w:p>
  </w:endnote>
  <w:endnote w:type="continuationSeparator" w:id="0">
    <w:p w:rsidR="00D60E32" w:rsidRDefault="00D6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6C6728" w:rsidRDefault="00BE5419" w:rsidP="00230401">
    <w:pPr>
      <w:pStyle w:val="Zpat"/>
      <w:framePr w:wrap="around" w:vAnchor="text" w:hAnchor="margin" w:xAlign="right" w:y="1"/>
      <w:rPr>
        <w:rStyle w:val="slostrnky"/>
        <w:sz w:val="23"/>
        <w:szCs w:val="23"/>
      </w:rPr>
    </w:pPr>
    <w:r w:rsidRPr="006C6728">
      <w:rPr>
        <w:rStyle w:val="slostrnky"/>
        <w:sz w:val="23"/>
        <w:szCs w:val="23"/>
      </w:rPr>
      <w:fldChar w:fldCharType="begin"/>
    </w:r>
    <w:r w:rsidRPr="006C6728">
      <w:rPr>
        <w:rStyle w:val="slostrnky"/>
        <w:sz w:val="23"/>
        <w:szCs w:val="23"/>
      </w:rPr>
      <w:instrText xml:space="preserve">PAGE  </w:instrText>
    </w:r>
    <w:r w:rsidRPr="006C6728">
      <w:rPr>
        <w:rStyle w:val="slostrnky"/>
        <w:sz w:val="23"/>
        <w:szCs w:val="23"/>
      </w:rPr>
      <w:fldChar w:fldCharType="end"/>
    </w:r>
  </w:p>
  <w:p w:rsidR="00BE5419" w:rsidRPr="006C6728" w:rsidRDefault="00BE5419" w:rsidP="006C76FA">
    <w:pPr>
      <w:pStyle w:val="Zpat"/>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6C6728" w:rsidRDefault="00BE5419" w:rsidP="003E73A9">
    <w:pPr>
      <w:pStyle w:val="Zpat"/>
      <w:pBdr>
        <w:bottom w:val="single" w:sz="4" w:space="1" w:color="auto"/>
      </w:pBdr>
      <w:tabs>
        <w:tab w:val="clear" w:pos="4536"/>
      </w:tabs>
      <w:ind w:right="72"/>
      <w:jc w:val="both"/>
      <w:rPr>
        <w:i/>
        <w:sz w:val="19"/>
        <w:szCs w:val="19"/>
      </w:rPr>
    </w:pPr>
  </w:p>
  <w:p w:rsidR="00BE5419" w:rsidRPr="008F5ECA" w:rsidRDefault="00BE5419" w:rsidP="00BA19E9">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22</w:t>
    </w:r>
    <w:r w:rsidRPr="008F5ECA">
      <w:rPr>
        <w:rFonts w:ascii="Arial" w:hAnsi="Arial" w:cs="Arial"/>
        <w:i/>
        <w:iCs/>
        <w:sz w:val="20"/>
        <w:szCs w:val="20"/>
      </w:rPr>
      <w:t xml:space="preserve">. </w:t>
    </w:r>
    <w:r>
      <w:rPr>
        <w:rFonts w:ascii="Arial" w:hAnsi="Arial" w:cs="Arial"/>
        <w:i/>
        <w:iCs/>
        <w:sz w:val="20"/>
        <w:szCs w:val="20"/>
      </w:rPr>
      <w:t>11. 2013</w:t>
    </w:r>
    <w:r w:rsidRPr="008F5ECA">
      <w:rPr>
        <w:rFonts w:ascii="Arial" w:hAnsi="Arial" w:cs="Arial"/>
        <w:i/>
        <w:iCs/>
        <w:sz w:val="20"/>
        <w:szCs w:val="20"/>
      </w:rPr>
      <w:t xml:space="preserve"> </w:t>
    </w:r>
    <w:r>
      <w:rPr>
        <w:rFonts w:ascii="Arial" w:hAnsi="Arial" w:cs="Arial"/>
        <w:i/>
        <w:iCs/>
        <w:sz w:val="20"/>
        <w:szCs w:val="20"/>
      </w:rPr>
      <w:tab/>
    </w:r>
    <w:r w:rsidRPr="008F5ECA">
      <w:rPr>
        <w:rFonts w:ascii="Arial" w:hAnsi="Arial" w:cs="Arial"/>
        <w:i/>
        <w:iCs/>
        <w:sz w:val="20"/>
        <w:szCs w:val="20"/>
      </w:rPr>
      <w:t xml:space="preserve">Strana </w:t>
    </w:r>
    <w:r w:rsidRPr="008F5ECA">
      <w:rPr>
        <w:rStyle w:val="slostrnky"/>
        <w:rFonts w:ascii="Arial" w:hAnsi="Arial" w:cs="Arial"/>
        <w:i/>
        <w:iCs/>
        <w:sz w:val="20"/>
        <w:szCs w:val="20"/>
      </w:rPr>
      <w:fldChar w:fldCharType="begin"/>
    </w:r>
    <w:r w:rsidRPr="008F5ECA">
      <w:rPr>
        <w:rStyle w:val="slostrnky"/>
        <w:rFonts w:ascii="Arial" w:hAnsi="Arial" w:cs="Arial"/>
        <w:i/>
        <w:iCs/>
        <w:sz w:val="20"/>
        <w:szCs w:val="20"/>
      </w:rPr>
      <w:instrText xml:space="preserve"> PAGE </w:instrText>
    </w:r>
    <w:r w:rsidRPr="008F5ECA">
      <w:rPr>
        <w:rStyle w:val="slostrnky"/>
        <w:rFonts w:ascii="Arial" w:hAnsi="Arial" w:cs="Arial"/>
        <w:i/>
        <w:iCs/>
        <w:sz w:val="20"/>
        <w:szCs w:val="20"/>
      </w:rPr>
      <w:fldChar w:fldCharType="separate"/>
    </w:r>
    <w:r w:rsidR="009D527D">
      <w:rPr>
        <w:rStyle w:val="slostrnky"/>
        <w:rFonts w:ascii="Arial" w:hAnsi="Arial" w:cs="Arial"/>
        <w:i/>
        <w:iCs/>
        <w:noProof/>
        <w:sz w:val="20"/>
        <w:szCs w:val="20"/>
      </w:rPr>
      <w:t>2</w:t>
    </w:r>
    <w:r w:rsidRPr="008F5ECA">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 </w:t>
    </w:r>
    <w:r w:rsidRPr="001862F8">
      <w:rPr>
        <w:rStyle w:val="slostrnky"/>
        <w:rFonts w:ascii="Arial" w:hAnsi="Arial" w:cs="Arial"/>
        <w:i/>
        <w:sz w:val="20"/>
        <w:szCs w:val="20"/>
      </w:rPr>
      <w:fldChar w:fldCharType="begin"/>
    </w:r>
    <w:r w:rsidRPr="001862F8">
      <w:rPr>
        <w:rStyle w:val="slostrnky"/>
        <w:rFonts w:ascii="Arial" w:hAnsi="Arial" w:cs="Arial"/>
        <w:i/>
        <w:sz w:val="20"/>
        <w:szCs w:val="20"/>
      </w:rPr>
      <w:instrText xml:space="preserve"> NUMPAGES </w:instrText>
    </w:r>
    <w:r w:rsidRPr="001862F8">
      <w:rPr>
        <w:rStyle w:val="slostrnky"/>
        <w:rFonts w:ascii="Arial" w:hAnsi="Arial" w:cs="Arial"/>
        <w:i/>
        <w:sz w:val="20"/>
        <w:szCs w:val="20"/>
      </w:rPr>
      <w:fldChar w:fldCharType="separate"/>
    </w:r>
    <w:r w:rsidR="009D527D">
      <w:rPr>
        <w:rStyle w:val="slostrnky"/>
        <w:rFonts w:ascii="Arial" w:hAnsi="Arial" w:cs="Arial"/>
        <w:i/>
        <w:noProof/>
        <w:sz w:val="20"/>
        <w:szCs w:val="20"/>
      </w:rPr>
      <w:t>18</w:t>
    </w:r>
    <w:r w:rsidRPr="001862F8">
      <w:rPr>
        <w:rStyle w:val="slostrnky"/>
        <w:rFonts w:ascii="Arial" w:hAnsi="Arial" w:cs="Arial"/>
        <w:i/>
        <w:sz w:val="20"/>
        <w:szCs w:val="20"/>
      </w:rPr>
      <w:fldChar w:fldCharType="end"/>
    </w:r>
    <w:r w:rsidRPr="008F5ECA">
      <w:rPr>
        <w:rStyle w:val="slostrnky"/>
        <w:rFonts w:ascii="Arial" w:hAnsi="Arial" w:cs="Arial"/>
        <w:i/>
        <w:iCs/>
        <w:sz w:val="20"/>
        <w:szCs w:val="20"/>
      </w:rPr>
      <w:t>)</w:t>
    </w:r>
  </w:p>
  <w:p w:rsidR="00BE5419" w:rsidRPr="00FA76E0" w:rsidRDefault="00BE5419" w:rsidP="00BD4036">
    <w:pPr>
      <w:jc w:val="both"/>
      <w:rPr>
        <w:rFonts w:ascii="Arial" w:hAnsi="Arial" w:cs="Arial"/>
        <w:i/>
        <w:sz w:val="20"/>
        <w:szCs w:val="20"/>
      </w:rPr>
    </w:pPr>
    <w:proofErr w:type="gramStart"/>
    <w:r>
      <w:rPr>
        <w:rFonts w:ascii="Arial" w:hAnsi="Arial" w:cs="Arial"/>
        <w:i/>
        <w:sz w:val="20"/>
        <w:szCs w:val="20"/>
      </w:rPr>
      <w:t>3.1</w:t>
    </w:r>
    <w:proofErr w:type="gramEnd"/>
    <w:r>
      <w:rPr>
        <w:rFonts w:ascii="Arial" w:hAnsi="Arial" w:cs="Arial"/>
        <w:i/>
        <w:sz w:val="20"/>
        <w:szCs w:val="20"/>
      </w:rPr>
      <w:t>.</w:t>
    </w:r>
    <w:r w:rsidRPr="008F5ECA">
      <w:rPr>
        <w:rFonts w:ascii="Arial" w:hAnsi="Arial" w:cs="Arial"/>
        <w:i/>
        <w:sz w:val="20"/>
        <w:szCs w:val="20"/>
      </w:rPr>
      <w:t xml:space="preserve"> </w:t>
    </w:r>
    <w:r>
      <w:rPr>
        <w:rFonts w:ascii="Arial" w:hAnsi="Arial" w:cs="Arial"/>
        <w:i/>
        <w:sz w:val="20"/>
        <w:szCs w:val="20"/>
      </w:rPr>
      <w:t>–</w:t>
    </w:r>
    <w:r w:rsidRPr="008F5ECA">
      <w:rPr>
        <w:rFonts w:ascii="Arial" w:hAnsi="Arial" w:cs="Arial"/>
        <w:i/>
        <w:sz w:val="20"/>
        <w:szCs w:val="20"/>
      </w:rPr>
      <w:t xml:space="preserve"> </w:t>
    </w:r>
    <w:r w:rsidRPr="0099496A">
      <w:rPr>
        <w:rFonts w:ascii="Arial" w:hAnsi="Arial" w:cs="Arial"/>
        <w:i/>
        <w:sz w:val="20"/>
        <w:szCs w:val="20"/>
      </w:rPr>
      <w:t xml:space="preserve">Dodatek ke smlouvě o příspěvku na zajištění fungování Olomouc region </w:t>
    </w:r>
    <w:proofErr w:type="spellStart"/>
    <w:r w:rsidRPr="0099496A">
      <w:rPr>
        <w:rFonts w:ascii="Arial" w:hAnsi="Arial" w:cs="Arial"/>
        <w:i/>
        <w:sz w:val="20"/>
        <w:szCs w:val="20"/>
      </w:rPr>
      <w:t>Card</w:t>
    </w:r>
    <w:proofErr w:type="spellEnd"/>
    <w:r w:rsidRPr="0099496A">
      <w:rPr>
        <w:rFonts w:ascii="Arial" w:hAnsi="Arial" w:cs="Arial"/>
        <w:i/>
        <w:sz w:val="20"/>
        <w:szCs w:val="20"/>
      </w:rPr>
      <w:t xml:space="preserve"> mezi Olomouckým krajem a RNDr. Ivanem Markem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Default="00BE5419" w:rsidP="004561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E5419" w:rsidRDefault="00BE5419" w:rsidP="0045610F">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6C6728" w:rsidRDefault="00BE5419" w:rsidP="00780F1D">
    <w:pPr>
      <w:pStyle w:val="Zpat"/>
      <w:pBdr>
        <w:bottom w:val="single" w:sz="4" w:space="1" w:color="auto"/>
      </w:pBdr>
      <w:tabs>
        <w:tab w:val="clear" w:pos="4536"/>
      </w:tabs>
      <w:ind w:right="72"/>
      <w:jc w:val="both"/>
      <w:rPr>
        <w:i/>
        <w:sz w:val="19"/>
        <w:szCs w:val="19"/>
      </w:rPr>
    </w:pPr>
  </w:p>
  <w:p w:rsidR="00BE5419" w:rsidRPr="008F5ECA" w:rsidRDefault="00BE5419" w:rsidP="005D6471">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22</w:t>
    </w:r>
    <w:r w:rsidRPr="008F5ECA">
      <w:rPr>
        <w:rFonts w:ascii="Arial" w:hAnsi="Arial" w:cs="Arial"/>
        <w:i/>
        <w:iCs/>
        <w:sz w:val="20"/>
        <w:szCs w:val="20"/>
      </w:rPr>
      <w:t xml:space="preserve">. </w:t>
    </w:r>
    <w:r>
      <w:rPr>
        <w:rFonts w:ascii="Arial" w:hAnsi="Arial" w:cs="Arial"/>
        <w:i/>
        <w:iCs/>
        <w:sz w:val="20"/>
        <w:szCs w:val="20"/>
      </w:rPr>
      <w:t>11. 2013</w:t>
    </w:r>
    <w:r w:rsidRPr="008F5ECA">
      <w:rPr>
        <w:rFonts w:ascii="Arial" w:hAnsi="Arial" w:cs="Arial"/>
        <w:i/>
        <w:iCs/>
        <w:sz w:val="20"/>
        <w:szCs w:val="20"/>
      </w:rPr>
      <w:t xml:space="preserve"> </w:t>
    </w:r>
    <w:r>
      <w:rPr>
        <w:rFonts w:ascii="Arial" w:hAnsi="Arial" w:cs="Arial"/>
        <w:i/>
        <w:iCs/>
        <w:sz w:val="20"/>
        <w:szCs w:val="20"/>
      </w:rPr>
      <w:tab/>
    </w:r>
    <w:r w:rsidRPr="008F5ECA">
      <w:rPr>
        <w:rFonts w:ascii="Arial" w:hAnsi="Arial" w:cs="Arial"/>
        <w:i/>
        <w:iCs/>
        <w:sz w:val="20"/>
        <w:szCs w:val="20"/>
      </w:rPr>
      <w:t xml:space="preserve">Strana </w:t>
    </w:r>
    <w:r w:rsidRPr="008F5ECA">
      <w:rPr>
        <w:rStyle w:val="slostrnky"/>
        <w:rFonts w:ascii="Arial" w:hAnsi="Arial" w:cs="Arial"/>
        <w:i/>
        <w:iCs/>
        <w:sz w:val="20"/>
        <w:szCs w:val="20"/>
      </w:rPr>
      <w:fldChar w:fldCharType="begin"/>
    </w:r>
    <w:r w:rsidRPr="008F5ECA">
      <w:rPr>
        <w:rStyle w:val="slostrnky"/>
        <w:rFonts w:ascii="Arial" w:hAnsi="Arial" w:cs="Arial"/>
        <w:i/>
        <w:iCs/>
        <w:sz w:val="20"/>
        <w:szCs w:val="20"/>
      </w:rPr>
      <w:instrText xml:space="preserve"> PAGE </w:instrText>
    </w:r>
    <w:r w:rsidRPr="008F5ECA">
      <w:rPr>
        <w:rStyle w:val="slostrnky"/>
        <w:rFonts w:ascii="Arial" w:hAnsi="Arial" w:cs="Arial"/>
        <w:i/>
        <w:iCs/>
        <w:sz w:val="20"/>
        <w:szCs w:val="20"/>
      </w:rPr>
      <w:fldChar w:fldCharType="separate"/>
    </w:r>
    <w:r w:rsidR="009D527D">
      <w:rPr>
        <w:rStyle w:val="slostrnky"/>
        <w:rFonts w:ascii="Arial" w:hAnsi="Arial" w:cs="Arial"/>
        <w:i/>
        <w:iCs/>
        <w:noProof/>
        <w:sz w:val="20"/>
        <w:szCs w:val="20"/>
      </w:rPr>
      <w:t>3</w:t>
    </w:r>
    <w:r w:rsidRPr="008F5ECA">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 </w:t>
    </w:r>
    <w:r w:rsidRPr="001862F8">
      <w:rPr>
        <w:rStyle w:val="slostrnky"/>
        <w:rFonts w:ascii="Arial" w:hAnsi="Arial" w:cs="Arial"/>
        <w:i/>
        <w:sz w:val="20"/>
        <w:szCs w:val="20"/>
      </w:rPr>
      <w:fldChar w:fldCharType="begin"/>
    </w:r>
    <w:r w:rsidRPr="001862F8">
      <w:rPr>
        <w:rStyle w:val="slostrnky"/>
        <w:rFonts w:ascii="Arial" w:hAnsi="Arial" w:cs="Arial"/>
        <w:i/>
        <w:sz w:val="20"/>
        <w:szCs w:val="20"/>
      </w:rPr>
      <w:instrText xml:space="preserve"> NUMPAGES </w:instrText>
    </w:r>
    <w:r w:rsidRPr="001862F8">
      <w:rPr>
        <w:rStyle w:val="slostrnky"/>
        <w:rFonts w:ascii="Arial" w:hAnsi="Arial" w:cs="Arial"/>
        <w:i/>
        <w:sz w:val="20"/>
        <w:szCs w:val="20"/>
      </w:rPr>
      <w:fldChar w:fldCharType="separate"/>
    </w:r>
    <w:r w:rsidR="009D527D">
      <w:rPr>
        <w:rStyle w:val="slostrnky"/>
        <w:rFonts w:ascii="Arial" w:hAnsi="Arial" w:cs="Arial"/>
        <w:i/>
        <w:noProof/>
        <w:sz w:val="20"/>
        <w:szCs w:val="20"/>
      </w:rPr>
      <w:t>18</w:t>
    </w:r>
    <w:r w:rsidRPr="001862F8">
      <w:rPr>
        <w:rStyle w:val="slostrnky"/>
        <w:rFonts w:ascii="Arial" w:hAnsi="Arial" w:cs="Arial"/>
        <w:i/>
        <w:sz w:val="20"/>
        <w:szCs w:val="20"/>
      </w:rPr>
      <w:fldChar w:fldCharType="end"/>
    </w:r>
    <w:r w:rsidRPr="008F5ECA">
      <w:rPr>
        <w:rStyle w:val="slostrnky"/>
        <w:rFonts w:ascii="Arial" w:hAnsi="Arial" w:cs="Arial"/>
        <w:i/>
        <w:iCs/>
        <w:sz w:val="20"/>
        <w:szCs w:val="20"/>
      </w:rPr>
      <w:t>)</w:t>
    </w:r>
  </w:p>
  <w:p w:rsidR="00BE5419" w:rsidRPr="00FA76E0" w:rsidRDefault="00BE5419" w:rsidP="00BD4036">
    <w:pPr>
      <w:jc w:val="both"/>
      <w:rPr>
        <w:rFonts w:ascii="Arial" w:hAnsi="Arial" w:cs="Arial"/>
        <w:i/>
        <w:sz w:val="20"/>
        <w:szCs w:val="20"/>
      </w:rPr>
    </w:pPr>
    <w:proofErr w:type="gramStart"/>
    <w:r>
      <w:rPr>
        <w:rFonts w:ascii="Arial" w:hAnsi="Arial" w:cs="Arial"/>
        <w:i/>
        <w:sz w:val="20"/>
        <w:szCs w:val="20"/>
      </w:rPr>
      <w:t>3.1</w:t>
    </w:r>
    <w:proofErr w:type="gramEnd"/>
    <w:r>
      <w:rPr>
        <w:rFonts w:ascii="Arial" w:hAnsi="Arial" w:cs="Arial"/>
        <w:i/>
        <w:sz w:val="20"/>
        <w:szCs w:val="20"/>
      </w:rPr>
      <w:t>.</w:t>
    </w:r>
    <w:r w:rsidRPr="008F5ECA">
      <w:rPr>
        <w:rFonts w:ascii="Arial" w:hAnsi="Arial" w:cs="Arial"/>
        <w:i/>
        <w:sz w:val="20"/>
        <w:szCs w:val="20"/>
      </w:rPr>
      <w:t xml:space="preserve"> </w:t>
    </w:r>
    <w:r>
      <w:rPr>
        <w:rFonts w:ascii="Arial" w:hAnsi="Arial" w:cs="Arial"/>
        <w:i/>
        <w:sz w:val="20"/>
        <w:szCs w:val="20"/>
      </w:rPr>
      <w:t>–</w:t>
    </w:r>
    <w:r w:rsidRPr="008F5ECA">
      <w:rPr>
        <w:rFonts w:ascii="Arial" w:hAnsi="Arial" w:cs="Arial"/>
        <w:i/>
        <w:sz w:val="20"/>
        <w:szCs w:val="20"/>
      </w:rPr>
      <w:t xml:space="preserve"> </w:t>
    </w:r>
    <w:r w:rsidRPr="0099496A">
      <w:rPr>
        <w:rFonts w:ascii="Arial" w:hAnsi="Arial" w:cs="Arial"/>
        <w:i/>
        <w:sz w:val="20"/>
        <w:szCs w:val="20"/>
      </w:rPr>
      <w:t xml:space="preserve">Dodatek ke smlouvě o příspěvku na zajištění fungování Olomouc region </w:t>
    </w:r>
    <w:proofErr w:type="spellStart"/>
    <w:r w:rsidRPr="0099496A">
      <w:rPr>
        <w:rFonts w:ascii="Arial" w:hAnsi="Arial" w:cs="Arial"/>
        <w:i/>
        <w:sz w:val="20"/>
        <w:szCs w:val="20"/>
      </w:rPr>
      <w:t>Card</w:t>
    </w:r>
    <w:proofErr w:type="spellEnd"/>
    <w:r w:rsidRPr="0099496A">
      <w:rPr>
        <w:rFonts w:ascii="Arial" w:hAnsi="Arial" w:cs="Arial"/>
        <w:i/>
        <w:sz w:val="20"/>
        <w:szCs w:val="20"/>
      </w:rPr>
      <w:t xml:space="preserve"> mezi Olomouckým krajem a RNDr. Ivanem Markem</w:t>
    </w:r>
  </w:p>
  <w:p w:rsidR="00BE5419" w:rsidRPr="00780F1D" w:rsidRDefault="00BE5419" w:rsidP="005D6471">
    <w:pPr>
      <w:pStyle w:val="Zhlav"/>
      <w:rPr>
        <w:rFonts w:ascii="Arial" w:hAnsi="Arial" w:cs="Arial"/>
        <w:i/>
        <w:sz w:val="20"/>
        <w:szCs w:val="20"/>
      </w:rPr>
    </w:pPr>
    <w:r>
      <w:rPr>
        <w:rFonts w:ascii="Arial" w:hAnsi="Arial" w:cs="Arial"/>
        <w:i/>
        <w:sz w:val="20"/>
        <w:szCs w:val="20"/>
      </w:rPr>
      <w:t xml:space="preserve">Příloha č. 1 – </w:t>
    </w:r>
    <w:r w:rsidRPr="007614FB">
      <w:rPr>
        <w:rFonts w:ascii="Arial" w:hAnsi="Arial" w:cs="Arial"/>
        <w:i/>
        <w:sz w:val="20"/>
        <w:szCs w:val="20"/>
      </w:rPr>
      <w:t xml:space="preserve">Dodatek č. </w:t>
    </w:r>
    <w:r>
      <w:rPr>
        <w:rFonts w:ascii="Arial" w:hAnsi="Arial" w:cs="Arial"/>
        <w:i/>
        <w:sz w:val="20"/>
        <w:szCs w:val="20"/>
      </w:rPr>
      <w:t>3</w:t>
    </w:r>
    <w:r w:rsidRPr="007614FB">
      <w:rPr>
        <w:rFonts w:ascii="Arial" w:hAnsi="Arial" w:cs="Arial"/>
        <w:i/>
        <w:sz w:val="20"/>
        <w:szCs w:val="20"/>
      </w:rPr>
      <w:t xml:space="preserve"> ke smlouvě o </w:t>
    </w:r>
    <w:r>
      <w:rPr>
        <w:rFonts w:ascii="Arial" w:hAnsi="Arial" w:cs="Arial"/>
        <w:i/>
        <w:sz w:val="20"/>
        <w:szCs w:val="20"/>
      </w:rPr>
      <w:t>poskytnutí příspěvku na</w:t>
    </w:r>
    <w:r w:rsidRPr="007614FB">
      <w:rPr>
        <w:rFonts w:ascii="Arial" w:hAnsi="Arial" w:cs="Arial"/>
        <w:i/>
        <w:sz w:val="20"/>
        <w:szCs w:val="20"/>
      </w:rPr>
      <w:t xml:space="preserve"> Olomouc region </w:t>
    </w:r>
    <w:proofErr w:type="spellStart"/>
    <w:r w:rsidRPr="007614FB">
      <w:rPr>
        <w:rFonts w:ascii="Arial" w:hAnsi="Arial" w:cs="Arial"/>
        <w:i/>
        <w:sz w:val="20"/>
        <w:szCs w:val="20"/>
      </w:rPr>
      <w:t>Card</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6C6728" w:rsidRDefault="00BE5419" w:rsidP="00780F1D">
    <w:pPr>
      <w:pStyle w:val="Zpat"/>
      <w:pBdr>
        <w:bottom w:val="single" w:sz="4" w:space="1" w:color="auto"/>
      </w:pBdr>
      <w:tabs>
        <w:tab w:val="clear" w:pos="4536"/>
      </w:tabs>
      <w:ind w:right="72"/>
      <w:jc w:val="both"/>
      <w:rPr>
        <w:i/>
        <w:sz w:val="19"/>
        <w:szCs w:val="19"/>
      </w:rPr>
    </w:pPr>
  </w:p>
  <w:p w:rsidR="00BE5419" w:rsidRPr="008F5ECA" w:rsidRDefault="00BE5419" w:rsidP="002E31AF">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22</w:t>
    </w:r>
    <w:r w:rsidRPr="008F5ECA">
      <w:rPr>
        <w:rFonts w:ascii="Arial" w:hAnsi="Arial" w:cs="Arial"/>
        <w:i/>
        <w:iCs/>
        <w:sz w:val="20"/>
        <w:szCs w:val="20"/>
      </w:rPr>
      <w:t xml:space="preserve">. </w:t>
    </w:r>
    <w:r>
      <w:rPr>
        <w:rFonts w:ascii="Arial" w:hAnsi="Arial" w:cs="Arial"/>
        <w:i/>
        <w:iCs/>
        <w:sz w:val="20"/>
        <w:szCs w:val="20"/>
      </w:rPr>
      <w:t>11. 2013</w:t>
    </w:r>
    <w:r w:rsidRPr="008F5ECA">
      <w:rPr>
        <w:rFonts w:ascii="Arial" w:hAnsi="Arial" w:cs="Arial"/>
        <w:i/>
        <w:iCs/>
        <w:sz w:val="20"/>
        <w:szCs w:val="20"/>
      </w:rPr>
      <w:t xml:space="preserve"> </w:t>
    </w:r>
    <w:r>
      <w:rPr>
        <w:rFonts w:ascii="Arial" w:hAnsi="Arial" w:cs="Arial"/>
        <w:i/>
        <w:iCs/>
        <w:sz w:val="20"/>
        <w:szCs w:val="20"/>
      </w:rPr>
      <w:tab/>
    </w:r>
    <w:r w:rsidRPr="008F5ECA">
      <w:rPr>
        <w:rFonts w:ascii="Arial" w:hAnsi="Arial" w:cs="Arial"/>
        <w:i/>
        <w:iCs/>
        <w:sz w:val="20"/>
        <w:szCs w:val="20"/>
      </w:rPr>
      <w:t xml:space="preserve">Strana </w:t>
    </w:r>
    <w:r w:rsidRPr="008F5ECA">
      <w:rPr>
        <w:rStyle w:val="slostrnky"/>
        <w:rFonts w:ascii="Arial" w:hAnsi="Arial" w:cs="Arial"/>
        <w:i/>
        <w:iCs/>
        <w:sz w:val="20"/>
        <w:szCs w:val="20"/>
      </w:rPr>
      <w:fldChar w:fldCharType="begin"/>
    </w:r>
    <w:r w:rsidRPr="008F5ECA">
      <w:rPr>
        <w:rStyle w:val="slostrnky"/>
        <w:rFonts w:ascii="Arial" w:hAnsi="Arial" w:cs="Arial"/>
        <w:i/>
        <w:iCs/>
        <w:sz w:val="20"/>
        <w:szCs w:val="20"/>
      </w:rPr>
      <w:instrText xml:space="preserve"> PAGE </w:instrText>
    </w:r>
    <w:r w:rsidRPr="008F5ECA">
      <w:rPr>
        <w:rStyle w:val="slostrnky"/>
        <w:rFonts w:ascii="Arial" w:hAnsi="Arial" w:cs="Arial"/>
        <w:i/>
        <w:iCs/>
        <w:sz w:val="20"/>
        <w:szCs w:val="20"/>
      </w:rPr>
      <w:fldChar w:fldCharType="separate"/>
    </w:r>
    <w:r w:rsidR="009D527D">
      <w:rPr>
        <w:rStyle w:val="slostrnky"/>
        <w:rFonts w:ascii="Arial" w:hAnsi="Arial" w:cs="Arial"/>
        <w:i/>
        <w:iCs/>
        <w:noProof/>
        <w:sz w:val="20"/>
        <w:szCs w:val="20"/>
      </w:rPr>
      <w:t>17</w:t>
    </w:r>
    <w:r w:rsidRPr="008F5ECA">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 </w:t>
    </w:r>
    <w:r w:rsidRPr="001862F8">
      <w:rPr>
        <w:rStyle w:val="slostrnky"/>
        <w:rFonts w:ascii="Arial" w:hAnsi="Arial" w:cs="Arial"/>
        <w:i/>
        <w:sz w:val="20"/>
        <w:szCs w:val="20"/>
      </w:rPr>
      <w:fldChar w:fldCharType="begin"/>
    </w:r>
    <w:r w:rsidRPr="001862F8">
      <w:rPr>
        <w:rStyle w:val="slostrnky"/>
        <w:rFonts w:ascii="Arial" w:hAnsi="Arial" w:cs="Arial"/>
        <w:i/>
        <w:sz w:val="20"/>
        <w:szCs w:val="20"/>
      </w:rPr>
      <w:instrText xml:space="preserve"> NUMPAGES </w:instrText>
    </w:r>
    <w:r w:rsidRPr="001862F8">
      <w:rPr>
        <w:rStyle w:val="slostrnky"/>
        <w:rFonts w:ascii="Arial" w:hAnsi="Arial" w:cs="Arial"/>
        <w:i/>
        <w:sz w:val="20"/>
        <w:szCs w:val="20"/>
      </w:rPr>
      <w:fldChar w:fldCharType="separate"/>
    </w:r>
    <w:r w:rsidR="009D527D">
      <w:rPr>
        <w:rStyle w:val="slostrnky"/>
        <w:rFonts w:ascii="Arial" w:hAnsi="Arial" w:cs="Arial"/>
        <w:i/>
        <w:noProof/>
        <w:sz w:val="20"/>
        <w:szCs w:val="20"/>
      </w:rPr>
      <w:t>18</w:t>
    </w:r>
    <w:r w:rsidRPr="001862F8">
      <w:rPr>
        <w:rStyle w:val="slostrnky"/>
        <w:rFonts w:ascii="Arial" w:hAnsi="Arial" w:cs="Arial"/>
        <w:i/>
        <w:sz w:val="20"/>
        <w:szCs w:val="20"/>
      </w:rPr>
      <w:fldChar w:fldCharType="end"/>
    </w:r>
    <w:r w:rsidRPr="008F5ECA">
      <w:rPr>
        <w:rStyle w:val="slostrnky"/>
        <w:rFonts w:ascii="Arial" w:hAnsi="Arial" w:cs="Arial"/>
        <w:i/>
        <w:iCs/>
        <w:sz w:val="20"/>
        <w:szCs w:val="20"/>
      </w:rPr>
      <w:t>)</w:t>
    </w:r>
  </w:p>
  <w:p w:rsidR="00BE5419" w:rsidRPr="00FA76E0" w:rsidRDefault="00BE5419" w:rsidP="00BD4036">
    <w:pPr>
      <w:jc w:val="both"/>
      <w:rPr>
        <w:rFonts w:ascii="Arial" w:hAnsi="Arial" w:cs="Arial"/>
        <w:i/>
        <w:sz w:val="20"/>
        <w:szCs w:val="20"/>
      </w:rPr>
    </w:pPr>
    <w:proofErr w:type="gramStart"/>
    <w:r>
      <w:rPr>
        <w:rFonts w:ascii="Arial" w:hAnsi="Arial" w:cs="Arial"/>
        <w:i/>
        <w:sz w:val="20"/>
        <w:szCs w:val="20"/>
      </w:rPr>
      <w:t>3.1</w:t>
    </w:r>
    <w:proofErr w:type="gramEnd"/>
    <w:r>
      <w:rPr>
        <w:rFonts w:ascii="Arial" w:hAnsi="Arial" w:cs="Arial"/>
        <w:i/>
        <w:sz w:val="20"/>
        <w:szCs w:val="20"/>
      </w:rPr>
      <w:t>.</w:t>
    </w:r>
    <w:r w:rsidRPr="008F5ECA">
      <w:rPr>
        <w:rFonts w:ascii="Arial" w:hAnsi="Arial" w:cs="Arial"/>
        <w:i/>
        <w:sz w:val="20"/>
        <w:szCs w:val="20"/>
      </w:rPr>
      <w:t xml:space="preserve"> </w:t>
    </w:r>
    <w:r>
      <w:rPr>
        <w:rFonts w:ascii="Arial" w:hAnsi="Arial" w:cs="Arial"/>
        <w:i/>
        <w:sz w:val="20"/>
        <w:szCs w:val="20"/>
      </w:rPr>
      <w:t>–</w:t>
    </w:r>
    <w:r w:rsidRPr="008F5ECA">
      <w:rPr>
        <w:rFonts w:ascii="Arial" w:hAnsi="Arial" w:cs="Arial"/>
        <w:i/>
        <w:sz w:val="20"/>
        <w:szCs w:val="20"/>
      </w:rPr>
      <w:t xml:space="preserve"> </w:t>
    </w:r>
    <w:r w:rsidRPr="001D2E59">
      <w:rPr>
        <w:rFonts w:ascii="Arial" w:hAnsi="Arial" w:cs="Arial"/>
        <w:i/>
        <w:sz w:val="20"/>
        <w:szCs w:val="20"/>
      </w:rPr>
      <w:t xml:space="preserve">Dodatek ke smlouvě o příspěvku na zajištění fungování Olomouc region </w:t>
    </w:r>
    <w:proofErr w:type="spellStart"/>
    <w:r w:rsidRPr="001D2E59">
      <w:rPr>
        <w:rFonts w:ascii="Arial" w:hAnsi="Arial" w:cs="Arial"/>
        <w:i/>
        <w:sz w:val="20"/>
        <w:szCs w:val="20"/>
      </w:rPr>
      <w:t>Card</w:t>
    </w:r>
    <w:proofErr w:type="spellEnd"/>
    <w:r w:rsidRPr="001D2E59">
      <w:rPr>
        <w:rFonts w:ascii="Arial" w:hAnsi="Arial" w:cs="Arial"/>
        <w:i/>
        <w:sz w:val="20"/>
        <w:szCs w:val="20"/>
      </w:rPr>
      <w:t xml:space="preserve"> mezi Olomouckým krajem a RNDr. Ivanem Markem</w:t>
    </w:r>
  </w:p>
  <w:p w:rsidR="00BE5419" w:rsidRPr="00780F1D" w:rsidRDefault="00BE5419" w:rsidP="00780F1D">
    <w:pPr>
      <w:rPr>
        <w:rFonts w:ascii="Arial" w:hAnsi="Arial" w:cs="Arial"/>
        <w:i/>
        <w:sz w:val="20"/>
        <w:szCs w:val="20"/>
      </w:rPr>
    </w:pPr>
    <w:r>
      <w:rPr>
        <w:rFonts w:ascii="Arial" w:hAnsi="Arial" w:cs="Arial"/>
        <w:i/>
        <w:sz w:val="20"/>
        <w:szCs w:val="20"/>
      </w:rPr>
      <w:t xml:space="preserve">Příloha č. 2 – </w:t>
    </w:r>
    <w:r w:rsidRPr="005D6471">
      <w:rPr>
        <w:rFonts w:ascii="Arial" w:hAnsi="Arial" w:cs="Arial"/>
        <w:i/>
        <w:sz w:val="20"/>
        <w:szCs w:val="20"/>
      </w:rPr>
      <w:t xml:space="preserve">Původní znění Smlouvy o poskytnutí příspěvku na Olomouc region </w:t>
    </w:r>
    <w:proofErr w:type="spellStart"/>
    <w:r w:rsidRPr="005D6471">
      <w:rPr>
        <w:rFonts w:ascii="Arial" w:hAnsi="Arial" w:cs="Arial"/>
        <w:i/>
        <w:sz w:val="20"/>
        <w:szCs w:val="20"/>
      </w:rPr>
      <w:t>Card</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6C6728" w:rsidRDefault="00BE5419" w:rsidP="00780F1D">
    <w:pPr>
      <w:pStyle w:val="Zpat"/>
      <w:pBdr>
        <w:bottom w:val="single" w:sz="4" w:space="1" w:color="auto"/>
      </w:pBdr>
      <w:tabs>
        <w:tab w:val="clear" w:pos="4536"/>
      </w:tabs>
      <w:ind w:right="72"/>
      <w:jc w:val="both"/>
      <w:rPr>
        <w:i/>
        <w:sz w:val="19"/>
        <w:szCs w:val="19"/>
      </w:rPr>
    </w:pPr>
  </w:p>
  <w:p w:rsidR="00BE5419" w:rsidRPr="008F5ECA" w:rsidRDefault="00BE5419" w:rsidP="002E31AF">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22</w:t>
    </w:r>
    <w:r w:rsidRPr="008F5ECA">
      <w:rPr>
        <w:rFonts w:ascii="Arial" w:hAnsi="Arial" w:cs="Arial"/>
        <w:i/>
        <w:iCs/>
        <w:sz w:val="20"/>
        <w:szCs w:val="20"/>
      </w:rPr>
      <w:t xml:space="preserve">. </w:t>
    </w:r>
    <w:r>
      <w:rPr>
        <w:rFonts w:ascii="Arial" w:hAnsi="Arial" w:cs="Arial"/>
        <w:i/>
        <w:iCs/>
        <w:sz w:val="20"/>
        <w:szCs w:val="20"/>
      </w:rPr>
      <w:t>11. 2013</w:t>
    </w:r>
    <w:r w:rsidRPr="008F5ECA">
      <w:rPr>
        <w:rFonts w:ascii="Arial" w:hAnsi="Arial" w:cs="Arial"/>
        <w:i/>
        <w:iCs/>
        <w:sz w:val="20"/>
        <w:szCs w:val="20"/>
      </w:rPr>
      <w:t xml:space="preserve"> </w:t>
    </w:r>
    <w:r>
      <w:rPr>
        <w:rFonts w:ascii="Arial" w:hAnsi="Arial" w:cs="Arial"/>
        <w:i/>
        <w:iCs/>
        <w:sz w:val="20"/>
        <w:szCs w:val="20"/>
      </w:rPr>
      <w:tab/>
    </w:r>
    <w:r w:rsidRPr="008F5ECA">
      <w:rPr>
        <w:rFonts w:ascii="Arial" w:hAnsi="Arial" w:cs="Arial"/>
        <w:i/>
        <w:iCs/>
        <w:sz w:val="20"/>
        <w:szCs w:val="20"/>
      </w:rPr>
      <w:t xml:space="preserve">Strana </w:t>
    </w:r>
    <w:r w:rsidRPr="008F5ECA">
      <w:rPr>
        <w:rStyle w:val="slostrnky"/>
        <w:rFonts w:ascii="Arial" w:hAnsi="Arial" w:cs="Arial"/>
        <w:i/>
        <w:iCs/>
        <w:sz w:val="20"/>
        <w:szCs w:val="20"/>
      </w:rPr>
      <w:fldChar w:fldCharType="begin"/>
    </w:r>
    <w:r w:rsidRPr="008F5ECA">
      <w:rPr>
        <w:rStyle w:val="slostrnky"/>
        <w:rFonts w:ascii="Arial" w:hAnsi="Arial" w:cs="Arial"/>
        <w:i/>
        <w:iCs/>
        <w:sz w:val="20"/>
        <w:szCs w:val="20"/>
      </w:rPr>
      <w:instrText xml:space="preserve"> PAGE </w:instrText>
    </w:r>
    <w:r w:rsidRPr="008F5ECA">
      <w:rPr>
        <w:rStyle w:val="slostrnky"/>
        <w:rFonts w:ascii="Arial" w:hAnsi="Arial" w:cs="Arial"/>
        <w:i/>
        <w:iCs/>
        <w:sz w:val="20"/>
        <w:szCs w:val="20"/>
      </w:rPr>
      <w:fldChar w:fldCharType="separate"/>
    </w:r>
    <w:r w:rsidR="009D527D">
      <w:rPr>
        <w:rStyle w:val="slostrnky"/>
        <w:rFonts w:ascii="Arial" w:hAnsi="Arial" w:cs="Arial"/>
        <w:i/>
        <w:iCs/>
        <w:noProof/>
        <w:sz w:val="20"/>
        <w:szCs w:val="20"/>
      </w:rPr>
      <w:t>18</w:t>
    </w:r>
    <w:r w:rsidRPr="008F5ECA">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 </w:t>
    </w:r>
    <w:r w:rsidRPr="001862F8">
      <w:rPr>
        <w:rStyle w:val="slostrnky"/>
        <w:rFonts w:ascii="Arial" w:hAnsi="Arial" w:cs="Arial"/>
        <w:i/>
        <w:sz w:val="20"/>
        <w:szCs w:val="20"/>
      </w:rPr>
      <w:fldChar w:fldCharType="begin"/>
    </w:r>
    <w:r w:rsidRPr="001862F8">
      <w:rPr>
        <w:rStyle w:val="slostrnky"/>
        <w:rFonts w:ascii="Arial" w:hAnsi="Arial" w:cs="Arial"/>
        <w:i/>
        <w:sz w:val="20"/>
        <w:szCs w:val="20"/>
      </w:rPr>
      <w:instrText xml:space="preserve"> NUMPAGES </w:instrText>
    </w:r>
    <w:r w:rsidRPr="001862F8">
      <w:rPr>
        <w:rStyle w:val="slostrnky"/>
        <w:rFonts w:ascii="Arial" w:hAnsi="Arial" w:cs="Arial"/>
        <w:i/>
        <w:sz w:val="20"/>
        <w:szCs w:val="20"/>
      </w:rPr>
      <w:fldChar w:fldCharType="separate"/>
    </w:r>
    <w:r w:rsidR="009D527D">
      <w:rPr>
        <w:rStyle w:val="slostrnky"/>
        <w:rFonts w:ascii="Arial" w:hAnsi="Arial" w:cs="Arial"/>
        <w:i/>
        <w:noProof/>
        <w:sz w:val="20"/>
        <w:szCs w:val="20"/>
      </w:rPr>
      <w:t>18</w:t>
    </w:r>
    <w:r w:rsidRPr="001862F8">
      <w:rPr>
        <w:rStyle w:val="slostrnky"/>
        <w:rFonts w:ascii="Arial" w:hAnsi="Arial" w:cs="Arial"/>
        <w:i/>
        <w:sz w:val="20"/>
        <w:szCs w:val="20"/>
      </w:rPr>
      <w:fldChar w:fldCharType="end"/>
    </w:r>
    <w:r w:rsidRPr="008F5ECA">
      <w:rPr>
        <w:rStyle w:val="slostrnky"/>
        <w:rFonts w:ascii="Arial" w:hAnsi="Arial" w:cs="Arial"/>
        <w:i/>
        <w:iCs/>
        <w:sz w:val="20"/>
        <w:szCs w:val="20"/>
      </w:rPr>
      <w:t>)</w:t>
    </w:r>
  </w:p>
  <w:p w:rsidR="00BE5419" w:rsidRPr="00FA76E0" w:rsidRDefault="00BE5419" w:rsidP="002E31AF">
    <w:pPr>
      <w:rPr>
        <w:rFonts w:ascii="Arial" w:hAnsi="Arial" w:cs="Arial"/>
        <w:i/>
        <w:sz w:val="20"/>
        <w:szCs w:val="20"/>
      </w:rPr>
    </w:pPr>
    <w:proofErr w:type="gramStart"/>
    <w:r>
      <w:rPr>
        <w:rFonts w:ascii="Arial" w:hAnsi="Arial" w:cs="Arial"/>
        <w:i/>
        <w:sz w:val="20"/>
        <w:szCs w:val="20"/>
      </w:rPr>
      <w:t>3.1</w:t>
    </w:r>
    <w:proofErr w:type="gramEnd"/>
    <w:r>
      <w:rPr>
        <w:rFonts w:ascii="Arial" w:hAnsi="Arial" w:cs="Arial"/>
        <w:i/>
        <w:sz w:val="20"/>
        <w:szCs w:val="20"/>
      </w:rPr>
      <w:t>.</w:t>
    </w:r>
    <w:r w:rsidRPr="008F5ECA">
      <w:rPr>
        <w:rFonts w:ascii="Arial" w:hAnsi="Arial" w:cs="Arial"/>
        <w:i/>
        <w:sz w:val="20"/>
        <w:szCs w:val="20"/>
      </w:rPr>
      <w:t xml:space="preserve"> </w:t>
    </w:r>
    <w:r>
      <w:rPr>
        <w:rFonts w:ascii="Arial" w:hAnsi="Arial" w:cs="Arial"/>
        <w:i/>
        <w:sz w:val="20"/>
        <w:szCs w:val="20"/>
      </w:rPr>
      <w:t>–</w:t>
    </w:r>
    <w:r w:rsidRPr="008F5ECA">
      <w:rPr>
        <w:rFonts w:ascii="Arial" w:hAnsi="Arial" w:cs="Arial"/>
        <w:i/>
        <w:sz w:val="20"/>
        <w:szCs w:val="20"/>
      </w:rPr>
      <w:t xml:space="preserve"> </w:t>
    </w:r>
    <w:r w:rsidRPr="001D2E59">
      <w:rPr>
        <w:rFonts w:ascii="Arial" w:hAnsi="Arial" w:cs="Arial"/>
        <w:i/>
        <w:sz w:val="20"/>
        <w:szCs w:val="20"/>
      </w:rPr>
      <w:t xml:space="preserve">Dodatek ke smlouvě o příspěvku na zajištění fungování Olomouc region </w:t>
    </w:r>
    <w:proofErr w:type="spellStart"/>
    <w:r w:rsidRPr="001D2E59">
      <w:rPr>
        <w:rFonts w:ascii="Arial" w:hAnsi="Arial" w:cs="Arial"/>
        <w:i/>
        <w:sz w:val="20"/>
        <w:szCs w:val="20"/>
      </w:rPr>
      <w:t>Card</w:t>
    </w:r>
    <w:proofErr w:type="spellEnd"/>
    <w:r w:rsidRPr="001D2E59">
      <w:rPr>
        <w:rFonts w:ascii="Arial" w:hAnsi="Arial" w:cs="Arial"/>
        <w:i/>
        <w:sz w:val="20"/>
        <w:szCs w:val="20"/>
      </w:rPr>
      <w:t xml:space="preserve"> mezi Olomouckým krajem a RNDr. Ivanem Markem</w:t>
    </w:r>
  </w:p>
  <w:p w:rsidR="00BE5419" w:rsidRPr="00780F1D" w:rsidRDefault="00BE5419" w:rsidP="00780F1D">
    <w:pPr>
      <w:rPr>
        <w:rFonts w:ascii="Arial" w:hAnsi="Arial" w:cs="Arial"/>
        <w:i/>
        <w:sz w:val="20"/>
        <w:szCs w:val="20"/>
      </w:rPr>
    </w:pPr>
    <w:r>
      <w:rPr>
        <w:rFonts w:ascii="Arial" w:hAnsi="Arial" w:cs="Arial"/>
        <w:i/>
        <w:sz w:val="20"/>
        <w:szCs w:val="20"/>
      </w:rPr>
      <w:t xml:space="preserve">Příloha č. 3 – </w:t>
    </w:r>
    <w:r w:rsidRPr="00432F9E">
      <w:rPr>
        <w:rFonts w:ascii="Arial" w:hAnsi="Arial" w:cs="Arial"/>
        <w:i/>
        <w:sz w:val="20"/>
        <w:szCs w:val="20"/>
      </w:rPr>
      <w:t xml:space="preserve">Porovnání finanční rozvahy Olomouc region </w:t>
    </w:r>
    <w:proofErr w:type="spellStart"/>
    <w:r w:rsidRPr="00432F9E">
      <w:rPr>
        <w:rFonts w:ascii="Arial" w:hAnsi="Arial" w:cs="Arial"/>
        <w:i/>
        <w:sz w:val="20"/>
        <w:szCs w:val="20"/>
      </w:rPr>
      <w:t>Card</w:t>
    </w:r>
    <w:proofErr w:type="spellEnd"/>
    <w:r w:rsidRPr="00432F9E">
      <w:rPr>
        <w:rFonts w:ascii="Arial" w:hAnsi="Arial" w:cs="Arial"/>
        <w:i/>
        <w:sz w:val="20"/>
        <w:szCs w:val="20"/>
      </w:rPr>
      <w:t xml:space="preserve"> 2014 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32" w:rsidRDefault="00D60E32">
      <w:r>
        <w:separator/>
      </w:r>
    </w:p>
  </w:footnote>
  <w:footnote w:type="continuationSeparator" w:id="0">
    <w:p w:rsidR="00D60E32" w:rsidRDefault="00D6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BD4036" w:rsidRDefault="00BE5419" w:rsidP="00BD4036">
    <w:pPr>
      <w:pStyle w:val="Zhlav"/>
    </w:pPr>
    <w:r>
      <w:rPr>
        <w:rFonts w:ascii="Arial" w:hAnsi="Arial" w:cs="Arial"/>
        <w:i/>
        <w:sz w:val="20"/>
        <w:szCs w:val="20"/>
      </w:rPr>
      <w:t xml:space="preserve">Příloha č. 1 – </w:t>
    </w:r>
    <w:r w:rsidRPr="007614FB">
      <w:rPr>
        <w:rFonts w:ascii="Arial" w:hAnsi="Arial" w:cs="Arial"/>
        <w:i/>
        <w:sz w:val="20"/>
        <w:szCs w:val="20"/>
      </w:rPr>
      <w:t xml:space="preserve">Dodatek č. </w:t>
    </w:r>
    <w:r>
      <w:rPr>
        <w:rFonts w:ascii="Arial" w:hAnsi="Arial" w:cs="Arial"/>
        <w:i/>
        <w:sz w:val="20"/>
        <w:szCs w:val="20"/>
      </w:rPr>
      <w:t>3</w:t>
    </w:r>
    <w:r w:rsidRPr="007614FB">
      <w:rPr>
        <w:rFonts w:ascii="Arial" w:hAnsi="Arial" w:cs="Arial"/>
        <w:i/>
        <w:sz w:val="20"/>
        <w:szCs w:val="20"/>
      </w:rPr>
      <w:t xml:space="preserve"> ke smlouvě o </w:t>
    </w:r>
    <w:r>
      <w:rPr>
        <w:rFonts w:ascii="Arial" w:hAnsi="Arial" w:cs="Arial"/>
        <w:i/>
        <w:sz w:val="20"/>
        <w:szCs w:val="20"/>
      </w:rPr>
      <w:t>poskytnutí příspěvku na</w:t>
    </w:r>
    <w:r w:rsidRPr="007614FB">
      <w:rPr>
        <w:rFonts w:ascii="Arial" w:hAnsi="Arial" w:cs="Arial"/>
        <w:i/>
        <w:sz w:val="20"/>
        <w:szCs w:val="20"/>
      </w:rPr>
      <w:t xml:space="preserve"> Olomouc region </w:t>
    </w:r>
    <w:proofErr w:type="spellStart"/>
    <w:r w:rsidRPr="007614FB">
      <w:rPr>
        <w:rFonts w:ascii="Arial" w:hAnsi="Arial" w:cs="Arial"/>
        <w:i/>
        <w:sz w:val="20"/>
        <w:szCs w:val="20"/>
      </w:rPr>
      <w:t>Card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BD4036" w:rsidRDefault="00BE5419" w:rsidP="00BD4036">
    <w:pPr>
      <w:rPr>
        <w:rFonts w:ascii="Arial" w:hAnsi="Arial" w:cs="Arial"/>
        <w:i/>
        <w:sz w:val="20"/>
        <w:szCs w:val="20"/>
      </w:rPr>
    </w:pPr>
    <w:r>
      <w:rPr>
        <w:rFonts w:ascii="Arial" w:hAnsi="Arial" w:cs="Arial"/>
        <w:i/>
        <w:sz w:val="20"/>
        <w:szCs w:val="20"/>
      </w:rPr>
      <w:t xml:space="preserve">Příloha č. 2 – </w:t>
    </w:r>
    <w:r w:rsidRPr="005D6471">
      <w:rPr>
        <w:rFonts w:ascii="Arial" w:hAnsi="Arial" w:cs="Arial"/>
        <w:i/>
        <w:sz w:val="20"/>
        <w:szCs w:val="20"/>
      </w:rPr>
      <w:t xml:space="preserve">Původní znění Smlouvy o poskytnutí příspěvku na Olomouc region </w:t>
    </w:r>
    <w:proofErr w:type="spellStart"/>
    <w:r w:rsidRPr="005D6471">
      <w:rPr>
        <w:rFonts w:ascii="Arial" w:hAnsi="Arial" w:cs="Arial"/>
        <w:i/>
        <w:sz w:val="20"/>
        <w:szCs w:val="20"/>
      </w:rPr>
      <w:t>Card</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19" w:rsidRPr="00BD4036" w:rsidRDefault="00BE5419" w:rsidP="00BD4036">
    <w:pPr>
      <w:rPr>
        <w:rFonts w:ascii="Arial" w:hAnsi="Arial" w:cs="Arial"/>
        <w:i/>
        <w:sz w:val="20"/>
        <w:szCs w:val="20"/>
      </w:rPr>
    </w:pPr>
    <w:r>
      <w:rPr>
        <w:rFonts w:ascii="Arial" w:hAnsi="Arial" w:cs="Arial"/>
        <w:i/>
        <w:sz w:val="20"/>
        <w:szCs w:val="20"/>
      </w:rPr>
      <w:t xml:space="preserve">Příloha č. 3 – </w:t>
    </w:r>
    <w:r w:rsidRPr="00432F9E">
      <w:rPr>
        <w:rFonts w:ascii="Arial" w:hAnsi="Arial" w:cs="Arial"/>
        <w:i/>
        <w:sz w:val="20"/>
        <w:szCs w:val="20"/>
      </w:rPr>
      <w:t xml:space="preserve">Porovnání finanční rozvahy Olomouc region </w:t>
    </w:r>
    <w:proofErr w:type="spellStart"/>
    <w:r w:rsidRPr="00432F9E">
      <w:rPr>
        <w:rFonts w:ascii="Arial" w:hAnsi="Arial" w:cs="Arial"/>
        <w:i/>
        <w:sz w:val="20"/>
        <w:szCs w:val="20"/>
      </w:rPr>
      <w:t>Card</w:t>
    </w:r>
    <w:proofErr w:type="spellEnd"/>
    <w:r w:rsidRPr="00432F9E">
      <w:rPr>
        <w:rFonts w:ascii="Arial" w:hAnsi="Arial" w:cs="Arial"/>
        <w:i/>
        <w:sz w:val="20"/>
        <w:szCs w:val="20"/>
      </w:rPr>
      <w:t xml:space="preserve"> 2014 a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BA7"/>
    <w:multiLevelType w:val="hybridMultilevel"/>
    <w:tmpl w:val="1C1E1CC8"/>
    <w:lvl w:ilvl="0" w:tplc="FFFFFFFF">
      <w:start w:val="1"/>
      <w:numFmt w:val="decimal"/>
      <w:lvlText w:val="%1."/>
      <w:lvlJc w:val="left"/>
      <w:pPr>
        <w:tabs>
          <w:tab w:val="num" w:pos="360"/>
        </w:tabs>
        <w:ind w:left="360" w:hanging="360"/>
      </w:pPr>
      <w:rPr>
        <w:i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720"/>
        </w:tabs>
        <w:ind w:left="720" w:hanging="360"/>
      </w:pPr>
      <w:rPr>
        <w:rFonts w:ascii="Arial" w:eastAsia="Times New Roman" w:hAnsi="Arial" w:cs="Aria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B0A3272"/>
    <w:multiLevelType w:val="hybridMultilevel"/>
    <w:tmpl w:val="16700CE8"/>
    <w:lvl w:ilvl="0" w:tplc="FFFFFFFF">
      <w:start w:val="1"/>
      <w:numFmt w:val="decimal"/>
      <w:lvlText w:val="%1."/>
      <w:lvlJc w:val="left"/>
      <w:pPr>
        <w:tabs>
          <w:tab w:val="num" w:pos="360"/>
        </w:tabs>
        <w:ind w:left="360" w:hanging="360"/>
      </w:pPr>
      <w:rPr>
        <w:rFonts w:hint="default"/>
        <w:strike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49142E"/>
    <w:multiLevelType w:val="hybridMultilevel"/>
    <w:tmpl w:val="3404EED0"/>
    <w:lvl w:ilvl="0" w:tplc="483A40AA">
      <w:start w:val="2"/>
      <w:numFmt w:val="upperLetter"/>
      <w:lvlText w:val="%1."/>
      <w:lvlJc w:val="left"/>
      <w:pPr>
        <w:tabs>
          <w:tab w:val="num" w:pos="720"/>
        </w:tabs>
        <w:ind w:left="720" w:hanging="360"/>
      </w:pPr>
      <w:rPr>
        <w:rFonts w:hint="default"/>
        <w:b/>
      </w:rPr>
    </w:lvl>
    <w:lvl w:ilvl="1" w:tplc="2D3837A0">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F851AB"/>
    <w:multiLevelType w:val="hybridMultilevel"/>
    <w:tmpl w:val="5FCC6E74"/>
    <w:lvl w:ilvl="0" w:tplc="75BC39A0">
      <w:start w:val="1"/>
      <w:numFmt w:val="upperRoman"/>
      <w:lvlText w:val="%1."/>
      <w:lvlJc w:val="left"/>
      <w:pPr>
        <w:tabs>
          <w:tab w:val="num" w:pos="794"/>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03089D"/>
    <w:multiLevelType w:val="hybridMultilevel"/>
    <w:tmpl w:val="2968C732"/>
    <w:lvl w:ilvl="0" w:tplc="25FA6F9C">
      <w:start w:val="10"/>
      <w:numFmt w:val="lowerLetter"/>
      <w:lvlText w:val="%1)"/>
      <w:lvlJc w:val="left"/>
      <w:pPr>
        <w:ind w:left="1077"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D04028"/>
    <w:multiLevelType w:val="hybridMultilevel"/>
    <w:tmpl w:val="B48836E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9760A13"/>
    <w:multiLevelType w:val="hybridMultilevel"/>
    <w:tmpl w:val="7096CB08"/>
    <w:lvl w:ilvl="0" w:tplc="0405000F">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FC5E38"/>
    <w:multiLevelType w:val="hybridMultilevel"/>
    <w:tmpl w:val="8AF2F2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784D7E"/>
    <w:multiLevelType w:val="hybridMultilevel"/>
    <w:tmpl w:val="380EC82C"/>
    <w:lvl w:ilvl="0" w:tplc="FFFFFFFF">
      <w:start w:val="1"/>
      <w:numFmt w:val="lowerLetter"/>
      <w:lvlText w:val="%1)"/>
      <w:lvlJc w:val="left"/>
      <w:pPr>
        <w:tabs>
          <w:tab w:val="num" w:pos="737"/>
        </w:tabs>
        <w:ind w:left="737"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CD23CA3"/>
    <w:multiLevelType w:val="hybridMultilevel"/>
    <w:tmpl w:val="FC4EFF52"/>
    <w:lvl w:ilvl="0" w:tplc="FFFFFFFF">
      <w:start w:val="2"/>
      <w:numFmt w:val="decimal"/>
      <w:lvlText w:val="%1."/>
      <w:lvlJc w:val="left"/>
      <w:pPr>
        <w:tabs>
          <w:tab w:val="num" w:pos="1420"/>
        </w:tabs>
        <w:ind w:left="142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BE122A"/>
    <w:multiLevelType w:val="hybridMultilevel"/>
    <w:tmpl w:val="523679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AF7827"/>
    <w:multiLevelType w:val="hybridMultilevel"/>
    <w:tmpl w:val="A7EED38C"/>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13D3EC4"/>
    <w:multiLevelType w:val="hybridMultilevel"/>
    <w:tmpl w:val="09D0D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AB1365"/>
    <w:multiLevelType w:val="hybridMultilevel"/>
    <w:tmpl w:val="A010255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CC0F5A"/>
    <w:multiLevelType w:val="hybridMultilevel"/>
    <w:tmpl w:val="661E076C"/>
    <w:lvl w:ilvl="0" w:tplc="F29CD9B2">
      <w:start w:val="1"/>
      <w:numFmt w:val="lowerLetter"/>
      <w:lvlText w:val="%1)"/>
      <w:lvlJc w:val="left"/>
      <w:pPr>
        <w:ind w:left="720"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5359E4"/>
    <w:multiLevelType w:val="hybridMultilevel"/>
    <w:tmpl w:val="AC4EC2D8"/>
    <w:lvl w:ilvl="0" w:tplc="FFFFFFFF">
      <w:start w:val="2"/>
      <w:numFmt w:val="decimal"/>
      <w:lvlText w:val="%1."/>
      <w:lvlJc w:val="left"/>
      <w:pPr>
        <w:tabs>
          <w:tab w:val="num" w:pos="880"/>
        </w:tabs>
        <w:ind w:left="880" w:hanging="340"/>
      </w:pPr>
      <w:rPr>
        <w:rFonts w:hint="default"/>
      </w:rPr>
    </w:lvl>
    <w:lvl w:ilvl="1" w:tplc="FFFFFFFF">
      <w:start w:val="1"/>
      <w:numFmt w:val="lowerLetter"/>
      <w:lvlText w:val="%2)"/>
      <w:lvlJc w:val="left"/>
      <w:pPr>
        <w:tabs>
          <w:tab w:val="num" w:pos="1460"/>
        </w:tabs>
        <w:ind w:left="1460" w:hanging="3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8547A66"/>
    <w:multiLevelType w:val="hybridMultilevel"/>
    <w:tmpl w:val="E878C9D0"/>
    <w:lvl w:ilvl="0" w:tplc="C44E615E">
      <w:start w:val="1"/>
      <w:numFmt w:val="lowerLetter"/>
      <w:lvlText w:val="%1)"/>
      <w:lvlJc w:val="left"/>
      <w:pPr>
        <w:tabs>
          <w:tab w:val="num" w:pos="720"/>
        </w:tabs>
        <w:ind w:left="720" w:hanging="363"/>
      </w:pPr>
      <w:rPr>
        <w:rFonts w:ascii="Arial" w:hAnsi="Arial" w:cs="Aria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E8625D8"/>
    <w:multiLevelType w:val="hybridMultilevel"/>
    <w:tmpl w:val="097A07A6"/>
    <w:lvl w:ilvl="0" w:tplc="FFFFFFFF">
      <w:start w:val="1"/>
      <w:numFmt w:val="decimal"/>
      <w:lvlText w:val="%1."/>
      <w:lvlJc w:val="left"/>
      <w:pPr>
        <w:tabs>
          <w:tab w:val="num" w:pos="360"/>
        </w:tabs>
        <w:ind w:left="360" w:hanging="360"/>
      </w:pPr>
      <w:rPr>
        <w:rFonts w:hint="default"/>
        <w:strike w:val="0"/>
        <w:color w:val="000000"/>
      </w:rPr>
    </w:lvl>
    <w:lvl w:ilvl="1" w:tplc="FFFFFFFF">
      <w:start w:val="1"/>
      <w:numFmt w:val="lowerLetter"/>
      <w:lvlText w:val="%2)"/>
      <w:lvlJc w:val="left"/>
      <w:pPr>
        <w:tabs>
          <w:tab w:val="num" w:pos="1460"/>
        </w:tabs>
        <w:ind w:left="1460" w:hanging="380"/>
      </w:pPr>
      <w:rPr>
        <w:rFonts w:hint="default"/>
        <w:strike w:val="0"/>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F856F0E"/>
    <w:multiLevelType w:val="hybridMultilevel"/>
    <w:tmpl w:val="9C24831C"/>
    <w:lvl w:ilvl="0" w:tplc="FFFFFFF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AB13D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60B726CE"/>
    <w:multiLevelType w:val="hybridMultilevel"/>
    <w:tmpl w:val="25F8DDB0"/>
    <w:lvl w:ilvl="0" w:tplc="434E797A">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1">
    <w:nsid w:val="63336459"/>
    <w:multiLevelType w:val="hybridMultilevel"/>
    <w:tmpl w:val="07B2B5E6"/>
    <w:lvl w:ilvl="0" w:tplc="FFFFFFFF">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495651F"/>
    <w:multiLevelType w:val="hybridMultilevel"/>
    <w:tmpl w:val="6ED0B87E"/>
    <w:lvl w:ilvl="0" w:tplc="348E82A6">
      <w:start w:val="1"/>
      <w:numFmt w:val="lowerLetter"/>
      <w:lvlText w:val="%1)"/>
      <w:lvlJc w:val="left"/>
      <w:pPr>
        <w:ind w:left="786" w:hanging="360"/>
      </w:pPr>
      <w:rPr>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6616296D"/>
    <w:multiLevelType w:val="hybridMultilevel"/>
    <w:tmpl w:val="CD2CC4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6784BCF"/>
    <w:multiLevelType w:val="hybridMultilevel"/>
    <w:tmpl w:val="D6AAB1D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69CF0107"/>
    <w:multiLevelType w:val="hybridMultilevel"/>
    <w:tmpl w:val="96BAE4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73247A"/>
    <w:multiLevelType w:val="hybridMultilevel"/>
    <w:tmpl w:val="6914B1A8"/>
    <w:lvl w:ilvl="0" w:tplc="FFFFFFFF">
      <w:start w:val="2"/>
      <w:numFmt w:val="upperLetter"/>
      <w:lvlText w:val="%1."/>
      <w:lvlJc w:val="left"/>
      <w:pPr>
        <w:tabs>
          <w:tab w:val="num" w:pos="1800"/>
        </w:tabs>
        <w:ind w:left="1800" w:hanging="360"/>
      </w:pPr>
      <w:rPr>
        <w:rFonts w:hint="default"/>
      </w:rPr>
    </w:lvl>
    <w:lvl w:ilvl="1" w:tplc="FFFFFFFF">
      <w:start w:val="1"/>
      <w:numFmt w:val="lowerLetter"/>
      <w:lvlText w:val="%2)"/>
      <w:lvlJc w:val="left"/>
      <w:pPr>
        <w:tabs>
          <w:tab w:val="num" w:pos="2523"/>
        </w:tabs>
        <w:ind w:left="2523" w:hanging="363"/>
      </w:pPr>
      <w:rPr>
        <w:rFonts w:hint="default"/>
        <w:i w:val="0"/>
        <w:color w:val="auto"/>
      </w:rPr>
    </w:lvl>
    <w:lvl w:ilvl="2" w:tplc="FFFFFFFF">
      <w:start w:val="3"/>
      <w:numFmt w:val="decimal"/>
      <w:lvlText w:val="%3."/>
      <w:lvlJc w:val="left"/>
      <w:pPr>
        <w:tabs>
          <w:tab w:val="num" w:pos="3400"/>
        </w:tabs>
        <w:ind w:left="3400" w:hanging="34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nsid w:val="727A00FC"/>
    <w:multiLevelType w:val="hybridMultilevel"/>
    <w:tmpl w:val="19E6CB88"/>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1440"/>
        </w:tabs>
        <w:ind w:left="1440" w:hanging="360"/>
      </w:pPr>
    </w:lvl>
    <w:lvl w:ilvl="2" w:tplc="FFFFFFFF">
      <w:start w:val="21"/>
      <w:numFmt w:val="bullet"/>
      <w:lvlText w:val="-"/>
      <w:lvlJc w:val="left"/>
      <w:pPr>
        <w:tabs>
          <w:tab w:val="num" w:pos="2610"/>
        </w:tabs>
        <w:ind w:left="2610" w:hanging="630"/>
      </w:pPr>
      <w:rPr>
        <w:rFonts w:ascii="Times New Roman" w:eastAsia="Times New Roman" w:hAnsi="Times New Roman" w:cs="Times New Roman" w:hint="default"/>
        <w:strike w:val="0"/>
        <w:dstrike w:val="0"/>
        <w:color w:val="auto"/>
        <w:u w:val="none"/>
        <w:effect w:val="none"/>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36B27C1"/>
    <w:multiLevelType w:val="hybridMultilevel"/>
    <w:tmpl w:val="E976F09C"/>
    <w:lvl w:ilvl="0" w:tplc="9CA6F25E">
      <w:start w:val="1"/>
      <w:numFmt w:val="lowerLetter"/>
      <w:lvlText w:val="%1)"/>
      <w:lvlJc w:val="left"/>
      <w:pPr>
        <w:tabs>
          <w:tab w:val="num" w:pos="720"/>
        </w:tabs>
        <w:ind w:left="720" w:hanging="363"/>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6EC16EC"/>
    <w:multiLevelType w:val="hybridMultilevel"/>
    <w:tmpl w:val="863E7DB2"/>
    <w:lvl w:ilvl="0" w:tplc="FFFFFFFF">
      <w:start w:val="1"/>
      <w:numFmt w:val="decimal"/>
      <w:lvlText w:val="%1."/>
      <w:lvlJc w:val="left"/>
      <w:pPr>
        <w:tabs>
          <w:tab w:val="num" w:pos="567"/>
        </w:tabs>
        <w:ind w:left="567" w:hanging="567"/>
      </w:pPr>
    </w:lvl>
    <w:lvl w:ilvl="1" w:tplc="FFFFFFFF">
      <w:start w:val="2"/>
      <w:numFmt w:val="upp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984033F"/>
    <w:multiLevelType w:val="hybridMultilevel"/>
    <w:tmpl w:val="C4FA3198"/>
    <w:lvl w:ilvl="0" w:tplc="0405000F">
      <w:start w:val="1"/>
      <w:numFmt w:val="decimal"/>
      <w:lvlText w:val="%1."/>
      <w:lvlJc w:val="left"/>
      <w:pPr>
        <w:ind w:left="360"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3"/>
  </w:num>
  <w:num w:numId="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8"/>
  </w:num>
  <w:num w:numId="7">
    <w:abstractNumId w:val="2"/>
  </w:num>
  <w:num w:numId="8">
    <w:abstractNumId w:val="17"/>
  </w:num>
  <w:num w:numId="9">
    <w:abstractNumId w:val="1"/>
  </w:num>
  <w:num w:numId="10">
    <w:abstractNumId w:val="9"/>
  </w:num>
  <w:num w:numId="11">
    <w:abstractNumId w:val="26"/>
  </w:num>
  <w:num w:numId="12">
    <w:abstractNumId w:val="8"/>
  </w:num>
  <w:num w:numId="13">
    <w:abstractNumId w:val="19"/>
  </w:num>
  <w:num w:numId="14">
    <w:abstractNumId w:val="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0"/>
  </w:num>
  <w:num w:numId="18">
    <w:abstractNumId w:val="12"/>
  </w:num>
  <w:num w:numId="19">
    <w:abstractNumId w:val="24"/>
  </w:num>
  <w:num w:numId="20">
    <w:abstractNumId w:val="21"/>
  </w:num>
  <w:num w:numId="21">
    <w:abstractNumId w:val="18"/>
  </w:num>
  <w:num w:numId="22">
    <w:abstractNumId w:val="3"/>
  </w:num>
  <w:num w:numId="23">
    <w:abstractNumId w:val="0"/>
  </w:num>
  <w:num w:numId="24">
    <w:abstractNumId w:val="16"/>
  </w:num>
  <w:num w:numId="25">
    <w:abstractNumId w:val="5"/>
  </w:num>
  <w:num w:numId="26">
    <w:abstractNumId w:val="14"/>
  </w:num>
  <w:num w:numId="27">
    <w:abstractNumId w:val="4"/>
  </w:num>
  <w:num w:numId="28">
    <w:abstractNumId w:val="13"/>
  </w:num>
  <w:num w:numId="29">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10"/>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75"/>
    <w:rsid w:val="00000F26"/>
    <w:rsid w:val="00002FE9"/>
    <w:rsid w:val="000046B5"/>
    <w:rsid w:val="00004E33"/>
    <w:rsid w:val="000074FB"/>
    <w:rsid w:val="000100D4"/>
    <w:rsid w:val="000147C6"/>
    <w:rsid w:val="00020CFE"/>
    <w:rsid w:val="00023560"/>
    <w:rsid w:val="00025695"/>
    <w:rsid w:val="0002603C"/>
    <w:rsid w:val="00035032"/>
    <w:rsid w:val="00037606"/>
    <w:rsid w:val="0004031F"/>
    <w:rsid w:val="00045734"/>
    <w:rsid w:val="000475D9"/>
    <w:rsid w:val="000564DC"/>
    <w:rsid w:val="00061AB8"/>
    <w:rsid w:val="00064E4D"/>
    <w:rsid w:val="000650DB"/>
    <w:rsid w:val="000652AD"/>
    <w:rsid w:val="0006542A"/>
    <w:rsid w:val="000718B3"/>
    <w:rsid w:val="000721C2"/>
    <w:rsid w:val="00074FA0"/>
    <w:rsid w:val="00075193"/>
    <w:rsid w:val="000810E0"/>
    <w:rsid w:val="00082024"/>
    <w:rsid w:val="00082DC1"/>
    <w:rsid w:val="00083DD2"/>
    <w:rsid w:val="00087884"/>
    <w:rsid w:val="00090D99"/>
    <w:rsid w:val="000913B7"/>
    <w:rsid w:val="00091835"/>
    <w:rsid w:val="00091A46"/>
    <w:rsid w:val="0009299D"/>
    <w:rsid w:val="000929EA"/>
    <w:rsid w:val="0009366B"/>
    <w:rsid w:val="00094B4A"/>
    <w:rsid w:val="000A2A96"/>
    <w:rsid w:val="000A4008"/>
    <w:rsid w:val="000A4506"/>
    <w:rsid w:val="000B08B6"/>
    <w:rsid w:val="000B1AA1"/>
    <w:rsid w:val="000B3F62"/>
    <w:rsid w:val="000B425E"/>
    <w:rsid w:val="000B5071"/>
    <w:rsid w:val="000B582B"/>
    <w:rsid w:val="000B73A0"/>
    <w:rsid w:val="000C0D3A"/>
    <w:rsid w:val="000C7264"/>
    <w:rsid w:val="000D2874"/>
    <w:rsid w:val="000D3B14"/>
    <w:rsid w:val="000D4247"/>
    <w:rsid w:val="000D7442"/>
    <w:rsid w:val="000D74A4"/>
    <w:rsid w:val="000D790A"/>
    <w:rsid w:val="000E4957"/>
    <w:rsid w:val="000E7515"/>
    <w:rsid w:val="00104E73"/>
    <w:rsid w:val="00107BC6"/>
    <w:rsid w:val="00113693"/>
    <w:rsid w:val="00113EAA"/>
    <w:rsid w:val="00116B46"/>
    <w:rsid w:val="00117E44"/>
    <w:rsid w:val="00121A11"/>
    <w:rsid w:val="0012261D"/>
    <w:rsid w:val="00126F36"/>
    <w:rsid w:val="001306CA"/>
    <w:rsid w:val="00131E50"/>
    <w:rsid w:val="001323E9"/>
    <w:rsid w:val="00133D03"/>
    <w:rsid w:val="0013525E"/>
    <w:rsid w:val="00136DEE"/>
    <w:rsid w:val="001403B5"/>
    <w:rsid w:val="00140DAA"/>
    <w:rsid w:val="001433ED"/>
    <w:rsid w:val="001443CA"/>
    <w:rsid w:val="00150716"/>
    <w:rsid w:val="00150906"/>
    <w:rsid w:val="0015153F"/>
    <w:rsid w:val="00155818"/>
    <w:rsid w:val="00155EA8"/>
    <w:rsid w:val="001565A2"/>
    <w:rsid w:val="00156AE4"/>
    <w:rsid w:val="00160B64"/>
    <w:rsid w:val="001638C7"/>
    <w:rsid w:val="001670C2"/>
    <w:rsid w:val="001701E3"/>
    <w:rsid w:val="00171269"/>
    <w:rsid w:val="0017162D"/>
    <w:rsid w:val="00171976"/>
    <w:rsid w:val="001777EE"/>
    <w:rsid w:val="00177E80"/>
    <w:rsid w:val="00184FCB"/>
    <w:rsid w:val="001860CB"/>
    <w:rsid w:val="001862F8"/>
    <w:rsid w:val="00191922"/>
    <w:rsid w:val="00195CA6"/>
    <w:rsid w:val="00197162"/>
    <w:rsid w:val="001A6A3C"/>
    <w:rsid w:val="001A6BE7"/>
    <w:rsid w:val="001B0118"/>
    <w:rsid w:val="001B1247"/>
    <w:rsid w:val="001B1BDF"/>
    <w:rsid w:val="001B363D"/>
    <w:rsid w:val="001C0DEA"/>
    <w:rsid w:val="001C2198"/>
    <w:rsid w:val="001C3090"/>
    <w:rsid w:val="001C35E6"/>
    <w:rsid w:val="001C499D"/>
    <w:rsid w:val="001D0167"/>
    <w:rsid w:val="001D2209"/>
    <w:rsid w:val="001D2D79"/>
    <w:rsid w:val="001D2E59"/>
    <w:rsid w:val="001D300F"/>
    <w:rsid w:val="001D4393"/>
    <w:rsid w:val="001D7E69"/>
    <w:rsid w:val="001E3345"/>
    <w:rsid w:val="001E638A"/>
    <w:rsid w:val="001E78B7"/>
    <w:rsid w:val="001F13F2"/>
    <w:rsid w:val="001F34B5"/>
    <w:rsid w:val="001F4DFA"/>
    <w:rsid w:val="001F556C"/>
    <w:rsid w:val="001F6E73"/>
    <w:rsid w:val="001F714D"/>
    <w:rsid w:val="001F7561"/>
    <w:rsid w:val="001F7A13"/>
    <w:rsid w:val="002042FA"/>
    <w:rsid w:val="002045A8"/>
    <w:rsid w:val="00210931"/>
    <w:rsid w:val="0021124E"/>
    <w:rsid w:val="0021380B"/>
    <w:rsid w:val="0021439A"/>
    <w:rsid w:val="00214F4B"/>
    <w:rsid w:val="00215323"/>
    <w:rsid w:val="002200D5"/>
    <w:rsid w:val="00220391"/>
    <w:rsid w:val="00220905"/>
    <w:rsid w:val="00220F6B"/>
    <w:rsid w:val="00222296"/>
    <w:rsid w:val="00223FA5"/>
    <w:rsid w:val="00224C21"/>
    <w:rsid w:val="00227704"/>
    <w:rsid w:val="00230401"/>
    <w:rsid w:val="00231BF6"/>
    <w:rsid w:val="00232E8D"/>
    <w:rsid w:val="002338FD"/>
    <w:rsid w:val="00241880"/>
    <w:rsid w:val="0024219A"/>
    <w:rsid w:val="00242F5F"/>
    <w:rsid w:val="00243A0B"/>
    <w:rsid w:val="002453BC"/>
    <w:rsid w:val="00252359"/>
    <w:rsid w:val="0025301C"/>
    <w:rsid w:val="00256EA4"/>
    <w:rsid w:val="00260B43"/>
    <w:rsid w:val="0026183F"/>
    <w:rsid w:val="00261A1B"/>
    <w:rsid w:val="00261C8B"/>
    <w:rsid w:val="0026228C"/>
    <w:rsid w:val="00263ADC"/>
    <w:rsid w:val="00264521"/>
    <w:rsid w:val="00265100"/>
    <w:rsid w:val="00265140"/>
    <w:rsid w:val="00265260"/>
    <w:rsid w:val="00266144"/>
    <w:rsid w:val="0027083A"/>
    <w:rsid w:val="002718A5"/>
    <w:rsid w:val="00274731"/>
    <w:rsid w:val="00275A34"/>
    <w:rsid w:val="002777C1"/>
    <w:rsid w:val="00277BCA"/>
    <w:rsid w:val="002850ED"/>
    <w:rsid w:val="002860E3"/>
    <w:rsid w:val="002868EA"/>
    <w:rsid w:val="0028697A"/>
    <w:rsid w:val="002871F2"/>
    <w:rsid w:val="00296DE4"/>
    <w:rsid w:val="002A3B9F"/>
    <w:rsid w:val="002A3FD2"/>
    <w:rsid w:val="002A4F45"/>
    <w:rsid w:val="002A7F58"/>
    <w:rsid w:val="002B463D"/>
    <w:rsid w:val="002B6C40"/>
    <w:rsid w:val="002C23E2"/>
    <w:rsid w:val="002C6026"/>
    <w:rsid w:val="002C7420"/>
    <w:rsid w:val="002C74BB"/>
    <w:rsid w:val="002D2748"/>
    <w:rsid w:val="002D27A4"/>
    <w:rsid w:val="002D4D47"/>
    <w:rsid w:val="002D5266"/>
    <w:rsid w:val="002E001D"/>
    <w:rsid w:val="002E2133"/>
    <w:rsid w:val="002E31AF"/>
    <w:rsid w:val="002F1ED8"/>
    <w:rsid w:val="002F2389"/>
    <w:rsid w:val="002F3344"/>
    <w:rsid w:val="002F5C10"/>
    <w:rsid w:val="002F6125"/>
    <w:rsid w:val="003072F2"/>
    <w:rsid w:val="00307934"/>
    <w:rsid w:val="00310504"/>
    <w:rsid w:val="003121E1"/>
    <w:rsid w:val="00315255"/>
    <w:rsid w:val="0032541A"/>
    <w:rsid w:val="00326C80"/>
    <w:rsid w:val="0033385C"/>
    <w:rsid w:val="0034139E"/>
    <w:rsid w:val="0034282B"/>
    <w:rsid w:val="003436E6"/>
    <w:rsid w:val="003457D6"/>
    <w:rsid w:val="00345B48"/>
    <w:rsid w:val="00351CBC"/>
    <w:rsid w:val="00351D3B"/>
    <w:rsid w:val="003521B6"/>
    <w:rsid w:val="00352622"/>
    <w:rsid w:val="00352F01"/>
    <w:rsid w:val="003554EA"/>
    <w:rsid w:val="003556AB"/>
    <w:rsid w:val="00357547"/>
    <w:rsid w:val="003577EA"/>
    <w:rsid w:val="0036054C"/>
    <w:rsid w:val="003624FA"/>
    <w:rsid w:val="003628D5"/>
    <w:rsid w:val="003655E3"/>
    <w:rsid w:val="00372EF5"/>
    <w:rsid w:val="00373BAA"/>
    <w:rsid w:val="003749BD"/>
    <w:rsid w:val="0037596A"/>
    <w:rsid w:val="003760E0"/>
    <w:rsid w:val="0037699E"/>
    <w:rsid w:val="00376F6E"/>
    <w:rsid w:val="00381EFE"/>
    <w:rsid w:val="00382ECF"/>
    <w:rsid w:val="003848D5"/>
    <w:rsid w:val="00387200"/>
    <w:rsid w:val="003900DE"/>
    <w:rsid w:val="003960E4"/>
    <w:rsid w:val="00396C77"/>
    <w:rsid w:val="003A0540"/>
    <w:rsid w:val="003A199D"/>
    <w:rsid w:val="003A2BB1"/>
    <w:rsid w:val="003A398E"/>
    <w:rsid w:val="003A4C15"/>
    <w:rsid w:val="003A5EC3"/>
    <w:rsid w:val="003A666A"/>
    <w:rsid w:val="003A79C8"/>
    <w:rsid w:val="003A7E23"/>
    <w:rsid w:val="003A7F23"/>
    <w:rsid w:val="003B2097"/>
    <w:rsid w:val="003B593C"/>
    <w:rsid w:val="003B79C9"/>
    <w:rsid w:val="003C03CD"/>
    <w:rsid w:val="003C14A1"/>
    <w:rsid w:val="003C24A1"/>
    <w:rsid w:val="003C2671"/>
    <w:rsid w:val="003C2D16"/>
    <w:rsid w:val="003C2ED5"/>
    <w:rsid w:val="003C30F6"/>
    <w:rsid w:val="003D16DC"/>
    <w:rsid w:val="003D1AAE"/>
    <w:rsid w:val="003D314C"/>
    <w:rsid w:val="003D78BE"/>
    <w:rsid w:val="003D79A7"/>
    <w:rsid w:val="003E30F9"/>
    <w:rsid w:val="003E52AD"/>
    <w:rsid w:val="003E5BBC"/>
    <w:rsid w:val="003E6091"/>
    <w:rsid w:val="003E73A9"/>
    <w:rsid w:val="003F2D75"/>
    <w:rsid w:val="003F2E08"/>
    <w:rsid w:val="003F4946"/>
    <w:rsid w:val="003F52C5"/>
    <w:rsid w:val="003F5485"/>
    <w:rsid w:val="004018AD"/>
    <w:rsid w:val="004038E5"/>
    <w:rsid w:val="00404BC6"/>
    <w:rsid w:val="00406C2A"/>
    <w:rsid w:val="00410520"/>
    <w:rsid w:val="004106B1"/>
    <w:rsid w:val="00414BBF"/>
    <w:rsid w:val="00416CDB"/>
    <w:rsid w:val="004172AA"/>
    <w:rsid w:val="00420943"/>
    <w:rsid w:val="00420A09"/>
    <w:rsid w:val="00422FF8"/>
    <w:rsid w:val="004231EA"/>
    <w:rsid w:val="004269FF"/>
    <w:rsid w:val="00431410"/>
    <w:rsid w:val="00432F9E"/>
    <w:rsid w:val="0043489A"/>
    <w:rsid w:val="004351EE"/>
    <w:rsid w:val="00435392"/>
    <w:rsid w:val="00447052"/>
    <w:rsid w:val="00447344"/>
    <w:rsid w:val="00451465"/>
    <w:rsid w:val="00452413"/>
    <w:rsid w:val="0045610F"/>
    <w:rsid w:val="004566EA"/>
    <w:rsid w:val="004606B3"/>
    <w:rsid w:val="004611C8"/>
    <w:rsid w:val="00461E78"/>
    <w:rsid w:val="00463C26"/>
    <w:rsid w:val="00466632"/>
    <w:rsid w:val="00466EB3"/>
    <w:rsid w:val="004720B4"/>
    <w:rsid w:val="0047249A"/>
    <w:rsid w:val="004765B3"/>
    <w:rsid w:val="00476A0B"/>
    <w:rsid w:val="00477D4E"/>
    <w:rsid w:val="0048053B"/>
    <w:rsid w:val="00483DBE"/>
    <w:rsid w:val="0048539E"/>
    <w:rsid w:val="004900B4"/>
    <w:rsid w:val="004931E4"/>
    <w:rsid w:val="004952A7"/>
    <w:rsid w:val="004953A4"/>
    <w:rsid w:val="00495647"/>
    <w:rsid w:val="00496803"/>
    <w:rsid w:val="0049742F"/>
    <w:rsid w:val="004A2182"/>
    <w:rsid w:val="004A25BE"/>
    <w:rsid w:val="004A2E96"/>
    <w:rsid w:val="004A47E8"/>
    <w:rsid w:val="004A55F9"/>
    <w:rsid w:val="004A7352"/>
    <w:rsid w:val="004A7595"/>
    <w:rsid w:val="004B58CA"/>
    <w:rsid w:val="004B7007"/>
    <w:rsid w:val="004B72FC"/>
    <w:rsid w:val="004C3CDD"/>
    <w:rsid w:val="004C4815"/>
    <w:rsid w:val="004C759B"/>
    <w:rsid w:val="004D353D"/>
    <w:rsid w:val="004D41BE"/>
    <w:rsid w:val="004D54A7"/>
    <w:rsid w:val="004D57A2"/>
    <w:rsid w:val="004E1096"/>
    <w:rsid w:val="004E1A3D"/>
    <w:rsid w:val="004E20C8"/>
    <w:rsid w:val="004E483F"/>
    <w:rsid w:val="004E51D0"/>
    <w:rsid w:val="004E7DC4"/>
    <w:rsid w:val="004F052E"/>
    <w:rsid w:val="004F3CAD"/>
    <w:rsid w:val="004F4E04"/>
    <w:rsid w:val="00501318"/>
    <w:rsid w:val="00504711"/>
    <w:rsid w:val="005069AA"/>
    <w:rsid w:val="00507664"/>
    <w:rsid w:val="0051007A"/>
    <w:rsid w:val="00511FD6"/>
    <w:rsid w:val="00512737"/>
    <w:rsid w:val="0051582D"/>
    <w:rsid w:val="005178E7"/>
    <w:rsid w:val="00521F01"/>
    <w:rsid w:val="00522EC1"/>
    <w:rsid w:val="005247D8"/>
    <w:rsid w:val="00526867"/>
    <w:rsid w:val="005268F1"/>
    <w:rsid w:val="00527C2C"/>
    <w:rsid w:val="00530DAF"/>
    <w:rsid w:val="00532E43"/>
    <w:rsid w:val="005334A1"/>
    <w:rsid w:val="00534793"/>
    <w:rsid w:val="00536BD8"/>
    <w:rsid w:val="00537C9F"/>
    <w:rsid w:val="005427E0"/>
    <w:rsid w:val="00545A52"/>
    <w:rsid w:val="00546FA5"/>
    <w:rsid w:val="005477F0"/>
    <w:rsid w:val="005523B3"/>
    <w:rsid w:val="00553758"/>
    <w:rsid w:val="005537D8"/>
    <w:rsid w:val="00556CC6"/>
    <w:rsid w:val="00556E9E"/>
    <w:rsid w:val="005573C0"/>
    <w:rsid w:val="005613D5"/>
    <w:rsid w:val="00565E0C"/>
    <w:rsid w:val="00567EFD"/>
    <w:rsid w:val="00570625"/>
    <w:rsid w:val="005710DC"/>
    <w:rsid w:val="0057176A"/>
    <w:rsid w:val="00571EBC"/>
    <w:rsid w:val="00572533"/>
    <w:rsid w:val="00574F04"/>
    <w:rsid w:val="00582D39"/>
    <w:rsid w:val="005837D7"/>
    <w:rsid w:val="00583F58"/>
    <w:rsid w:val="0058757D"/>
    <w:rsid w:val="00587F92"/>
    <w:rsid w:val="005910CB"/>
    <w:rsid w:val="00591447"/>
    <w:rsid w:val="005958EB"/>
    <w:rsid w:val="0059734E"/>
    <w:rsid w:val="005A01BF"/>
    <w:rsid w:val="005A03A3"/>
    <w:rsid w:val="005A293B"/>
    <w:rsid w:val="005A3B73"/>
    <w:rsid w:val="005B0A9A"/>
    <w:rsid w:val="005B4079"/>
    <w:rsid w:val="005B5A48"/>
    <w:rsid w:val="005C07A6"/>
    <w:rsid w:val="005C116E"/>
    <w:rsid w:val="005C4726"/>
    <w:rsid w:val="005C5449"/>
    <w:rsid w:val="005D24AB"/>
    <w:rsid w:val="005D2E67"/>
    <w:rsid w:val="005D37CB"/>
    <w:rsid w:val="005D5BFE"/>
    <w:rsid w:val="005D6471"/>
    <w:rsid w:val="005D6481"/>
    <w:rsid w:val="005D7E1C"/>
    <w:rsid w:val="005E4073"/>
    <w:rsid w:val="005F144C"/>
    <w:rsid w:val="005F235E"/>
    <w:rsid w:val="005F3F86"/>
    <w:rsid w:val="00602D7E"/>
    <w:rsid w:val="00604239"/>
    <w:rsid w:val="00605BBD"/>
    <w:rsid w:val="0060625F"/>
    <w:rsid w:val="006072AB"/>
    <w:rsid w:val="006162AE"/>
    <w:rsid w:val="006179D8"/>
    <w:rsid w:val="00622509"/>
    <w:rsid w:val="00627F12"/>
    <w:rsid w:val="00632A14"/>
    <w:rsid w:val="00634211"/>
    <w:rsid w:val="0063517A"/>
    <w:rsid w:val="0063575E"/>
    <w:rsid w:val="006414C3"/>
    <w:rsid w:val="0064167F"/>
    <w:rsid w:val="0064291F"/>
    <w:rsid w:val="00643A3C"/>
    <w:rsid w:val="0064519A"/>
    <w:rsid w:val="006460B3"/>
    <w:rsid w:val="0065012F"/>
    <w:rsid w:val="00650F27"/>
    <w:rsid w:val="006522D5"/>
    <w:rsid w:val="006526E5"/>
    <w:rsid w:val="00653A58"/>
    <w:rsid w:val="00654920"/>
    <w:rsid w:val="006549E7"/>
    <w:rsid w:val="00656D47"/>
    <w:rsid w:val="00661505"/>
    <w:rsid w:val="00661634"/>
    <w:rsid w:val="006647B8"/>
    <w:rsid w:val="00664C80"/>
    <w:rsid w:val="00667445"/>
    <w:rsid w:val="006705BA"/>
    <w:rsid w:val="00674951"/>
    <w:rsid w:val="006807F4"/>
    <w:rsid w:val="00680F92"/>
    <w:rsid w:val="00681188"/>
    <w:rsid w:val="006814BE"/>
    <w:rsid w:val="00682FA7"/>
    <w:rsid w:val="00683F7B"/>
    <w:rsid w:val="006854E4"/>
    <w:rsid w:val="00685558"/>
    <w:rsid w:val="00686B9C"/>
    <w:rsid w:val="00690033"/>
    <w:rsid w:val="006A11AB"/>
    <w:rsid w:val="006A127B"/>
    <w:rsid w:val="006A3FFA"/>
    <w:rsid w:val="006A5B9E"/>
    <w:rsid w:val="006A6FA5"/>
    <w:rsid w:val="006B1963"/>
    <w:rsid w:val="006B1EF7"/>
    <w:rsid w:val="006B22BD"/>
    <w:rsid w:val="006B5764"/>
    <w:rsid w:val="006B596A"/>
    <w:rsid w:val="006B7C6E"/>
    <w:rsid w:val="006C0FA1"/>
    <w:rsid w:val="006C6728"/>
    <w:rsid w:val="006C76FA"/>
    <w:rsid w:val="006C7C4F"/>
    <w:rsid w:val="006D2833"/>
    <w:rsid w:val="006D511D"/>
    <w:rsid w:val="006E2CC1"/>
    <w:rsid w:val="006E40F3"/>
    <w:rsid w:val="006E5641"/>
    <w:rsid w:val="006F2672"/>
    <w:rsid w:val="006F68E2"/>
    <w:rsid w:val="00701C88"/>
    <w:rsid w:val="007032C0"/>
    <w:rsid w:val="00703BD2"/>
    <w:rsid w:val="007117DA"/>
    <w:rsid w:val="00711B10"/>
    <w:rsid w:val="00712325"/>
    <w:rsid w:val="00717279"/>
    <w:rsid w:val="00720BB9"/>
    <w:rsid w:val="00720D5E"/>
    <w:rsid w:val="00721305"/>
    <w:rsid w:val="00722601"/>
    <w:rsid w:val="00722F19"/>
    <w:rsid w:val="007236A8"/>
    <w:rsid w:val="0072711D"/>
    <w:rsid w:val="00732CD9"/>
    <w:rsid w:val="00735D4A"/>
    <w:rsid w:val="0073619D"/>
    <w:rsid w:val="0073624F"/>
    <w:rsid w:val="00736EF0"/>
    <w:rsid w:val="0074025E"/>
    <w:rsid w:val="007455BF"/>
    <w:rsid w:val="00745763"/>
    <w:rsid w:val="00745C5E"/>
    <w:rsid w:val="0074695A"/>
    <w:rsid w:val="00747935"/>
    <w:rsid w:val="007525CD"/>
    <w:rsid w:val="00754F44"/>
    <w:rsid w:val="00755326"/>
    <w:rsid w:val="00755AFD"/>
    <w:rsid w:val="007609C3"/>
    <w:rsid w:val="007614FB"/>
    <w:rsid w:val="00763058"/>
    <w:rsid w:val="00765844"/>
    <w:rsid w:val="007754E8"/>
    <w:rsid w:val="0077645C"/>
    <w:rsid w:val="00777784"/>
    <w:rsid w:val="00777ED1"/>
    <w:rsid w:val="00777F41"/>
    <w:rsid w:val="00780BA3"/>
    <w:rsid w:val="00780F1D"/>
    <w:rsid w:val="0078458F"/>
    <w:rsid w:val="00791B76"/>
    <w:rsid w:val="00792899"/>
    <w:rsid w:val="007928E3"/>
    <w:rsid w:val="00794314"/>
    <w:rsid w:val="0079632F"/>
    <w:rsid w:val="0079761C"/>
    <w:rsid w:val="007A3CF9"/>
    <w:rsid w:val="007A4ABA"/>
    <w:rsid w:val="007B04FE"/>
    <w:rsid w:val="007B0E50"/>
    <w:rsid w:val="007B3894"/>
    <w:rsid w:val="007B430F"/>
    <w:rsid w:val="007B5EFE"/>
    <w:rsid w:val="007C0B6D"/>
    <w:rsid w:val="007C1B4F"/>
    <w:rsid w:val="007C244A"/>
    <w:rsid w:val="007C3E77"/>
    <w:rsid w:val="007C4383"/>
    <w:rsid w:val="007C5904"/>
    <w:rsid w:val="007C6848"/>
    <w:rsid w:val="007C7A12"/>
    <w:rsid w:val="007D0168"/>
    <w:rsid w:val="007D0173"/>
    <w:rsid w:val="007D0274"/>
    <w:rsid w:val="007D0843"/>
    <w:rsid w:val="007D562B"/>
    <w:rsid w:val="007D75E8"/>
    <w:rsid w:val="007E2ACD"/>
    <w:rsid w:val="007E3C78"/>
    <w:rsid w:val="007E414C"/>
    <w:rsid w:val="007E4279"/>
    <w:rsid w:val="007F0395"/>
    <w:rsid w:val="007F0A49"/>
    <w:rsid w:val="007F2FCB"/>
    <w:rsid w:val="007F3D40"/>
    <w:rsid w:val="007F3E34"/>
    <w:rsid w:val="007F5CCF"/>
    <w:rsid w:val="007F7B6F"/>
    <w:rsid w:val="00800CAC"/>
    <w:rsid w:val="00803624"/>
    <w:rsid w:val="00804198"/>
    <w:rsid w:val="00804832"/>
    <w:rsid w:val="00806DFC"/>
    <w:rsid w:val="00811808"/>
    <w:rsid w:val="0081275A"/>
    <w:rsid w:val="008129BF"/>
    <w:rsid w:val="00812CDE"/>
    <w:rsid w:val="00812FB3"/>
    <w:rsid w:val="00813789"/>
    <w:rsid w:val="00813A80"/>
    <w:rsid w:val="00813ABB"/>
    <w:rsid w:val="00813EF3"/>
    <w:rsid w:val="008149EA"/>
    <w:rsid w:val="00820911"/>
    <w:rsid w:val="00821DE5"/>
    <w:rsid w:val="00823B09"/>
    <w:rsid w:val="008261E8"/>
    <w:rsid w:val="00831951"/>
    <w:rsid w:val="0083210D"/>
    <w:rsid w:val="00835855"/>
    <w:rsid w:val="008371CE"/>
    <w:rsid w:val="00845664"/>
    <w:rsid w:val="0084574B"/>
    <w:rsid w:val="0085081D"/>
    <w:rsid w:val="008510AB"/>
    <w:rsid w:val="008520D2"/>
    <w:rsid w:val="00852990"/>
    <w:rsid w:val="00853499"/>
    <w:rsid w:val="00854761"/>
    <w:rsid w:val="0085530B"/>
    <w:rsid w:val="00856B95"/>
    <w:rsid w:val="008601B9"/>
    <w:rsid w:val="008637AF"/>
    <w:rsid w:val="008666A8"/>
    <w:rsid w:val="00870B7E"/>
    <w:rsid w:val="00872D02"/>
    <w:rsid w:val="0087306B"/>
    <w:rsid w:val="00873179"/>
    <w:rsid w:val="00874411"/>
    <w:rsid w:val="0087674E"/>
    <w:rsid w:val="008776B8"/>
    <w:rsid w:val="00880521"/>
    <w:rsid w:val="0088672B"/>
    <w:rsid w:val="008868E5"/>
    <w:rsid w:val="00893826"/>
    <w:rsid w:val="00895E59"/>
    <w:rsid w:val="00896629"/>
    <w:rsid w:val="00897EA2"/>
    <w:rsid w:val="008A19E7"/>
    <w:rsid w:val="008A23E5"/>
    <w:rsid w:val="008A45D5"/>
    <w:rsid w:val="008A4D06"/>
    <w:rsid w:val="008A6D84"/>
    <w:rsid w:val="008A74FB"/>
    <w:rsid w:val="008B2086"/>
    <w:rsid w:val="008B460E"/>
    <w:rsid w:val="008C7F19"/>
    <w:rsid w:val="008D4155"/>
    <w:rsid w:val="008D6250"/>
    <w:rsid w:val="008E1347"/>
    <w:rsid w:val="008E303D"/>
    <w:rsid w:val="008E45D8"/>
    <w:rsid w:val="008E4F66"/>
    <w:rsid w:val="008E6A21"/>
    <w:rsid w:val="008E75BC"/>
    <w:rsid w:val="008F13A4"/>
    <w:rsid w:val="008F3A1B"/>
    <w:rsid w:val="008F5ECA"/>
    <w:rsid w:val="008F793C"/>
    <w:rsid w:val="00902784"/>
    <w:rsid w:val="009054E0"/>
    <w:rsid w:val="009063E6"/>
    <w:rsid w:val="00906D06"/>
    <w:rsid w:val="00911EE0"/>
    <w:rsid w:val="00923EC9"/>
    <w:rsid w:val="0092706D"/>
    <w:rsid w:val="0093015E"/>
    <w:rsid w:val="00930C3B"/>
    <w:rsid w:val="00931451"/>
    <w:rsid w:val="009329DC"/>
    <w:rsid w:val="00934D19"/>
    <w:rsid w:val="009362DB"/>
    <w:rsid w:val="00937DA7"/>
    <w:rsid w:val="0094032B"/>
    <w:rsid w:val="00940535"/>
    <w:rsid w:val="0094107A"/>
    <w:rsid w:val="00944CD4"/>
    <w:rsid w:val="00945572"/>
    <w:rsid w:val="00946122"/>
    <w:rsid w:val="0095072B"/>
    <w:rsid w:val="00952E38"/>
    <w:rsid w:val="00952F4A"/>
    <w:rsid w:val="00954B3F"/>
    <w:rsid w:val="009573C2"/>
    <w:rsid w:val="009616C4"/>
    <w:rsid w:val="00962BE6"/>
    <w:rsid w:val="00963B98"/>
    <w:rsid w:val="00964E1E"/>
    <w:rsid w:val="009661E0"/>
    <w:rsid w:val="00967EB0"/>
    <w:rsid w:val="00971127"/>
    <w:rsid w:val="0097187E"/>
    <w:rsid w:val="00972080"/>
    <w:rsid w:val="009745C7"/>
    <w:rsid w:val="00977BE2"/>
    <w:rsid w:val="00987113"/>
    <w:rsid w:val="009922EC"/>
    <w:rsid w:val="009926E0"/>
    <w:rsid w:val="0099496A"/>
    <w:rsid w:val="0099688C"/>
    <w:rsid w:val="00997E29"/>
    <w:rsid w:val="009A04B1"/>
    <w:rsid w:val="009A45C2"/>
    <w:rsid w:val="009B20B4"/>
    <w:rsid w:val="009B3200"/>
    <w:rsid w:val="009B4766"/>
    <w:rsid w:val="009B5584"/>
    <w:rsid w:val="009B55C8"/>
    <w:rsid w:val="009B622F"/>
    <w:rsid w:val="009C0BCE"/>
    <w:rsid w:val="009C12E1"/>
    <w:rsid w:val="009C45A9"/>
    <w:rsid w:val="009C47A7"/>
    <w:rsid w:val="009C5698"/>
    <w:rsid w:val="009C5A62"/>
    <w:rsid w:val="009C664D"/>
    <w:rsid w:val="009D0307"/>
    <w:rsid w:val="009D0740"/>
    <w:rsid w:val="009D1F39"/>
    <w:rsid w:val="009D527D"/>
    <w:rsid w:val="009E1971"/>
    <w:rsid w:val="009E2AE2"/>
    <w:rsid w:val="009E2C5F"/>
    <w:rsid w:val="009E4073"/>
    <w:rsid w:val="009E4C5C"/>
    <w:rsid w:val="009E4CC5"/>
    <w:rsid w:val="009E72CB"/>
    <w:rsid w:val="009F660D"/>
    <w:rsid w:val="00A057BB"/>
    <w:rsid w:val="00A07CF1"/>
    <w:rsid w:val="00A13A75"/>
    <w:rsid w:val="00A15996"/>
    <w:rsid w:val="00A15B40"/>
    <w:rsid w:val="00A160CD"/>
    <w:rsid w:val="00A21841"/>
    <w:rsid w:val="00A232D5"/>
    <w:rsid w:val="00A23331"/>
    <w:rsid w:val="00A24135"/>
    <w:rsid w:val="00A26204"/>
    <w:rsid w:val="00A2627F"/>
    <w:rsid w:val="00A2670F"/>
    <w:rsid w:val="00A35B81"/>
    <w:rsid w:val="00A36964"/>
    <w:rsid w:val="00A36F57"/>
    <w:rsid w:val="00A40303"/>
    <w:rsid w:val="00A41AC4"/>
    <w:rsid w:val="00A435E8"/>
    <w:rsid w:val="00A4372F"/>
    <w:rsid w:val="00A44C89"/>
    <w:rsid w:val="00A4515B"/>
    <w:rsid w:val="00A51919"/>
    <w:rsid w:val="00A56196"/>
    <w:rsid w:val="00A61C26"/>
    <w:rsid w:val="00A621CD"/>
    <w:rsid w:val="00A63803"/>
    <w:rsid w:val="00A64310"/>
    <w:rsid w:val="00A64543"/>
    <w:rsid w:val="00A6484B"/>
    <w:rsid w:val="00A6521C"/>
    <w:rsid w:val="00A652D1"/>
    <w:rsid w:val="00A67343"/>
    <w:rsid w:val="00A708A0"/>
    <w:rsid w:val="00A71C90"/>
    <w:rsid w:val="00A71EDD"/>
    <w:rsid w:val="00A72D1E"/>
    <w:rsid w:val="00A7338B"/>
    <w:rsid w:val="00A75BC9"/>
    <w:rsid w:val="00A7640C"/>
    <w:rsid w:val="00A81FAE"/>
    <w:rsid w:val="00A8225D"/>
    <w:rsid w:val="00A8358F"/>
    <w:rsid w:val="00A879BE"/>
    <w:rsid w:val="00A912E1"/>
    <w:rsid w:val="00A9679E"/>
    <w:rsid w:val="00AA2BBA"/>
    <w:rsid w:val="00AA2CB8"/>
    <w:rsid w:val="00AA5811"/>
    <w:rsid w:val="00AA7085"/>
    <w:rsid w:val="00AA7686"/>
    <w:rsid w:val="00AA79EA"/>
    <w:rsid w:val="00AB06E1"/>
    <w:rsid w:val="00AB0D84"/>
    <w:rsid w:val="00AB2C52"/>
    <w:rsid w:val="00AB5C6D"/>
    <w:rsid w:val="00AB5F59"/>
    <w:rsid w:val="00AB71F9"/>
    <w:rsid w:val="00AB755E"/>
    <w:rsid w:val="00AC3B1E"/>
    <w:rsid w:val="00AC6612"/>
    <w:rsid w:val="00AC7853"/>
    <w:rsid w:val="00AD61F8"/>
    <w:rsid w:val="00AD62AF"/>
    <w:rsid w:val="00AD639F"/>
    <w:rsid w:val="00AE000D"/>
    <w:rsid w:val="00AE0E54"/>
    <w:rsid w:val="00AE2D6D"/>
    <w:rsid w:val="00AF3D7A"/>
    <w:rsid w:val="00AF5545"/>
    <w:rsid w:val="00AF59E8"/>
    <w:rsid w:val="00AF5B59"/>
    <w:rsid w:val="00AF5D8D"/>
    <w:rsid w:val="00AF65E9"/>
    <w:rsid w:val="00AF727B"/>
    <w:rsid w:val="00B00414"/>
    <w:rsid w:val="00B0394A"/>
    <w:rsid w:val="00B05C78"/>
    <w:rsid w:val="00B10F67"/>
    <w:rsid w:val="00B14054"/>
    <w:rsid w:val="00B1508E"/>
    <w:rsid w:val="00B1643B"/>
    <w:rsid w:val="00B22A4D"/>
    <w:rsid w:val="00B251F7"/>
    <w:rsid w:val="00B25437"/>
    <w:rsid w:val="00B25EA3"/>
    <w:rsid w:val="00B316C4"/>
    <w:rsid w:val="00B33D94"/>
    <w:rsid w:val="00B340FE"/>
    <w:rsid w:val="00B35C8A"/>
    <w:rsid w:val="00B3787D"/>
    <w:rsid w:val="00B40E1B"/>
    <w:rsid w:val="00B4273E"/>
    <w:rsid w:val="00B4591A"/>
    <w:rsid w:val="00B50060"/>
    <w:rsid w:val="00B52B5C"/>
    <w:rsid w:val="00B52E74"/>
    <w:rsid w:val="00B53F29"/>
    <w:rsid w:val="00B556BD"/>
    <w:rsid w:val="00B62F07"/>
    <w:rsid w:val="00B643A1"/>
    <w:rsid w:val="00B655CA"/>
    <w:rsid w:val="00B70C9B"/>
    <w:rsid w:val="00B7224A"/>
    <w:rsid w:val="00B72BF6"/>
    <w:rsid w:val="00B814FE"/>
    <w:rsid w:val="00B819CA"/>
    <w:rsid w:val="00B83A83"/>
    <w:rsid w:val="00B85B84"/>
    <w:rsid w:val="00B866CE"/>
    <w:rsid w:val="00B903E8"/>
    <w:rsid w:val="00B9084B"/>
    <w:rsid w:val="00B93041"/>
    <w:rsid w:val="00B97396"/>
    <w:rsid w:val="00BA0820"/>
    <w:rsid w:val="00BA19E9"/>
    <w:rsid w:val="00BA6866"/>
    <w:rsid w:val="00BB0B46"/>
    <w:rsid w:val="00BB0D2D"/>
    <w:rsid w:val="00BB0DF9"/>
    <w:rsid w:val="00BB11F5"/>
    <w:rsid w:val="00BB45B2"/>
    <w:rsid w:val="00BB5BF1"/>
    <w:rsid w:val="00BB5F40"/>
    <w:rsid w:val="00BC2BE6"/>
    <w:rsid w:val="00BC36BF"/>
    <w:rsid w:val="00BC7E3D"/>
    <w:rsid w:val="00BD2EF0"/>
    <w:rsid w:val="00BD3C47"/>
    <w:rsid w:val="00BD4036"/>
    <w:rsid w:val="00BE274C"/>
    <w:rsid w:val="00BE40BF"/>
    <w:rsid w:val="00BE526A"/>
    <w:rsid w:val="00BE5419"/>
    <w:rsid w:val="00BF2247"/>
    <w:rsid w:val="00BF54B7"/>
    <w:rsid w:val="00BF666B"/>
    <w:rsid w:val="00BF7F15"/>
    <w:rsid w:val="00C002C0"/>
    <w:rsid w:val="00C03364"/>
    <w:rsid w:val="00C03E5B"/>
    <w:rsid w:val="00C04470"/>
    <w:rsid w:val="00C048D5"/>
    <w:rsid w:val="00C05686"/>
    <w:rsid w:val="00C06AF0"/>
    <w:rsid w:val="00C11C62"/>
    <w:rsid w:val="00C1392B"/>
    <w:rsid w:val="00C15F20"/>
    <w:rsid w:val="00C20C8C"/>
    <w:rsid w:val="00C236DA"/>
    <w:rsid w:val="00C2788C"/>
    <w:rsid w:val="00C30C6E"/>
    <w:rsid w:val="00C30E1B"/>
    <w:rsid w:val="00C30E45"/>
    <w:rsid w:val="00C31EB7"/>
    <w:rsid w:val="00C32CE1"/>
    <w:rsid w:val="00C33CEF"/>
    <w:rsid w:val="00C33E17"/>
    <w:rsid w:val="00C36778"/>
    <w:rsid w:val="00C37ADA"/>
    <w:rsid w:val="00C430F7"/>
    <w:rsid w:val="00C4355B"/>
    <w:rsid w:val="00C43B2A"/>
    <w:rsid w:val="00C44E11"/>
    <w:rsid w:val="00C46826"/>
    <w:rsid w:val="00C46A09"/>
    <w:rsid w:val="00C476F7"/>
    <w:rsid w:val="00C5023E"/>
    <w:rsid w:val="00C508D3"/>
    <w:rsid w:val="00C524A5"/>
    <w:rsid w:val="00C53068"/>
    <w:rsid w:val="00C62C0D"/>
    <w:rsid w:val="00C65AA6"/>
    <w:rsid w:val="00C674F5"/>
    <w:rsid w:val="00C701F4"/>
    <w:rsid w:val="00C70EB3"/>
    <w:rsid w:val="00C72EBC"/>
    <w:rsid w:val="00C741AC"/>
    <w:rsid w:val="00C75B8D"/>
    <w:rsid w:val="00C7785B"/>
    <w:rsid w:val="00C80130"/>
    <w:rsid w:val="00C8109B"/>
    <w:rsid w:val="00C81DBC"/>
    <w:rsid w:val="00C839C2"/>
    <w:rsid w:val="00C84100"/>
    <w:rsid w:val="00C856C9"/>
    <w:rsid w:val="00C9110C"/>
    <w:rsid w:val="00C91FEE"/>
    <w:rsid w:val="00C95306"/>
    <w:rsid w:val="00CA2ADA"/>
    <w:rsid w:val="00CA2BD0"/>
    <w:rsid w:val="00CB0CBE"/>
    <w:rsid w:val="00CB108F"/>
    <w:rsid w:val="00CB2319"/>
    <w:rsid w:val="00CB278F"/>
    <w:rsid w:val="00CB484E"/>
    <w:rsid w:val="00CB58C6"/>
    <w:rsid w:val="00CB7033"/>
    <w:rsid w:val="00CC673F"/>
    <w:rsid w:val="00CC7141"/>
    <w:rsid w:val="00CD08DF"/>
    <w:rsid w:val="00CD0AE2"/>
    <w:rsid w:val="00CD3092"/>
    <w:rsid w:val="00CD35DE"/>
    <w:rsid w:val="00CD3E23"/>
    <w:rsid w:val="00CD5E16"/>
    <w:rsid w:val="00CD6456"/>
    <w:rsid w:val="00CE0E06"/>
    <w:rsid w:val="00CE7A6E"/>
    <w:rsid w:val="00CF02B3"/>
    <w:rsid w:val="00CF0A5D"/>
    <w:rsid w:val="00CF145E"/>
    <w:rsid w:val="00CF175E"/>
    <w:rsid w:val="00CF5842"/>
    <w:rsid w:val="00CF77E1"/>
    <w:rsid w:val="00CF79CF"/>
    <w:rsid w:val="00D02D35"/>
    <w:rsid w:val="00D03AFF"/>
    <w:rsid w:val="00D058F2"/>
    <w:rsid w:val="00D07C98"/>
    <w:rsid w:val="00D1282A"/>
    <w:rsid w:val="00D1408E"/>
    <w:rsid w:val="00D15B2E"/>
    <w:rsid w:val="00D21552"/>
    <w:rsid w:val="00D237E7"/>
    <w:rsid w:val="00D23C59"/>
    <w:rsid w:val="00D305AC"/>
    <w:rsid w:val="00D315B9"/>
    <w:rsid w:val="00D31998"/>
    <w:rsid w:val="00D31EC5"/>
    <w:rsid w:val="00D321D1"/>
    <w:rsid w:val="00D33F4C"/>
    <w:rsid w:val="00D354EF"/>
    <w:rsid w:val="00D35DD4"/>
    <w:rsid w:val="00D36AE6"/>
    <w:rsid w:val="00D40EE3"/>
    <w:rsid w:val="00D41B5E"/>
    <w:rsid w:val="00D428AB"/>
    <w:rsid w:val="00D43BE4"/>
    <w:rsid w:val="00D451F3"/>
    <w:rsid w:val="00D45FAC"/>
    <w:rsid w:val="00D47A5B"/>
    <w:rsid w:val="00D47F2C"/>
    <w:rsid w:val="00D502C0"/>
    <w:rsid w:val="00D511E2"/>
    <w:rsid w:val="00D60E32"/>
    <w:rsid w:val="00D64ADE"/>
    <w:rsid w:val="00D709F0"/>
    <w:rsid w:val="00D73F75"/>
    <w:rsid w:val="00D82A57"/>
    <w:rsid w:val="00D83D95"/>
    <w:rsid w:val="00D875FA"/>
    <w:rsid w:val="00D9158F"/>
    <w:rsid w:val="00D91836"/>
    <w:rsid w:val="00D91A3A"/>
    <w:rsid w:val="00D921C5"/>
    <w:rsid w:val="00D9694D"/>
    <w:rsid w:val="00D978E8"/>
    <w:rsid w:val="00DA2FEF"/>
    <w:rsid w:val="00DA41C1"/>
    <w:rsid w:val="00DA7ACF"/>
    <w:rsid w:val="00DB064D"/>
    <w:rsid w:val="00DB128D"/>
    <w:rsid w:val="00DB4076"/>
    <w:rsid w:val="00DB4452"/>
    <w:rsid w:val="00DB6E27"/>
    <w:rsid w:val="00DB7F86"/>
    <w:rsid w:val="00DC473F"/>
    <w:rsid w:val="00DC57B1"/>
    <w:rsid w:val="00DD0564"/>
    <w:rsid w:val="00DD0669"/>
    <w:rsid w:val="00DD4725"/>
    <w:rsid w:val="00DD5BAB"/>
    <w:rsid w:val="00DD6B61"/>
    <w:rsid w:val="00DE1938"/>
    <w:rsid w:val="00DE292E"/>
    <w:rsid w:val="00DE2F44"/>
    <w:rsid w:val="00DE3BC3"/>
    <w:rsid w:val="00DE4928"/>
    <w:rsid w:val="00DE4D6A"/>
    <w:rsid w:val="00DE513E"/>
    <w:rsid w:val="00DE57C5"/>
    <w:rsid w:val="00DE66F0"/>
    <w:rsid w:val="00DE6769"/>
    <w:rsid w:val="00DE7264"/>
    <w:rsid w:val="00DE7E2C"/>
    <w:rsid w:val="00DE7F59"/>
    <w:rsid w:val="00E000A3"/>
    <w:rsid w:val="00E02C50"/>
    <w:rsid w:val="00E03F0A"/>
    <w:rsid w:val="00E062A2"/>
    <w:rsid w:val="00E07A7A"/>
    <w:rsid w:val="00E11013"/>
    <w:rsid w:val="00E12F00"/>
    <w:rsid w:val="00E12F75"/>
    <w:rsid w:val="00E1391B"/>
    <w:rsid w:val="00E16FBA"/>
    <w:rsid w:val="00E22F33"/>
    <w:rsid w:val="00E2380F"/>
    <w:rsid w:val="00E23DE4"/>
    <w:rsid w:val="00E2778C"/>
    <w:rsid w:val="00E30594"/>
    <w:rsid w:val="00E313C9"/>
    <w:rsid w:val="00E3191A"/>
    <w:rsid w:val="00E31C9E"/>
    <w:rsid w:val="00E32853"/>
    <w:rsid w:val="00E32FF0"/>
    <w:rsid w:val="00E3422A"/>
    <w:rsid w:val="00E34645"/>
    <w:rsid w:val="00E37D6C"/>
    <w:rsid w:val="00E42980"/>
    <w:rsid w:val="00E43D86"/>
    <w:rsid w:val="00E45237"/>
    <w:rsid w:val="00E46392"/>
    <w:rsid w:val="00E55728"/>
    <w:rsid w:val="00E62A23"/>
    <w:rsid w:val="00E63B4A"/>
    <w:rsid w:val="00E64015"/>
    <w:rsid w:val="00E65F6F"/>
    <w:rsid w:val="00E667B6"/>
    <w:rsid w:val="00E708FA"/>
    <w:rsid w:val="00E73347"/>
    <w:rsid w:val="00E73D28"/>
    <w:rsid w:val="00E81715"/>
    <w:rsid w:val="00E839C4"/>
    <w:rsid w:val="00E83D7D"/>
    <w:rsid w:val="00E8547A"/>
    <w:rsid w:val="00E90031"/>
    <w:rsid w:val="00E90155"/>
    <w:rsid w:val="00E905E2"/>
    <w:rsid w:val="00E90C34"/>
    <w:rsid w:val="00E90C5B"/>
    <w:rsid w:val="00E93458"/>
    <w:rsid w:val="00E94A37"/>
    <w:rsid w:val="00E96DB9"/>
    <w:rsid w:val="00EA23CF"/>
    <w:rsid w:val="00EA5E2A"/>
    <w:rsid w:val="00EA7EBD"/>
    <w:rsid w:val="00EB2D7E"/>
    <w:rsid w:val="00EB5F2F"/>
    <w:rsid w:val="00EC1E6E"/>
    <w:rsid w:val="00EC241E"/>
    <w:rsid w:val="00EC2DA9"/>
    <w:rsid w:val="00EC684E"/>
    <w:rsid w:val="00ED207A"/>
    <w:rsid w:val="00ED24C0"/>
    <w:rsid w:val="00ED3406"/>
    <w:rsid w:val="00ED60AC"/>
    <w:rsid w:val="00ED7274"/>
    <w:rsid w:val="00EE0F09"/>
    <w:rsid w:val="00EE2091"/>
    <w:rsid w:val="00EE2263"/>
    <w:rsid w:val="00EE35DD"/>
    <w:rsid w:val="00EF05C7"/>
    <w:rsid w:val="00EF14D4"/>
    <w:rsid w:val="00EF273D"/>
    <w:rsid w:val="00EF4151"/>
    <w:rsid w:val="00EF5A37"/>
    <w:rsid w:val="00EF77DA"/>
    <w:rsid w:val="00EF7AF8"/>
    <w:rsid w:val="00EF7FAE"/>
    <w:rsid w:val="00F0400D"/>
    <w:rsid w:val="00F05421"/>
    <w:rsid w:val="00F05C27"/>
    <w:rsid w:val="00F14F09"/>
    <w:rsid w:val="00F22406"/>
    <w:rsid w:val="00F25504"/>
    <w:rsid w:val="00F25906"/>
    <w:rsid w:val="00F25E4A"/>
    <w:rsid w:val="00F31E3E"/>
    <w:rsid w:val="00F323EE"/>
    <w:rsid w:val="00F34471"/>
    <w:rsid w:val="00F35223"/>
    <w:rsid w:val="00F37000"/>
    <w:rsid w:val="00F3729D"/>
    <w:rsid w:val="00F37BAE"/>
    <w:rsid w:val="00F4571C"/>
    <w:rsid w:val="00F458F5"/>
    <w:rsid w:val="00F47249"/>
    <w:rsid w:val="00F5001F"/>
    <w:rsid w:val="00F504D4"/>
    <w:rsid w:val="00F50819"/>
    <w:rsid w:val="00F51631"/>
    <w:rsid w:val="00F52B84"/>
    <w:rsid w:val="00F52BC3"/>
    <w:rsid w:val="00F5625B"/>
    <w:rsid w:val="00F61C01"/>
    <w:rsid w:val="00F635E8"/>
    <w:rsid w:val="00F64559"/>
    <w:rsid w:val="00F72764"/>
    <w:rsid w:val="00F749F0"/>
    <w:rsid w:val="00F75302"/>
    <w:rsid w:val="00F757CA"/>
    <w:rsid w:val="00F777D1"/>
    <w:rsid w:val="00F80A09"/>
    <w:rsid w:val="00F80C50"/>
    <w:rsid w:val="00F83F41"/>
    <w:rsid w:val="00F84B93"/>
    <w:rsid w:val="00F8613A"/>
    <w:rsid w:val="00F91779"/>
    <w:rsid w:val="00F92B8D"/>
    <w:rsid w:val="00F931EE"/>
    <w:rsid w:val="00F936B7"/>
    <w:rsid w:val="00F93B40"/>
    <w:rsid w:val="00F93C6B"/>
    <w:rsid w:val="00F94AFA"/>
    <w:rsid w:val="00F9556F"/>
    <w:rsid w:val="00F95F81"/>
    <w:rsid w:val="00F9622A"/>
    <w:rsid w:val="00F97D9E"/>
    <w:rsid w:val="00FA1E36"/>
    <w:rsid w:val="00FA3BEA"/>
    <w:rsid w:val="00FA6985"/>
    <w:rsid w:val="00FA76E0"/>
    <w:rsid w:val="00FB1D42"/>
    <w:rsid w:val="00FB1E75"/>
    <w:rsid w:val="00FB2C75"/>
    <w:rsid w:val="00FB382F"/>
    <w:rsid w:val="00FB4DE6"/>
    <w:rsid w:val="00FB5E6D"/>
    <w:rsid w:val="00FB63F9"/>
    <w:rsid w:val="00FB68D8"/>
    <w:rsid w:val="00FB7CF7"/>
    <w:rsid w:val="00FB7F50"/>
    <w:rsid w:val="00FC0F88"/>
    <w:rsid w:val="00FC269A"/>
    <w:rsid w:val="00FC3F4D"/>
    <w:rsid w:val="00FC420C"/>
    <w:rsid w:val="00FC578D"/>
    <w:rsid w:val="00FC5CA4"/>
    <w:rsid w:val="00FC747E"/>
    <w:rsid w:val="00FD0F72"/>
    <w:rsid w:val="00FD17B5"/>
    <w:rsid w:val="00FD1F39"/>
    <w:rsid w:val="00FD32DA"/>
    <w:rsid w:val="00FD3516"/>
    <w:rsid w:val="00FE01A7"/>
    <w:rsid w:val="00FE0616"/>
    <w:rsid w:val="00FE46C1"/>
    <w:rsid w:val="00FE5D91"/>
    <w:rsid w:val="00FF1A20"/>
    <w:rsid w:val="00FF53C6"/>
    <w:rsid w:val="00FF6CCD"/>
    <w:rsid w:val="00FF7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382F"/>
    <w:rPr>
      <w:sz w:val="24"/>
      <w:szCs w:val="24"/>
    </w:rPr>
  </w:style>
  <w:style w:type="paragraph" w:styleId="Nadpis1">
    <w:name w:val="heading 1"/>
    <w:basedOn w:val="Normln"/>
    <w:next w:val="Normln"/>
    <w:qFormat/>
    <w:rsid w:val="00D73F75"/>
    <w:pPr>
      <w:keepNext/>
      <w:jc w:val="center"/>
      <w:outlineLvl w:val="0"/>
    </w:pPr>
    <w:rPr>
      <w:rFonts w:ascii="Arial" w:hAnsi="Arial" w:cs="Arial"/>
      <w:b/>
      <w:bCs/>
    </w:rPr>
  </w:style>
  <w:style w:type="paragraph" w:styleId="Nadpis2">
    <w:name w:val="heading 2"/>
    <w:basedOn w:val="Normln"/>
    <w:next w:val="Normln"/>
    <w:qFormat/>
    <w:rsid w:val="00D73F75"/>
    <w:pPr>
      <w:keepNext/>
      <w:outlineLvl w:val="1"/>
    </w:pPr>
    <w:rPr>
      <w:rFonts w:ascii="Arial" w:hAnsi="Arial" w:cs="Arial"/>
      <w:b/>
      <w:bCs/>
    </w:rPr>
  </w:style>
  <w:style w:type="paragraph" w:styleId="Nadpis3">
    <w:name w:val="heading 3"/>
    <w:basedOn w:val="Normln"/>
    <w:next w:val="Normln"/>
    <w:link w:val="Nadpis3Char"/>
    <w:qFormat/>
    <w:rsid w:val="00964E1E"/>
    <w:pPr>
      <w:keepNext/>
      <w:outlineLvl w:val="2"/>
    </w:pPr>
    <w:rPr>
      <w:rFonts w:ascii="Arial" w:hAnsi="Arial" w:cs="Arial"/>
      <w:b/>
      <w:bCs/>
      <w:sz w:val="20"/>
      <w:szCs w:val="20"/>
    </w:rPr>
  </w:style>
  <w:style w:type="paragraph" w:styleId="Nadpis4">
    <w:name w:val="heading 4"/>
    <w:basedOn w:val="Normln"/>
    <w:next w:val="Normln"/>
    <w:qFormat/>
    <w:rsid w:val="00964E1E"/>
    <w:pPr>
      <w:keepNext/>
      <w:outlineLvl w:val="3"/>
    </w:pPr>
    <w:rPr>
      <w:b/>
      <w:bCs/>
    </w:rPr>
  </w:style>
  <w:style w:type="paragraph" w:styleId="Nadpis5">
    <w:name w:val="heading 5"/>
    <w:basedOn w:val="Normln"/>
    <w:next w:val="Normln"/>
    <w:qFormat/>
    <w:rsid w:val="00964E1E"/>
    <w:pPr>
      <w:keepNext/>
      <w:jc w:val="both"/>
      <w:outlineLvl w:val="4"/>
    </w:pPr>
    <w:rPr>
      <w:b/>
    </w:rPr>
  </w:style>
  <w:style w:type="paragraph" w:styleId="Nadpis6">
    <w:name w:val="heading 6"/>
    <w:basedOn w:val="Normln"/>
    <w:next w:val="Normln"/>
    <w:qFormat/>
    <w:rsid w:val="00964E1E"/>
    <w:pPr>
      <w:keepNext/>
      <w:jc w:val="both"/>
      <w:outlineLvl w:val="5"/>
    </w:pPr>
    <w:rPr>
      <w:b/>
      <w:bCs/>
      <w:sz w:val="20"/>
    </w:rPr>
  </w:style>
  <w:style w:type="paragraph" w:styleId="Nadpis7">
    <w:name w:val="heading 7"/>
    <w:basedOn w:val="Normln"/>
    <w:next w:val="Normln"/>
    <w:qFormat/>
    <w:rsid w:val="00964E1E"/>
    <w:pPr>
      <w:keepNext/>
      <w:ind w:firstLine="708"/>
      <w:outlineLvl w:val="6"/>
    </w:pPr>
    <w:rPr>
      <w:b/>
    </w:rPr>
  </w:style>
  <w:style w:type="paragraph" w:styleId="Nadpis8">
    <w:name w:val="heading 8"/>
    <w:basedOn w:val="Normln"/>
    <w:next w:val="Normln"/>
    <w:qFormat/>
    <w:rsid w:val="00964E1E"/>
    <w:pPr>
      <w:keepNext/>
      <w:outlineLvl w:val="7"/>
    </w:pPr>
    <w:rPr>
      <w:b/>
      <w:sz w:val="28"/>
      <w:szCs w:val="32"/>
    </w:rPr>
  </w:style>
  <w:style w:type="paragraph" w:styleId="Nadpis9">
    <w:name w:val="heading 9"/>
    <w:basedOn w:val="Normln"/>
    <w:next w:val="Normln"/>
    <w:qFormat/>
    <w:rsid w:val="00964E1E"/>
    <w:pPr>
      <w:keepNext/>
      <w:tabs>
        <w:tab w:val="left" w:pos="540"/>
      </w:tabs>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73F75"/>
    <w:pPr>
      <w:tabs>
        <w:tab w:val="center" w:pos="4536"/>
        <w:tab w:val="right" w:pos="9072"/>
      </w:tabs>
    </w:pPr>
  </w:style>
  <w:style w:type="paragraph" w:styleId="Zkladntextodsazen">
    <w:name w:val="Body Text Indent"/>
    <w:basedOn w:val="Normln"/>
    <w:link w:val="ZkladntextodsazenChar"/>
    <w:rsid w:val="00D73F75"/>
    <w:pPr>
      <w:ind w:left="720"/>
    </w:pPr>
    <w:rPr>
      <w:rFonts w:ascii="Arial" w:hAnsi="Arial" w:cs="Arial"/>
    </w:rPr>
  </w:style>
  <w:style w:type="paragraph" w:styleId="Zpat">
    <w:name w:val="footer"/>
    <w:basedOn w:val="Normln"/>
    <w:link w:val="ZpatChar"/>
    <w:rsid w:val="0078458F"/>
    <w:pPr>
      <w:tabs>
        <w:tab w:val="center" w:pos="4536"/>
        <w:tab w:val="right" w:pos="9072"/>
      </w:tabs>
    </w:pPr>
  </w:style>
  <w:style w:type="character" w:styleId="slostrnky">
    <w:name w:val="page number"/>
    <w:basedOn w:val="Standardnpsmoodstavce"/>
    <w:rsid w:val="007C6848"/>
  </w:style>
  <w:style w:type="paragraph" w:styleId="Textbubliny">
    <w:name w:val="Balloon Text"/>
    <w:basedOn w:val="Normln"/>
    <w:semiHidden/>
    <w:rsid w:val="006D511D"/>
    <w:rPr>
      <w:rFonts w:ascii="Tahoma" w:hAnsi="Tahoma" w:cs="Tahoma"/>
      <w:sz w:val="16"/>
      <w:szCs w:val="16"/>
    </w:rPr>
  </w:style>
  <w:style w:type="table" w:styleId="Mkatabulky">
    <w:name w:val="Table Grid"/>
    <w:basedOn w:val="Normlntabulka"/>
    <w:rsid w:val="00582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1A6BE7"/>
    <w:pPr>
      <w:spacing w:after="120"/>
    </w:pPr>
  </w:style>
  <w:style w:type="paragraph" w:customStyle="1" w:styleId="Zkladntextodsazendek">
    <w:name w:val="Základní text odsazený řádek"/>
    <w:basedOn w:val="Normln"/>
    <w:rsid w:val="002868EA"/>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566E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link w:val="TabulkatuntextnastedChar"/>
    <w:rsid w:val="004566EA"/>
    <w:pPr>
      <w:widowControl w:val="0"/>
      <w:spacing w:before="40" w:after="40"/>
      <w:jc w:val="center"/>
    </w:pPr>
    <w:rPr>
      <w:rFonts w:ascii="Arial" w:hAnsi="Arial"/>
      <w:b/>
      <w:noProof/>
      <w:szCs w:val="20"/>
    </w:rPr>
  </w:style>
  <w:style w:type="paragraph" w:customStyle="1" w:styleId="Tabulkazkladntext">
    <w:name w:val="Tabulka základní text"/>
    <w:basedOn w:val="Normln"/>
    <w:rsid w:val="004566E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566EA"/>
    <w:pPr>
      <w:widowControl w:val="0"/>
      <w:spacing w:before="40" w:after="40"/>
      <w:jc w:val="center"/>
    </w:pPr>
    <w:rPr>
      <w:rFonts w:ascii="Arial" w:hAnsi="Arial"/>
      <w:noProof/>
      <w:szCs w:val="20"/>
    </w:rPr>
  </w:style>
  <w:style w:type="paragraph" w:customStyle="1" w:styleId="Radadvodovzprva">
    <w:name w:val="Rada důvodová zpráva"/>
    <w:basedOn w:val="Normln"/>
    <w:rsid w:val="00C048D5"/>
    <w:pPr>
      <w:widowControl w:val="0"/>
      <w:spacing w:after="480"/>
      <w:jc w:val="both"/>
    </w:pPr>
    <w:rPr>
      <w:rFonts w:ascii="Arial" w:hAnsi="Arial"/>
      <w:b/>
      <w:noProof/>
    </w:rPr>
  </w:style>
  <w:style w:type="paragraph" w:customStyle="1" w:styleId="Radaplohy">
    <w:name w:val="Rada přílohy"/>
    <w:basedOn w:val="Normln"/>
    <w:rsid w:val="00E34645"/>
    <w:pPr>
      <w:widowControl w:val="0"/>
      <w:spacing w:before="480" w:after="120"/>
      <w:jc w:val="both"/>
    </w:pPr>
    <w:rPr>
      <w:rFonts w:ascii="Arial" w:hAnsi="Arial"/>
      <w:szCs w:val="20"/>
      <w:u w:val="single"/>
    </w:rPr>
  </w:style>
  <w:style w:type="character" w:styleId="Hypertextovodkaz">
    <w:name w:val="Hyperlink"/>
    <w:rsid w:val="00B655CA"/>
    <w:rPr>
      <w:color w:val="0000FF"/>
      <w:u w:val="single"/>
    </w:rPr>
  </w:style>
  <w:style w:type="paragraph" w:customStyle="1" w:styleId="Char2">
    <w:name w:val="Char2"/>
    <w:basedOn w:val="Normln"/>
    <w:rsid w:val="005523B3"/>
    <w:pPr>
      <w:spacing w:after="160" w:line="240" w:lineRule="exact"/>
    </w:pPr>
    <w:rPr>
      <w:rFonts w:ascii="Verdana" w:hAnsi="Verdana"/>
      <w:sz w:val="20"/>
      <w:szCs w:val="20"/>
      <w:lang w:val="en-US" w:eastAsia="en-US"/>
    </w:rPr>
  </w:style>
  <w:style w:type="paragraph" w:styleId="Zkladntext3">
    <w:name w:val="Body Text 3"/>
    <w:basedOn w:val="Normln"/>
    <w:rsid w:val="00964E1E"/>
    <w:pPr>
      <w:jc w:val="center"/>
    </w:pPr>
    <w:rPr>
      <w:b/>
      <w:szCs w:val="48"/>
    </w:rPr>
  </w:style>
  <w:style w:type="paragraph" w:styleId="Zkladntext2">
    <w:name w:val="Body Text 2"/>
    <w:basedOn w:val="Normln"/>
    <w:rsid w:val="00964E1E"/>
    <w:pPr>
      <w:jc w:val="both"/>
    </w:pPr>
    <w:rPr>
      <w:bCs/>
    </w:rPr>
  </w:style>
  <w:style w:type="paragraph" w:styleId="Textpoznpodarou">
    <w:name w:val="footnote text"/>
    <w:basedOn w:val="Normln"/>
    <w:semiHidden/>
    <w:rsid w:val="00964E1E"/>
    <w:rPr>
      <w:sz w:val="20"/>
      <w:szCs w:val="20"/>
    </w:rPr>
  </w:style>
  <w:style w:type="paragraph" w:styleId="Zkladntextodsazen3">
    <w:name w:val="Body Text Indent 3"/>
    <w:basedOn w:val="Normln"/>
    <w:rsid w:val="00964E1E"/>
    <w:pPr>
      <w:spacing w:after="120"/>
      <w:ind w:left="283"/>
    </w:pPr>
    <w:rPr>
      <w:sz w:val="16"/>
      <w:szCs w:val="16"/>
    </w:rPr>
  </w:style>
  <w:style w:type="character" w:styleId="Sledovanodkaz">
    <w:name w:val="FollowedHyperlink"/>
    <w:rsid w:val="00964E1E"/>
    <w:rPr>
      <w:color w:val="800080"/>
      <w:u w:val="single"/>
    </w:rPr>
  </w:style>
  <w:style w:type="character" w:customStyle="1" w:styleId="1">
    <w:name w:val="1"/>
    <w:rsid w:val="00964E1E"/>
    <w:rPr>
      <w:rFonts w:ascii="Arial" w:hAnsi="Arial" w:cs="Arial"/>
      <w:b/>
      <w:sz w:val="36"/>
      <w:szCs w:val="52"/>
    </w:rPr>
  </w:style>
  <w:style w:type="paragraph" w:styleId="Obsah1">
    <w:name w:val="toc 1"/>
    <w:basedOn w:val="Normln"/>
    <w:next w:val="Normln"/>
    <w:autoRedefine/>
    <w:semiHidden/>
    <w:rsid w:val="00964E1E"/>
    <w:pPr>
      <w:tabs>
        <w:tab w:val="right" w:leader="dot" w:pos="9628"/>
      </w:tabs>
    </w:pPr>
    <w:rPr>
      <w:rFonts w:ascii="Arial" w:hAnsi="Arial" w:cs="Arial"/>
      <w:b/>
      <w:bCs/>
      <w:caps/>
      <w:noProof/>
    </w:rPr>
  </w:style>
  <w:style w:type="paragraph" w:styleId="Titulek">
    <w:name w:val="caption"/>
    <w:basedOn w:val="Normln"/>
    <w:next w:val="Normln"/>
    <w:qFormat/>
    <w:rsid w:val="000B582B"/>
    <w:rPr>
      <w:b/>
      <w:bCs/>
      <w:sz w:val="20"/>
      <w:szCs w:val="20"/>
    </w:rPr>
  </w:style>
  <w:style w:type="paragraph" w:styleId="Obsah2">
    <w:name w:val="toc 2"/>
    <w:basedOn w:val="Normln"/>
    <w:next w:val="Normln"/>
    <w:autoRedefine/>
    <w:semiHidden/>
    <w:rsid w:val="000B582B"/>
    <w:pPr>
      <w:tabs>
        <w:tab w:val="right" w:leader="dot" w:pos="9628"/>
      </w:tabs>
    </w:pPr>
    <w:rPr>
      <w:rFonts w:ascii="Arial" w:hAnsi="Arial" w:cs="Arial"/>
      <w:b/>
      <w:bCs/>
      <w:noProof/>
    </w:rPr>
  </w:style>
  <w:style w:type="paragraph" w:styleId="Obsah3">
    <w:name w:val="toc 3"/>
    <w:basedOn w:val="Normln"/>
    <w:next w:val="Normln"/>
    <w:autoRedefine/>
    <w:semiHidden/>
    <w:rsid w:val="000B582B"/>
    <w:pPr>
      <w:ind w:left="240"/>
    </w:pPr>
    <w:rPr>
      <w:sz w:val="20"/>
      <w:szCs w:val="20"/>
    </w:rPr>
  </w:style>
  <w:style w:type="paragraph" w:styleId="Obsah4">
    <w:name w:val="toc 4"/>
    <w:basedOn w:val="Normln"/>
    <w:next w:val="Normln"/>
    <w:autoRedefine/>
    <w:semiHidden/>
    <w:rsid w:val="000B582B"/>
    <w:pPr>
      <w:ind w:left="480"/>
    </w:pPr>
    <w:rPr>
      <w:sz w:val="20"/>
      <w:szCs w:val="20"/>
    </w:rPr>
  </w:style>
  <w:style w:type="paragraph" w:styleId="Obsah5">
    <w:name w:val="toc 5"/>
    <w:basedOn w:val="Normln"/>
    <w:next w:val="Normln"/>
    <w:autoRedefine/>
    <w:semiHidden/>
    <w:rsid w:val="000B582B"/>
    <w:pPr>
      <w:ind w:left="720"/>
    </w:pPr>
    <w:rPr>
      <w:sz w:val="20"/>
      <w:szCs w:val="20"/>
    </w:rPr>
  </w:style>
  <w:style w:type="paragraph" w:styleId="Obsah6">
    <w:name w:val="toc 6"/>
    <w:basedOn w:val="Normln"/>
    <w:next w:val="Normln"/>
    <w:autoRedefine/>
    <w:semiHidden/>
    <w:rsid w:val="000B582B"/>
    <w:pPr>
      <w:ind w:left="960"/>
    </w:pPr>
    <w:rPr>
      <w:sz w:val="20"/>
      <w:szCs w:val="20"/>
    </w:rPr>
  </w:style>
  <w:style w:type="paragraph" w:styleId="Obsah7">
    <w:name w:val="toc 7"/>
    <w:basedOn w:val="Normln"/>
    <w:next w:val="Normln"/>
    <w:autoRedefine/>
    <w:semiHidden/>
    <w:rsid w:val="000B582B"/>
    <w:pPr>
      <w:ind w:left="1200"/>
    </w:pPr>
    <w:rPr>
      <w:sz w:val="20"/>
      <w:szCs w:val="20"/>
    </w:rPr>
  </w:style>
  <w:style w:type="paragraph" w:styleId="Obsah8">
    <w:name w:val="toc 8"/>
    <w:basedOn w:val="Normln"/>
    <w:next w:val="Normln"/>
    <w:autoRedefine/>
    <w:semiHidden/>
    <w:rsid w:val="000B582B"/>
    <w:pPr>
      <w:ind w:left="1440"/>
    </w:pPr>
    <w:rPr>
      <w:sz w:val="20"/>
      <w:szCs w:val="20"/>
    </w:rPr>
  </w:style>
  <w:style w:type="paragraph" w:styleId="Obsah9">
    <w:name w:val="toc 9"/>
    <w:basedOn w:val="Normln"/>
    <w:next w:val="Normln"/>
    <w:autoRedefine/>
    <w:semiHidden/>
    <w:rsid w:val="000B582B"/>
    <w:pPr>
      <w:ind w:left="1680"/>
    </w:pPr>
    <w:rPr>
      <w:sz w:val="20"/>
      <w:szCs w:val="20"/>
    </w:rPr>
  </w:style>
  <w:style w:type="paragraph" w:styleId="Textkomente">
    <w:name w:val="annotation text"/>
    <w:basedOn w:val="Normln"/>
    <w:semiHidden/>
    <w:rsid w:val="000B582B"/>
    <w:rPr>
      <w:sz w:val="20"/>
      <w:szCs w:val="20"/>
    </w:rPr>
  </w:style>
  <w:style w:type="paragraph" w:styleId="Pedmtkomente">
    <w:name w:val="annotation subject"/>
    <w:basedOn w:val="Textkomente"/>
    <w:next w:val="Textkomente"/>
    <w:semiHidden/>
    <w:rsid w:val="000B582B"/>
    <w:rPr>
      <w:b/>
      <w:bCs/>
    </w:rPr>
  </w:style>
  <w:style w:type="character" w:styleId="Odkaznakoment">
    <w:name w:val="annotation reference"/>
    <w:semiHidden/>
    <w:rsid w:val="00AB5C6D"/>
    <w:rPr>
      <w:sz w:val="16"/>
      <w:szCs w:val="16"/>
    </w:rPr>
  </w:style>
  <w:style w:type="character" w:customStyle="1" w:styleId="TabulkatuntextnastedChar">
    <w:name w:val="Tabulka tučný text na střed Char"/>
    <w:link w:val="Tabulkatuntextnasted"/>
    <w:rsid w:val="009C0BCE"/>
    <w:rPr>
      <w:rFonts w:ascii="Arial" w:hAnsi="Arial"/>
      <w:b/>
      <w:noProof/>
      <w:sz w:val="24"/>
      <w:lang w:val="cs-CZ" w:eastAsia="cs-CZ" w:bidi="ar-SA"/>
    </w:rPr>
  </w:style>
  <w:style w:type="paragraph" w:customStyle="1" w:styleId="slo1text">
    <w:name w:val="Číslo1 text"/>
    <w:basedOn w:val="Normln"/>
    <w:rsid w:val="003E30F9"/>
    <w:pPr>
      <w:widowControl w:val="0"/>
      <w:tabs>
        <w:tab w:val="num" w:pos="567"/>
      </w:tabs>
      <w:spacing w:after="120"/>
      <w:ind w:left="567" w:hanging="567"/>
      <w:jc w:val="both"/>
      <w:outlineLvl w:val="0"/>
    </w:pPr>
    <w:rPr>
      <w:rFonts w:ascii="Arial" w:hAnsi="Arial"/>
      <w:noProof/>
      <w:szCs w:val="20"/>
    </w:rPr>
  </w:style>
  <w:style w:type="paragraph" w:customStyle="1" w:styleId="Odsazen1text">
    <w:name w:val="Odsazený1 text"/>
    <w:basedOn w:val="Normln"/>
    <w:rsid w:val="003E30F9"/>
    <w:pPr>
      <w:widowControl w:val="0"/>
      <w:spacing w:after="120"/>
      <w:ind w:left="567"/>
      <w:jc w:val="both"/>
    </w:pPr>
    <w:rPr>
      <w:rFonts w:ascii="Arial" w:hAnsi="Arial"/>
      <w:noProof/>
      <w:szCs w:val="20"/>
    </w:rPr>
  </w:style>
  <w:style w:type="character" w:customStyle="1" w:styleId="KurzvatextChar">
    <w:name w:val="Kurzíva text Char"/>
    <w:link w:val="Kurzvatext"/>
    <w:rsid w:val="003E30F9"/>
    <w:rPr>
      <w:rFonts w:ascii="Arial" w:hAnsi="Arial"/>
      <w:i/>
      <w:noProof w:val="0"/>
      <w:sz w:val="24"/>
      <w:szCs w:val="24"/>
      <w:lang w:val="cs-CZ" w:eastAsia="cs-CZ" w:bidi="ar-SA"/>
    </w:rPr>
  </w:style>
  <w:style w:type="character" w:customStyle="1" w:styleId="Nadpis3Char">
    <w:name w:val="Nadpis 3 Char"/>
    <w:link w:val="Nadpis3"/>
    <w:rsid w:val="00780F1D"/>
    <w:rPr>
      <w:rFonts w:ascii="Arial" w:hAnsi="Arial" w:cs="Arial"/>
      <w:b/>
      <w:bCs/>
    </w:rPr>
  </w:style>
  <w:style w:type="character" w:customStyle="1" w:styleId="ZpatChar">
    <w:name w:val="Zápatí Char"/>
    <w:link w:val="Zpat"/>
    <w:rsid w:val="00780F1D"/>
    <w:rPr>
      <w:sz w:val="24"/>
      <w:szCs w:val="24"/>
    </w:rPr>
  </w:style>
  <w:style w:type="paragraph" w:customStyle="1" w:styleId="Pipomnky">
    <w:name w:val="Připomínky"/>
    <w:basedOn w:val="Zkladntext"/>
    <w:rsid w:val="002200D5"/>
    <w:pPr>
      <w:jc w:val="both"/>
    </w:pPr>
    <w:rPr>
      <w:rFonts w:ascii="Arial" w:hAnsi="Arial" w:cs="Arial"/>
    </w:rPr>
  </w:style>
  <w:style w:type="paragraph" w:customStyle="1" w:styleId="Kurzvatext">
    <w:name w:val="Kurzíva text"/>
    <w:basedOn w:val="Normln"/>
    <w:link w:val="KurzvatextChar"/>
    <w:rsid w:val="002200D5"/>
    <w:pPr>
      <w:widowControl w:val="0"/>
      <w:spacing w:after="120"/>
      <w:jc w:val="both"/>
    </w:pPr>
    <w:rPr>
      <w:rFonts w:ascii="Arial" w:hAnsi="Arial"/>
      <w:i/>
    </w:rPr>
  </w:style>
  <w:style w:type="character" w:customStyle="1" w:styleId="ZkladntextChar">
    <w:name w:val="Základní text Char"/>
    <w:link w:val="Zkladntext"/>
    <w:rsid w:val="002200D5"/>
    <w:rPr>
      <w:sz w:val="24"/>
      <w:szCs w:val="24"/>
    </w:rPr>
  </w:style>
  <w:style w:type="paragraph" w:styleId="Odstavecseseznamem">
    <w:name w:val="List Paragraph"/>
    <w:basedOn w:val="Normln"/>
    <w:uiPriority w:val="34"/>
    <w:qFormat/>
    <w:rsid w:val="001D2E59"/>
    <w:pPr>
      <w:ind w:left="720"/>
      <w:contextualSpacing/>
    </w:pPr>
  </w:style>
  <w:style w:type="character" w:customStyle="1" w:styleId="ZkladntextodsazenChar">
    <w:name w:val="Základní text odsazený Char"/>
    <w:link w:val="Zkladntextodsazen"/>
    <w:rsid w:val="00FB382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382F"/>
    <w:rPr>
      <w:sz w:val="24"/>
      <w:szCs w:val="24"/>
    </w:rPr>
  </w:style>
  <w:style w:type="paragraph" w:styleId="Nadpis1">
    <w:name w:val="heading 1"/>
    <w:basedOn w:val="Normln"/>
    <w:next w:val="Normln"/>
    <w:qFormat/>
    <w:rsid w:val="00D73F75"/>
    <w:pPr>
      <w:keepNext/>
      <w:jc w:val="center"/>
      <w:outlineLvl w:val="0"/>
    </w:pPr>
    <w:rPr>
      <w:rFonts w:ascii="Arial" w:hAnsi="Arial" w:cs="Arial"/>
      <w:b/>
      <w:bCs/>
    </w:rPr>
  </w:style>
  <w:style w:type="paragraph" w:styleId="Nadpis2">
    <w:name w:val="heading 2"/>
    <w:basedOn w:val="Normln"/>
    <w:next w:val="Normln"/>
    <w:qFormat/>
    <w:rsid w:val="00D73F75"/>
    <w:pPr>
      <w:keepNext/>
      <w:outlineLvl w:val="1"/>
    </w:pPr>
    <w:rPr>
      <w:rFonts w:ascii="Arial" w:hAnsi="Arial" w:cs="Arial"/>
      <w:b/>
      <w:bCs/>
    </w:rPr>
  </w:style>
  <w:style w:type="paragraph" w:styleId="Nadpis3">
    <w:name w:val="heading 3"/>
    <w:basedOn w:val="Normln"/>
    <w:next w:val="Normln"/>
    <w:link w:val="Nadpis3Char"/>
    <w:qFormat/>
    <w:rsid w:val="00964E1E"/>
    <w:pPr>
      <w:keepNext/>
      <w:outlineLvl w:val="2"/>
    </w:pPr>
    <w:rPr>
      <w:rFonts w:ascii="Arial" w:hAnsi="Arial" w:cs="Arial"/>
      <w:b/>
      <w:bCs/>
      <w:sz w:val="20"/>
      <w:szCs w:val="20"/>
    </w:rPr>
  </w:style>
  <w:style w:type="paragraph" w:styleId="Nadpis4">
    <w:name w:val="heading 4"/>
    <w:basedOn w:val="Normln"/>
    <w:next w:val="Normln"/>
    <w:qFormat/>
    <w:rsid w:val="00964E1E"/>
    <w:pPr>
      <w:keepNext/>
      <w:outlineLvl w:val="3"/>
    </w:pPr>
    <w:rPr>
      <w:b/>
      <w:bCs/>
    </w:rPr>
  </w:style>
  <w:style w:type="paragraph" w:styleId="Nadpis5">
    <w:name w:val="heading 5"/>
    <w:basedOn w:val="Normln"/>
    <w:next w:val="Normln"/>
    <w:qFormat/>
    <w:rsid w:val="00964E1E"/>
    <w:pPr>
      <w:keepNext/>
      <w:jc w:val="both"/>
      <w:outlineLvl w:val="4"/>
    </w:pPr>
    <w:rPr>
      <w:b/>
    </w:rPr>
  </w:style>
  <w:style w:type="paragraph" w:styleId="Nadpis6">
    <w:name w:val="heading 6"/>
    <w:basedOn w:val="Normln"/>
    <w:next w:val="Normln"/>
    <w:qFormat/>
    <w:rsid w:val="00964E1E"/>
    <w:pPr>
      <w:keepNext/>
      <w:jc w:val="both"/>
      <w:outlineLvl w:val="5"/>
    </w:pPr>
    <w:rPr>
      <w:b/>
      <w:bCs/>
      <w:sz w:val="20"/>
    </w:rPr>
  </w:style>
  <w:style w:type="paragraph" w:styleId="Nadpis7">
    <w:name w:val="heading 7"/>
    <w:basedOn w:val="Normln"/>
    <w:next w:val="Normln"/>
    <w:qFormat/>
    <w:rsid w:val="00964E1E"/>
    <w:pPr>
      <w:keepNext/>
      <w:ind w:firstLine="708"/>
      <w:outlineLvl w:val="6"/>
    </w:pPr>
    <w:rPr>
      <w:b/>
    </w:rPr>
  </w:style>
  <w:style w:type="paragraph" w:styleId="Nadpis8">
    <w:name w:val="heading 8"/>
    <w:basedOn w:val="Normln"/>
    <w:next w:val="Normln"/>
    <w:qFormat/>
    <w:rsid w:val="00964E1E"/>
    <w:pPr>
      <w:keepNext/>
      <w:outlineLvl w:val="7"/>
    </w:pPr>
    <w:rPr>
      <w:b/>
      <w:sz w:val="28"/>
      <w:szCs w:val="32"/>
    </w:rPr>
  </w:style>
  <w:style w:type="paragraph" w:styleId="Nadpis9">
    <w:name w:val="heading 9"/>
    <w:basedOn w:val="Normln"/>
    <w:next w:val="Normln"/>
    <w:qFormat/>
    <w:rsid w:val="00964E1E"/>
    <w:pPr>
      <w:keepNext/>
      <w:tabs>
        <w:tab w:val="left" w:pos="540"/>
      </w:tabs>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73F75"/>
    <w:pPr>
      <w:tabs>
        <w:tab w:val="center" w:pos="4536"/>
        <w:tab w:val="right" w:pos="9072"/>
      </w:tabs>
    </w:pPr>
  </w:style>
  <w:style w:type="paragraph" w:styleId="Zkladntextodsazen">
    <w:name w:val="Body Text Indent"/>
    <w:basedOn w:val="Normln"/>
    <w:link w:val="ZkladntextodsazenChar"/>
    <w:rsid w:val="00D73F75"/>
    <w:pPr>
      <w:ind w:left="720"/>
    </w:pPr>
    <w:rPr>
      <w:rFonts w:ascii="Arial" w:hAnsi="Arial" w:cs="Arial"/>
    </w:rPr>
  </w:style>
  <w:style w:type="paragraph" w:styleId="Zpat">
    <w:name w:val="footer"/>
    <w:basedOn w:val="Normln"/>
    <w:link w:val="ZpatChar"/>
    <w:rsid w:val="0078458F"/>
    <w:pPr>
      <w:tabs>
        <w:tab w:val="center" w:pos="4536"/>
        <w:tab w:val="right" w:pos="9072"/>
      </w:tabs>
    </w:pPr>
  </w:style>
  <w:style w:type="character" w:styleId="slostrnky">
    <w:name w:val="page number"/>
    <w:basedOn w:val="Standardnpsmoodstavce"/>
    <w:rsid w:val="007C6848"/>
  </w:style>
  <w:style w:type="paragraph" w:styleId="Textbubliny">
    <w:name w:val="Balloon Text"/>
    <w:basedOn w:val="Normln"/>
    <w:semiHidden/>
    <w:rsid w:val="006D511D"/>
    <w:rPr>
      <w:rFonts w:ascii="Tahoma" w:hAnsi="Tahoma" w:cs="Tahoma"/>
      <w:sz w:val="16"/>
      <w:szCs w:val="16"/>
    </w:rPr>
  </w:style>
  <w:style w:type="table" w:styleId="Mkatabulky">
    <w:name w:val="Table Grid"/>
    <w:basedOn w:val="Normlntabulka"/>
    <w:rsid w:val="00582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1A6BE7"/>
    <w:pPr>
      <w:spacing w:after="120"/>
    </w:pPr>
  </w:style>
  <w:style w:type="paragraph" w:customStyle="1" w:styleId="Zkladntextodsazendek">
    <w:name w:val="Základní text odsazený řádek"/>
    <w:basedOn w:val="Normln"/>
    <w:rsid w:val="002868EA"/>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566E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link w:val="TabulkatuntextnastedChar"/>
    <w:rsid w:val="004566EA"/>
    <w:pPr>
      <w:widowControl w:val="0"/>
      <w:spacing w:before="40" w:after="40"/>
      <w:jc w:val="center"/>
    </w:pPr>
    <w:rPr>
      <w:rFonts w:ascii="Arial" w:hAnsi="Arial"/>
      <w:b/>
      <w:noProof/>
      <w:szCs w:val="20"/>
    </w:rPr>
  </w:style>
  <w:style w:type="paragraph" w:customStyle="1" w:styleId="Tabulkazkladntext">
    <w:name w:val="Tabulka základní text"/>
    <w:basedOn w:val="Normln"/>
    <w:rsid w:val="004566E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566EA"/>
    <w:pPr>
      <w:widowControl w:val="0"/>
      <w:spacing w:before="40" w:after="40"/>
      <w:jc w:val="center"/>
    </w:pPr>
    <w:rPr>
      <w:rFonts w:ascii="Arial" w:hAnsi="Arial"/>
      <w:noProof/>
      <w:szCs w:val="20"/>
    </w:rPr>
  </w:style>
  <w:style w:type="paragraph" w:customStyle="1" w:styleId="Radadvodovzprva">
    <w:name w:val="Rada důvodová zpráva"/>
    <w:basedOn w:val="Normln"/>
    <w:rsid w:val="00C048D5"/>
    <w:pPr>
      <w:widowControl w:val="0"/>
      <w:spacing w:after="480"/>
      <w:jc w:val="both"/>
    </w:pPr>
    <w:rPr>
      <w:rFonts w:ascii="Arial" w:hAnsi="Arial"/>
      <w:b/>
      <w:noProof/>
    </w:rPr>
  </w:style>
  <w:style w:type="paragraph" w:customStyle="1" w:styleId="Radaplohy">
    <w:name w:val="Rada přílohy"/>
    <w:basedOn w:val="Normln"/>
    <w:rsid w:val="00E34645"/>
    <w:pPr>
      <w:widowControl w:val="0"/>
      <w:spacing w:before="480" w:after="120"/>
      <w:jc w:val="both"/>
    </w:pPr>
    <w:rPr>
      <w:rFonts w:ascii="Arial" w:hAnsi="Arial"/>
      <w:szCs w:val="20"/>
      <w:u w:val="single"/>
    </w:rPr>
  </w:style>
  <w:style w:type="character" w:styleId="Hypertextovodkaz">
    <w:name w:val="Hyperlink"/>
    <w:rsid w:val="00B655CA"/>
    <w:rPr>
      <w:color w:val="0000FF"/>
      <w:u w:val="single"/>
    </w:rPr>
  </w:style>
  <w:style w:type="paragraph" w:customStyle="1" w:styleId="Char2">
    <w:name w:val="Char2"/>
    <w:basedOn w:val="Normln"/>
    <w:rsid w:val="005523B3"/>
    <w:pPr>
      <w:spacing w:after="160" w:line="240" w:lineRule="exact"/>
    </w:pPr>
    <w:rPr>
      <w:rFonts w:ascii="Verdana" w:hAnsi="Verdana"/>
      <w:sz w:val="20"/>
      <w:szCs w:val="20"/>
      <w:lang w:val="en-US" w:eastAsia="en-US"/>
    </w:rPr>
  </w:style>
  <w:style w:type="paragraph" w:styleId="Zkladntext3">
    <w:name w:val="Body Text 3"/>
    <w:basedOn w:val="Normln"/>
    <w:rsid w:val="00964E1E"/>
    <w:pPr>
      <w:jc w:val="center"/>
    </w:pPr>
    <w:rPr>
      <w:b/>
      <w:szCs w:val="48"/>
    </w:rPr>
  </w:style>
  <w:style w:type="paragraph" w:styleId="Zkladntext2">
    <w:name w:val="Body Text 2"/>
    <w:basedOn w:val="Normln"/>
    <w:rsid w:val="00964E1E"/>
    <w:pPr>
      <w:jc w:val="both"/>
    </w:pPr>
    <w:rPr>
      <w:bCs/>
    </w:rPr>
  </w:style>
  <w:style w:type="paragraph" w:styleId="Textpoznpodarou">
    <w:name w:val="footnote text"/>
    <w:basedOn w:val="Normln"/>
    <w:semiHidden/>
    <w:rsid w:val="00964E1E"/>
    <w:rPr>
      <w:sz w:val="20"/>
      <w:szCs w:val="20"/>
    </w:rPr>
  </w:style>
  <w:style w:type="paragraph" w:styleId="Zkladntextodsazen3">
    <w:name w:val="Body Text Indent 3"/>
    <w:basedOn w:val="Normln"/>
    <w:rsid w:val="00964E1E"/>
    <w:pPr>
      <w:spacing w:after="120"/>
      <w:ind w:left="283"/>
    </w:pPr>
    <w:rPr>
      <w:sz w:val="16"/>
      <w:szCs w:val="16"/>
    </w:rPr>
  </w:style>
  <w:style w:type="character" w:styleId="Sledovanodkaz">
    <w:name w:val="FollowedHyperlink"/>
    <w:rsid w:val="00964E1E"/>
    <w:rPr>
      <w:color w:val="800080"/>
      <w:u w:val="single"/>
    </w:rPr>
  </w:style>
  <w:style w:type="character" w:customStyle="1" w:styleId="1">
    <w:name w:val="1"/>
    <w:rsid w:val="00964E1E"/>
    <w:rPr>
      <w:rFonts w:ascii="Arial" w:hAnsi="Arial" w:cs="Arial"/>
      <w:b/>
      <w:sz w:val="36"/>
      <w:szCs w:val="52"/>
    </w:rPr>
  </w:style>
  <w:style w:type="paragraph" w:styleId="Obsah1">
    <w:name w:val="toc 1"/>
    <w:basedOn w:val="Normln"/>
    <w:next w:val="Normln"/>
    <w:autoRedefine/>
    <w:semiHidden/>
    <w:rsid w:val="00964E1E"/>
    <w:pPr>
      <w:tabs>
        <w:tab w:val="right" w:leader="dot" w:pos="9628"/>
      </w:tabs>
    </w:pPr>
    <w:rPr>
      <w:rFonts w:ascii="Arial" w:hAnsi="Arial" w:cs="Arial"/>
      <w:b/>
      <w:bCs/>
      <w:caps/>
      <w:noProof/>
    </w:rPr>
  </w:style>
  <w:style w:type="paragraph" w:styleId="Titulek">
    <w:name w:val="caption"/>
    <w:basedOn w:val="Normln"/>
    <w:next w:val="Normln"/>
    <w:qFormat/>
    <w:rsid w:val="000B582B"/>
    <w:rPr>
      <w:b/>
      <w:bCs/>
      <w:sz w:val="20"/>
      <w:szCs w:val="20"/>
    </w:rPr>
  </w:style>
  <w:style w:type="paragraph" w:styleId="Obsah2">
    <w:name w:val="toc 2"/>
    <w:basedOn w:val="Normln"/>
    <w:next w:val="Normln"/>
    <w:autoRedefine/>
    <w:semiHidden/>
    <w:rsid w:val="000B582B"/>
    <w:pPr>
      <w:tabs>
        <w:tab w:val="right" w:leader="dot" w:pos="9628"/>
      </w:tabs>
    </w:pPr>
    <w:rPr>
      <w:rFonts w:ascii="Arial" w:hAnsi="Arial" w:cs="Arial"/>
      <w:b/>
      <w:bCs/>
      <w:noProof/>
    </w:rPr>
  </w:style>
  <w:style w:type="paragraph" w:styleId="Obsah3">
    <w:name w:val="toc 3"/>
    <w:basedOn w:val="Normln"/>
    <w:next w:val="Normln"/>
    <w:autoRedefine/>
    <w:semiHidden/>
    <w:rsid w:val="000B582B"/>
    <w:pPr>
      <w:ind w:left="240"/>
    </w:pPr>
    <w:rPr>
      <w:sz w:val="20"/>
      <w:szCs w:val="20"/>
    </w:rPr>
  </w:style>
  <w:style w:type="paragraph" w:styleId="Obsah4">
    <w:name w:val="toc 4"/>
    <w:basedOn w:val="Normln"/>
    <w:next w:val="Normln"/>
    <w:autoRedefine/>
    <w:semiHidden/>
    <w:rsid w:val="000B582B"/>
    <w:pPr>
      <w:ind w:left="480"/>
    </w:pPr>
    <w:rPr>
      <w:sz w:val="20"/>
      <w:szCs w:val="20"/>
    </w:rPr>
  </w:style>
  <w:style w:type="paragraph" w:styleId="Obsah5">
    <w:name w:val="toc 5"/>
    <w:basedOn w:val="Normln"/>
    <w:next w:val="Normln"/>
    <w:autoRedefine/>
    <w:semiHidden/>
    <w:rsid w:val="000B582B"/>
    <w:pPr>
      <w:ind w:left="720"/>
    </w:pPr>
    <w:rPr>
      <w:sz w:val="20"/>
      <w:szCs w:val="20"/>
    </w:rPr>
  </w:style>
  <w:style w:type="paragraph" w:styleId="Obsah6">
    <w:name w:val="toc 6"/>
    <w:basedOn w:val="Normln"/>
    <w:next w:val="Normln"/>
    <w:autoRedefine/>
    <w:semiHidden/>
    <w:rsid w:val="000B582B"/>
    <w:pPr>
      <w:ind w:left="960"/>
    </w:pPr>
    <w:rPr>
      <w:sz w:val="20"/>
      <w:szCs w:val="20"/>
    </w:rPr>
  </w:style>
  <w:style w:type="paragraph" w:styleId="Obsah7">
    <w:name w:val="toc 7"/>
    <w:basedOn w:val="Normln"/>
    <w:next w:val="Normln"/>
    <w:autoRedefine/>
    <w:semiHidden/>
    <w:rsid w:val="000B582B"/>
    <w:pPr>
      <w:ind w:left="1200"/>
    </w:pPr>
    <w:rPr>
      <w:sz w:val="20"/>
      <w:szCs w:val="20"/>
    </w:rPr>
  </w:style>
  <w:style w:type="paragraph" w:styleId="Obsah8">
    <w:name w:val="toc 8"/>
    <w:basedOn w:val="Normln"/>
    <w:next w:val="Normln"/>
    <w:autoRedefine/>
    <w:semiHidden/>
    <w:rsid w:val="000B582B"/>
    <w:pPr>
      <w:ind w:left="1440"/>
    </w:pPr>
    <w:rPr>
      <w:sz w:val="20"/>
      <w:szCs w:val="20"/>
    </w:rPr>
  </w:style>
  <w:style w:type="paragraph" w:styleId="Obsah9">
    <w:name w:val="toc 9"/>
    <w:basedOn w:val="Normln"/>
    <w:next w:val="Normln"/>
    <w:autoRedefine/>
    <w:semiHidden/>
    <w:rsid w:val="000B582B"/>
    <w:pPr>
      <w:ind w:left="1680"/>
    </w:pPr>
    <w:rPr>
      <w:sz w:val="20"/>
      <w:szCs w:val="20"/>
    </w:rPr>
  </w:style>
  <w:style w:type="paragraph" w:styleId="Textkomente">
    <w:name w:val="annotation text"/>
    <w:basedOn w:val="Normln"/>
    <w:semiHidden/>
    <w:rsid w:val="000B582B"/>
    <w:rPr>
      <w:sz w:val="20"/>
      <w:szCs w:val="20"/>
    </w:rPr>
  </w:style>
  <w:style w:type="paragraph" w:styleId="Pedmtkomente">
    <w:name w:val="annotation subject"/>
    <w:basedOn w:val="Textkomente"/>
    <w:next w:val="Textkomente"/>
    <w:semiHidden/>
    <w:rsid w:val="000B582B"/>
    <w:rPr>
      <w:b/>
      <w:bCs/>
    </w:rPr>
  </w:style>
  <w:style w:type="character" w:styleId="Odkaznakoment">
    <w:name w:val="annotation reference"/>
    <w:semiHidden/>
    <w:rsid w:val="00AB5C6D"/>
    <w:rPr>
      <w:sz w:val="16"/>
      <w:szCs w:val="16"/>
    </w:rPr>
  </w:style>
  <w:style w:type="character" w:customStyle="1" w:styleId="TabulkatuntextnastedChar">
    <w:name w:val="Tabulka tučný text na střed Char"/>
    <w:link w:val="Tabulkatuntextnasted"/>
    <w:rsid w:val="009C0BCE"/>
    <w:rPr>
      <w:rFonts w:ascii="Arial" w:hAnsi="Arial"/>
      <w:b/>
      <w:noProof/>
      <w:sz w:val="24"/>
      <w:lang w:val="cs-CZ" w:eastAsia="cs-CZ" w:bidi="ar-SA"/>
    </w:rPr>
  </w:style>
  <w:style w:type="paragraph" w:customStyle="1" w:styleId="slo1text">
    <w:name w:val="Číslo1 text"/>
    <w:basedOn w:val="Normln"/>
    <w:rsid w:val="003E30F9"/>
    <w:pPr>
      <w:widowControl w:val="0"/>
      <w:tabs>
        <w:tab w:val="num" w:pos="567"/>
      </w:tabs>
      <w:spacing w:after="120"/>
      <w:ind w:left="567" w:hanging="567"/>
      <w:jc w:val="both"/>
      <w:outlineLvl w:val="0"/>
    </w:pPr>
    <w:rPr>
      <w:rFonts w:ascii="Arial" w:hAnsi="Arial"/>
      <w:noProof/>
      <w:szCs w:val="20"/>
    </w:rPr>
  </w:style>
  <w:style w:type="paragraph" w:customStyle="1" w:styleId="Odsazen1text">
    <w:name w:val="Odsazený1 text"/>
    <w:basedOn w:val="Normln"/>
    <w:rsid w:val="003E30F9"/>
    <w:pPr>
      <w:widowControl w:val="0"/>
      <w:spacing w:after="120"/>
      <w:ind w:left="567"/>
      <w:jc w:val="both"/>
    </w:pPr>
    <w:rPr>
      <w:rFonts w:ascii="Arial" w:hAnsi="Arial"/>
      <w:noProof/>
      <w:szCs w:val="20"/>
    </w:rPr>
  </w:style>
  <w:style w:type="character" w:customStyle="1" w:styleId="KurzvatextChar">
    <w:name w:val="Kurzíva text Char"/>
    <w:link w:val="Kurzvatext"/>
    <w:rsid w:val="003E30F9"/>
    <w:rPr>
      <w:rFonts w:ascii="Arial" w:hAnsi="Arial"/>
      <w:i/>
      <w:noProof w:val="0"/>
      <w:sz w:val="24"/>
      <w:szCs w:val="24"/>
      <w:lang w:val="cs-CZ" w:eastAsia="cs-CZ" w:bidi="ar-SA"/>
    </w:rPr>
  </w:style>
  <w:style w:type="character" w:customStyle="1" w:styleId="Nadpis3Char">
    <w:name w:val="Nadpis 3 Char"/>
    <w:link w:val="Nadpis3"/>
    <w:rsid w:val="00780F1D"/>
    <w:rPr>
      <w:rFonts w:ascii="Arial" w:hAnsi="Arial" w:cs="Arial"/>
      <w:b/>
      <w:bCs/>
    </w:rPr>
  </w:style>
  <w:style w:type="character" w:customStyle="1" w:styleId="ZpatChar">
    <w:name w:val="Zápatí Char"/>
    <w:link w:val="Zpat"/>
    <w:rsid w:val="00780F1D"/>
    <w:rPr>
      <w:sz w:val="24"/>
      <w:szCs w:val="24"/>
    </w:rPr>
  </w:style>
  <w:style w:type="paragraph" w:customStyle="1" w:styleId="Pipomnky">
    <w:name w:val="Připomínky"/>
    <w:basedOn w:val="Zkladntext"/>
    <w:rsid w:val="002200D5"/>
    <w:pPr>
      <w:jc w:val="both"/>
    </w:pPr>
    <w:rPr>
      <w:rFonts w:ascii="Arial" w:hAnsi="Arial" w:cs="Arial"/>
    </w:rPr>
  </w:style>
  <w:style w:type="paragraph" w:customStyle="1" w:styleId="Kurzvatext">
    <w:name w:val="Kurzíva text"/>
    <w:basedOn w:val="Normln"/>
    <w:link w:val="KurzvatextChar"/>
    <w:rsid w:val="002200D5"/>
    <w:pPr>
      <w:widowControl w:val="0"/>
      <w:spacing w:after="120"/>
      <w:jc w:val="both"/>
    </w:pPr>
    <w:rPr>
      <w:rFonts w:ascii="Arial" w:hAnsi="Arial"/>
      <w:i/>
    </w:rPr>
  </w:style>
  <w:style w:type="character" w:customStyle="1" w:styleId="ZkladntextChar">
    <w:name w:val="Základní text Char"/>
    <w:link w:val="Zkladntext"/>
    <w:rsid w:val="002200D5"/>
    <w:rPr>
      <w:sz w:val="24"/>
      <w:szCs w:val="24"/>
    </w:rPr>
  </w:style>
  <w:style w:type="paragraph" w:styleId="Odstavecseseznamem">
    <w:name w:val="List Paragraph"/>
    <w:basedOn w:val="Normln"/>
    <w:uiPriority w:val="34"/>
    <w:qFormat/>
    <w:rsid w:val="001D2E59"/>
    <w:pPr>
      <w:ind w:left="720"/>
      <w:contextualSpacing/>
    </w:pPr>
  </w:style>
  <w:style w:type="character" w:customStyle="1" w:styleId="ZkladntextodsazenChar">
    <w:name w:val="Základní text odsazený Char"/>
    <w:link w:val="Zkladntextodsazen"/>
    <w:rsid w:val="00FB382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3578">
      <w:bodyDiv w:val="1"/>
      <w:marLeft w:val="0"/>
      <w:marRight w:val="0"/>
      <w:marTop w:val="0"/>
      <w:marBottom w:val="0"/>
      <w:divBdr>
        <w:top w:val="none" w:sz="0" w:space="0" w:color="auto"/>
        <w:left w:val="none" w:sz="0" w:space="0" w:color="auto"/>
        <w:bottom w:val="none" w:sz="0" w:space="0" w:color="auto"/>
        <w:right w:val="none" w:sz="0" w:space="0" w:color="auto"/>
      </w:divBdr>
      <w:divsChild>
        <w:div w:id="50420529">
          <w:marLeft w:val="0"/>
          <w:marRight w:val="0"/>
          <w:marTop w:val="0"/>
          <w:marBottom w:val="0"/>
          <w:divBdr>
            <w:top w:val="none" w:sz="0" w:space="0" w:color="auto"/>
            <w:left w:val="none" w:sz="0" w:space="0" w:color="auto"/>
            <w:bottom w:val="none" w:sz="0" w:space="0" w:color="auto"/>
            <w:right w:val="none" w:sz="0" w:space="0" w:color="auto"/>
          </w:divBdr>
        </w:div>
        <w:div w:id="1095520578">
          <w:marLeft w:val="0"/>
          <w:marRight w:val="0"/>
          <w:marTop w:val="0"/>
          <w:marBottom w:val="0"/>
          <w:divBdr>
            <w:top w:val="none" w:sz="0" w:space="0" w:color="auto"/>
            <w:left w:val="none" w:sz="0" w:space="0" w:color="auto"/>
            <w:bottom w:val="none" w:sz="0" w:space="0" w:color="auto"/>
            <w:right w:val="none" w:sz="0" w:space="0" w:color="auto"/>
          </w:divBdr>
        </w:div>
      </w:divsChild>
    </w:div>
    <w:div w:id="689381025">
      <w:bodyDiv w:val="1"/>
      <w:marLeft w:val="0"/>
      <w:marRight w:val="0"/>
      <w:marTop w:val="0"/>
      <w:marBottom w:val="0"/>
      <w:divBdr>
        <w:top w:val="none" w:sz="0" w:space="0" w:color="auto"/>
        <w:left w:val="none" w:sz="0" w:space="0" w:color="auto"/>
        <w:bottom w:val="none" w:sz="0" w:space="0" w:color="auto"/>
        <w:right w:val="none" w:sz="0" w:space="0" w:color="auto"/>
      </w:divBdr>
    </w:div>
    <w:div w:id="1151487678">
      <w:bodyDiv w:val="1"/>
      <w:marLeft w:val="150"/>
      <w:marRight w:val="0"/>
      <w:marTop w:val="375"/>
      <w:marBottom w:val="0"/>
      <w:divBdr>
        <w:top w:val="none" w:sz="0" w:space="0" w:color="auto"/>
        <w:left w:val="none" w:sz="0" w:space="0" w:color="auto"/>
        <w:bottom w:val="none" w:sz="0" w:space="0" w:color="auto"/>
        <w:right w:val="none" w:sz="0" w:space="0" w:color="auto"/>
      </w:divBdr>
    </w:div>
    <w:div w:id="1308433593">
      <w:bodyDiv w:val="1"/>
      <w:marLeft w:val="0"/>
      <w:marRight w:val="0"/>
      <w:marTop w:val="0"/>
      <w:marBottom w:val="0"/>
      <w:divBdr>
        <w:top w:val="none" w:sz="0" w:space="0" w:color="auto"/>
        <w:left w:val="none" w:sz="0" w:space="0" w:color="auto"/>
        <w:bottom w:val="none" w:sz="0" w:space="0" w:color="auto"/>
        <w:right w:val="none" w:sz="0" w:space="0" w:color="auto"/>
      </w:divBdr>
    </w:div>
    <w:div w:id="1389650902">
      <w:bodyDiv w:val="1"/>
      <w:marLeft w:val="0"/>
      <w:marRight w:val="0"/>
      <w:marTop w:val="0"/>
      <w:marBottom w:val="0"/>
      <w:divBdr>
        <w:top w:val="none" w:sz="0" w:space="0" w:color="auto"/>
        <w:left w:val="none" w:sz="0" w:space="0" w:color="auto"/>
        <w:bottom w:val="none" w:sz="0" w:space="0" w:color="auto"/>
        <w:right w:val="none" w:sz="0" w:space="0" w:color="auto"/>
      </w:divBdr>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600260367">
      <w:bodyDiv w:val="1"/>
      <w:marLeft w:val="0"/>
      <w:marRight w:val="0"/>
      <w:marTop w:val="0"/>
      <w:marBottom w:val="0"/>
      <w:divBdr>
        <w:top w:val="none" w:sz="0" w:space="0" w:color="auto"/>
        <w:left w:val="none" w:sz="0" w:space="0" w:color="auto"/>
        <w:bottom w:val="none" w:sz="0" w:space="0" w:color="auto"/>
        <w:right w:val="none" w:sz="0" w:space="0" w:color="auto"/>
      </w:divBdr>
    </w:div>
    <w:div w:id="1600719507">
      <w:bodyDiv w:val="1"/>
      <w:marLeft w:val="0"/>
      <w:marRight w:val="0"/>
      <w:marTop w:val="0"/>
      <w:marBottom w:val="0"/>
      <w:divBdr>
        <w:top w:val="none" w:sz="0" w:space="0" w:color="auto"/>
        <w:left w:val="none" w:sz="0" w:space="0" w:color="auto"/>
        <w:bottom w:val="none" w:sz="0" w:space="0" w:color="auto"/>
        <w:right w:val="none" w:sz="0" w:space="0" w:color="auto"/>
      </w:divBdr>
    </w:div>
    <w:div w:id="1636636736">
      <w:bodyDiv w:val="1"/>
      <w:marLeft w:val="0"/>
      <w:marRight w:val="0"/>
      <w:marTop w:val="0"/>
      <w:marBottom w:val="0"/>
      <w:divBdr>
        <w:top w:val="none" w:sz="0" w:space="0" w:color="auto"/>
        <w:left w:val="none" w:sz="0" w:space="0" w:color="auto"/>
        <w:bottom w:val="none" w:sz="0" w:space="0" w:color="auto"/>
        <w:right w:val="none" w:sz="0" w:space="0" w:color="auto"/>
      </w:divBdr>
    </w:div>
    <w:div w:id="1859125249">
      <w:bodyDiv w:val="1"/>
      <w:marLeft w:val="0"/>
      <w:marRight w:val="0"/>
      <w:marTop w:val="0"/>
      <w:marBottom w:val="0"/>
      <w:divBdr>
        <w:top w:val="none" w:sz="0" w:space="0" w:color="auto"/>
        <w:left w:val="none" w:sz="0" w:space="0" w:color="auto"/>
        <w:bottom w:val="none" w:sz="0" w:space="0" w:color="auto"/>
        <w:right w:val="none" w:sz="0" w:space="0" w:color="auto"/>
      </w:divBdr>
    </w:div>
    <w:div w:id="18625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5742</Words>
  <Characters>33880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39543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Ing. Alice Hradilová</dc:creator>
  <cp:lastModifiedBy>Niče Luděk</cp:lastModifiedBy>
  <cp:revision>5</cp:revision>
  <cp:lastPrinted>2013-11-14T13:36:00Z</cp:lastPrinted>
  <dcterms:created xsi:type="dcterms:W3CDTF">2013-11-05T07:41:00Z</dcterms:created>
  <dcterms:modified xsi:type="dcterms:W3CDTF">2013-11-14T13:36:00Z</dcterms:modified>
</cp:coreProperties>
</file>