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B7" w:rsidRPr="008E3F52" w:rsidRDefault="001A6EB7" w:rsidP="00887E1F">
      <w:pPr>
        <w:spacing w:after="120"/>
        <w:rPr>
          <w:b/>
        </w:rPr>
      </w:pPr>
      <w:bookmarkStart w:id="0" w:name="_GoBack"/>
      <w:bookmarkEnd w:id="0"/>
      <w:r w:rsidRPr="008E3F52">
        <w:rPr>
          <w:b/>
        </w:rPr>
        <w:t>Důvodová zpráva:</w:t>
      </w:r>
    </w:p>
    <w:p w:rsidR="00292632" w:rsidRDefault="00292632" w:rsidP="00292632">
      <w:pPr>
        <w:spacing w:after="120"/>
        <w:jc w:val="both"/>
        <w:rPr>
          <w:rFonts w:cs="Arial"/>
          <w:szCs w:val="24"/>
        </w:rPr>
      </w:pPr>
      <w:r w:rsidRPr="002446EA">
        <w:rPr>
          <w:rFonts w:cs="Arial"/>
          <w:szCs w:val="24"/>
        </w:rPr>
        <w:t xml:space="preserve">V rámci 1. výzvy </w:t>
      </w:r>
      <w:r w:rsidRPr="002446EA">
        <w:rPr>
          <w:rFonts w:cs="Arial"/>
          <w:b/>
          <w:i/>
          <w:szCs w:val="24"/>
        </w:rPr>
        <w:t>Programu implementace švýcarsko-české spolupráce</w:t>
      </w:r>
      <w:r w:rsidRPr="002446EA">
        <w:rPr>
          <w:rFonts w:cs="Arial"/>
          <w:szCs w:val="24"/>
        </w:rPr>
        <w:t xml:space="preserve"> na Ministerstvu zdravotnictví předložila </w:t>
      </w:r>
      <w:r w:rsidRPr="002446EA">
        <w:rPr>
          <w:rFonts w:cs="Arial"/>
          <w:b/>
          <w:i/>
          <w:szCs w:val="24"/>
        </w:rPr>
        <w:t>JESENICKÁ NEMOCNICE,</w:t>
      </w:r>
      <w:r w:rsidRPr="002446EA">
        <w:rPr>
          <w:rFonts w:cs="Arial"/>
          <w:szCs w:val="24"/>
        </w:rPr>
        <w:t xml:space="preserve"> spol. s r.o. (JN) </w:t>
      </w:r>
      <w:r w:rsidRPr="002446EA">
        <w:rPr>
          <w:rFonts w:cs="Arial"/>
          <w:b/>
          <w:i/>
          <w:szCs w:val="24"/>
        </w:rPr>
        <w:t>žádost o poskytnutí grantu</w:t>
      </w:r>
      <w:r w:rsidRPr="002446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sub-projektu s názvem </w:t>
      </w:r>
      <w:r w:rsidRPr="002446EA">
        <w:rPr>
          <w:rFonts w:cs="Arial"/>
          <w:szCs w:val="24"/>
        </w:rPr>
        <w:t>„Kvalitní péče o seniory a dlouhodobě nemocné Jesenicka v bezpečném a lidském prostředí“.</w:t>
      </w:r>
    </w:p>
    <w:p w:rsidR="00292632" w:rsidRDefault="00292632" w:rsidP="00292632">
      <w:pPr>
        <w:spacing w:after="120"/>
        <w:jc w:val="both"/>
        <w:rPr>
          <w:rFonts w:cs="Arial"/>
          <w:szCs w:val="24"/>
        </w:rPr>
      </w:pPr>
      <w:r w:rsidRPr="002446EA">
        <w:rPr>
          <w:rFonts w:cs="Arial"/>
          <w:b/>
          <w:i/>
          <w:szCs w:val="24"/>
        </w:rPr>
        <w:t>Ministerstvo</w:t>
      </w:r>
      <w:r>
        <w:rPr>
          <w:rFonts w:cs="Arial"/>
          <w:szCs w:val="24"/>
        </w:rPr>
        <w:t xml:space="preserve"> zdravotnictví </w:t>
      </w:r>
      <w:r w:rsidRPr="002446EA">
        <w:rPr>
          <w:rFonts w:cs="Arial"/>
          <w:b/>
          <w:i/>
          <w:szCs w:val="24"/>
        </w:rPr>
        <w:t>vyzvalo</w:t>
      </w:r>
      <w:r>
        <w:rPr>
          <w:rFonts w:cs="Arial"/>
          <w:szCs w:val="24"/>
        </w:rPr>
        <w:t xml:space="preserve"> JN, aby byla zmíněná </w:t>
      </w:r>
      <w:r w:rsidRPr="002446EA">
        <w:rPr>
          <w:rFonts w:cs="Arial"/>
          <w:b/>
          <w:i/>
          <w:szCs w:val="24"/>
        </w:rPr>
        <w:t>žádost doplněna,</w:t>
      </w:r>
      <w:r>
        <w:rPr>
          <w:rFonts w:cs="Arial"/>
          <w:szCs w:val="24"/>
        </w:rPr>
        <w:t xml:space="preserve"> a to o </w:t>
      </w:r>
      <w:r w:rsidRPr="002446EA">
        <w:rPr>
          <w:rFonts w:cs="Arial"/>
          <w:b/>
          <w:i/>
          <w:szCs w:val="24"/>
        </w:rPr>
        <w:t>doklad zajištění spolufinancování z veřejných zdrojů.</w:t>
      </w:r>
      <w:r>
        <w:rPr>
          <w:rFonts w:cs="Arial"/>
          <w:szCs w:val="24"/>
        </w:rPr>
        <w:t xml:space="preserve"> Ministerstvo vyzvalo k doplnění žádosti dne 19. 2. 2013, žádost má být doplněna do </w:t>
      </w:r>
      <w:r w:rsidRPr="0051460D">
        <w:rPr>
          <w:rFonts w:cs="Arial"/>
          <w:b/>
          <w:i/>
          <w:szCs w:val="24"/>
        </w:rPr>
        <w:t>6. 3. 2013.</w:t>
      </w:r>
    </w:p>
    <w:p w:rsidR="00292632" w:rsidRDefault="00292632" w:rsidP="00292632">
      <w:pPr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>Z důvodu časové tísně je proto předkládán materiál Zastupitelstvu Olomouckého kraje (ZOK) až přímo na zasedání 22. 2. 2013.</w:t>
      </w:r>
    </w:p>
    <w:p w:rsidR="00292632" w:rsidRDefault="00292632" w:rsidP="00292632">
      <w:pPr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Projekt </w:t>
      </w:r>
      <w:r w:rsidRPr="002446EA">
        <w:rPr>
          <w:rFonts w:cs="Arial"/>
          <w:b/>
          <w:i/>
          <w:szCs w:val="24"/>
        </w:rPr>
        <w:t>„Kvalitní péče o seniory a dlouhodobě nemocné Jesenicka v bezpečném a lidském prostředí“</w:t>
      </w:r>
      <w:r w:rsidRPr="002446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je zaměřen na zkvalitnění zdravotních služeb o seniory a dlouhodobě nemocné v okrese Jeseník a zahrnuje mj. rekonstrukci budovy oddělení léčebny dlouhodobě nemocných (LDN) v JN, obnovu vybavení LDN a školení zdravotnického personálu, které bude mít pozitivní vliv na zlepšení poskytované zdravotní péče a na komunikaci mezi zdravotnickým personálem, pacienty a rodinnými příslušníky pacientů.</w:t>
      </w:r>
    </w:p>
    <w:p w:rsidR="00292632" w:rsidRDefault="00292632" w:rsidP="00292632">
      <w:pPr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>Projekt je plně v souladu s Programem rozvoje územního obvodu Olomouckého kraje, a to zejm. s rozvojovou prioritou D. „Kvalita života“ částí IV. „Rozvoj města obcí“, částí VI. 1 „Rozvoj a obnova fyzické infrastruktury pro poskytování sociálních a zdravotních služeb – rozvoj fyzického kapitálu“ a částí VI. 3 „Zajištění souladu mezi nabídkou a poptávkou po sociálních a zdravotních službách“.</w:t>
      </w:r>
    </w:p>
    <w:p w:rsidR="00292632" w:rsidRDefault="00292632" w:rsidP="00292632">
      <w:pPr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>Vzhledem k nepříznivému demografickému vývoji je třeba podporovat péči o seniory a mj. následnou zdravotní péči.</w:t>
      </w:r>
    </w:p>
    <w:p w:rsidR="00292632" w:rsidRDefault="00292632" w:rsidP="00292632">
      <w:pPr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Projekt </w:t>
      </w:r>
      <w:r w:rsidRPr="002446EA">
        <w:rPr>
          <w:rFonts w:cs="Arial"/>
          <w:szCs w:val="24"/>
        </w:rPr>
        <w:t xml:space="preserve">má </w:t>
      </w:r>
      <w:r w:rsidRPr="00AE41BC">
        <w:rPr>
          <w:rFonts w:cs="Arial"/>
          <w:b/>
          <w:i/>
          <w:szCs w:val="24"/>
        </w:rPr>
        <w:t>celkové uznatelné náklady</w:t>
      </w:r>
      <w:r>
        <w:rPr>
          <w:rFonts w:cs="Arial"/>
          <w:szCs w:val="24"/>
        </w:rPr>
        <w:t xml:space="preserve"> ve výši </w:t>
      </w:r>
      <w:r w:rsidRPr="00AE41BC">
        <w:rPr>
          <w:rFonts w:cs="Arial"/>
          <w:b/>
          <w:i/>
          <w:szCs w:val="24"/>
        </w:rPr>
        <w:t>20 311 262 Kč.</w:t>
      </w:r>
      <w:r>
        <w:rPr>
          <w:rFonts w:cs="Arial"/>
          <w:szCs w:val="24"/>
        </w:rPr>
        <w:t xml:space="preserve"> </w:t>
      </w:r>
    </w:p>
    <w:p w:rsidR="00292632" w:rsidRDefault="00292632" w:rsidP="00292632">
      <w:pPr>
        <w:spacing w:after="120"/>
        <w:jc w:val="both"/>
        <w:rPr>
          <w:rFonts w:cs="Arial"/>
          <w:szCs w:val="24"/>
        </w:rPr>
      </w:pPr>
      <w:r w:rsidRPr="00AE41BC">
        <w:rPr>
          <w:rFonts w:cs="Arial"/>
          <w:b/>
          <w:i/>
          <w:szCs w:val="24"/>
        </w:rPr>
        <w:t>Sdružení měst a obcí JESENICKA</w:t>
      </w:r>
      <w:r>
        <w:rPr>
          <w:rFonts w:cs="Arial"/>
          <w:szCs w:val="24"/>
        </w:rPr>
        <w:t xml:space="preserve"> (SMOJ) deklarovalo ochotu spolupodílet se na dofinancování projektu do výše </w:t>
      </w:r>
      <w:r w:rsidRPr="00AE41BC">
        <w:rPr>
          <w:rFonts w:cs="Arial"/>
          <w:b/>
          <w:i/>
          <w:szCs w:val="24"/>
        </w:rPr>
        <w:t>1 mil. Kč</w:t>
      </w:r>
      <w:r>
        <w:rPr>
          <w:rFonts w:cs="Arial"/>
          <w:szCs w:val="24"/>
        </w:rPr>
        <w:t>, což činí téměř 5 %.</w:t>
      </w:r>
    </w:p>
    <w:p w:rsidR="00292632" w:rsidRDefault="00292632" w:rsidP="00292632">
      <w:pPr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JN žádá </w:t>
      </w:r>
      <w:r w:rsidRPr="00AE41BC">
        <w:rPr>
          <w:rFonts w:cs="Arial"/>
          <w:b/>
          <w:i/>
          <w:szCs w:val="24"/>
        </w:rPr>
        <w:t>Olomoucký kraj</w:t>
      </w:r>
      <w:r>
        <w:rPr>
          <w:rFonts w:cs="Arial"/>
          <w:szCs w:val="24"/>
        </w:rPr>
        <w:t xml:space="preserve"> (OK), aby vyjádřil souhlas s návrhem projektu a souhlasil se spolufinancováním tohoto projektu ve výši </w:t>
      </w:r>
      <w:r w:rsidRPr="00AE41BC">
        <w:rPr>
          <w:rFonts w:cs="Arial"/>
          <w:b/>
          <w:szCs w:val="24"/>
        </w:rPr>
        <w:t>2 046 690 Kč,</w:t>
      </w:r>
      <w:r>
        <w:rPr>
          <w:rFonts w:cs="Arial"/>
          <w:szCs w:val="24"/>
        </w:rPr>
        <w:t xml:space="preserve"> což činí desetinu celkových uznatelných nákladů projektu.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521"/>
        <w:gridCol w:w="1456"/>
      </w:tblGrid>
      <w:tr w:rsidR="00292632" w:rsidTr="00642BC3">
        <w:tc>
          <w:tcPr>
            <w:tcW w:w="4356" w:type="dxa"/>
            <w:gridSpan w:val="2"/>
          </w:tcPr>
          <w:p w:rsidR="00292632" w:rsidRDefault="00292632" w:rsidP="00642BC3">
            <w:pPr>
              <w:spacing w:after="120"/>
              <w:ind w:left="426" w:hanging="426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Částky projektu (v Kč)</w:t>
            </w:r>
          </w:p>
        </w:tc>
        <w:tc>
          <w:tcPr>
            <w:tcW w:w="1456" w:type="dxa"/>
          </w:tcPr>
          <w:p w:rsidR="00292632" w:rsidRDefault="00292632" w:rsidP="00642BC3">
            <w:pPr>
              <w:spacing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podíl</w:t>
            </w:r>
          </w:p>
        </w:tc>
      </w:tr>
      <w:tr w:rsidR="00292632" w:rsidTr="00642BC3">
        <w:tc>
          <w:tcPr>
            <w:tcW w:w="2835" w:type="dxa"/>
          </w:tcPr>
          <w:p w:rsidR="00292632" w:rsidRDefault="00292632" w:rsidP="00642BC3">
            <w:pPr>
              <w:spacing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Celkové náklady</w:t>
            </w:r>
          </w:p>
        </w:tc>
        <w:tc>
          <w:tcPr>
            <w:tcW w:w="1521" w:type="dxa"/>
          </w:tcPr>
          <w:p w:rsidR="00292632" w:rsidRDefault="00292632" w:rsidP="00642BC3">
            <w:pPr>
              <w:spacing w:after="12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20 311 262 </w:t>
            </w:r>
          </w:p>
        </w:tc>
        <w:tc>
          <w:tcPr>
            <w:tcW w:w="1456" w:type="dxa"/>
          </w:tcPr>
          <w:p w:rsidR="00292632" w:rsidRDefault="00292632" w:rsidP="00642BC3">
            <w:pPr>
              <w:spacing w:after="12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100,00 %</w:t>
            </w:r>
          </w:p>
        </w:tc>
      </w:tr>
      <w:tr w:rsidR="00292632" w:rsidTr="00642BC3">
        <w:tc>
          <w:tcPr>
            <w:tcW w:w="2835" w:type="dxa"/>
          </w:tcPr>
          <w:p w:rsidR="00292632" w:rsidRDefault="00292632" w:rsidP="00642BC3">
            <w:pPr>
              <w:spacing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Spolufinancování SMOJ</w:t>
            </w:r>
          </w:p>
        </w:tc>
        <w:tc>
          <w:tcPr>
            <w:tcW w:w="1521" w:type="dxa"/>
          </w:tcPr>
          <w:p w:rsidR="00292632" w:rsidRDefault="00292632" w:rsidP="00642BC3">
            <w:pPr>
              <w:spacing w:after="12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1 000 000 </w:t>
            </w:r>
          </w:p>
        </w:tc>
        <w:tc>
          <w:tcPr>
            <w:tcW w:w="1456" w:type="dxa"/>
          </w:tcPr>
          <w:p w:rsidR="00292632" w:rsidRDefault="00292632" w:rsidP="00642BC3">
            <w:pPr>
              <w:spacing w:after="12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4,92 %</w:t>
            </w:r>
          </w:p>
        </w:tc>
      </w:tr>
      <w:tr w:rsidR="00292632" w:rsidTr="00642BC3">
        <w:tc>
          <w:tcPr>
            <w:tcW w:w="2835" w:type="dxa"/>
          </w:tcPr>
          <w:p w:rsidR="00292632" w:rsidRDefault="00292632" w:rsidP="00642BC3">
            <w:pPr>
              <w:spacing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Spolufinancování OK</w:t>
            </w:r>
          </w:p>
        </w:tc>
        <w:tc>
          <w:tcPr>
            <w:tcW w:w="1521" w:type="dxa"/>
          </w:tcPr>
          <w:p w:rsidR="00292632" w:rsidRDefault="00292632" w:rsidP="00642BC3">
            <w:pPr>
              <w:spacing w:after="12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2 046 690</w:t>
            </w:r>
          </w:p>
        </w:tc>
        <w:tc>
          <w:tcPr>
            <w:tcW w:w="1456" w:type="dxa"/>
          </w:tcPr>
          <w:p w:rsidR="00292632" w:rsidRDefault="00292632" w:rsidP="00642BC3">
            <w:pPr>
              <w:spacing w:after="12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10,08 %</w:t>
            </w:r>
          </w:p>
        </w:tc>
      </w:tr>
    </w:tbl>
    <w:p w:rsidR="00292632" w:rsidRPr="00AE41BC" w:rsidRDefault="00292632" w:rsidP="00292632">
      <w:pPr>
        <w:spacing w:after="120"/>
        <w:jc w:val="both"/>
        <w:rPr>
          <w:rFonts w:cs="Arial"/>
          <w:sz w:val="16"/>
          <w:szCs w:val="16"/>
        </w:rPr>
      </w:pPr>
    </w:p>
    <w:p w:rsidR="00292632" w:rsidRDefault="00292632" w:rsidP="00292632">
      <w:pPr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Předkladatel doporučuje ZOK, aby vyjádřilo souhlas s návrhem výše uvedeného projektu a souhlasilo se spolufinancováním tohoto projektu ze strany OK ve výši 2 046 690 Kč, s tím, že SMOJ se bude podílet na financování částkou 1 mil. Kč </w:t>
      </w:r>
    </w:p>
    <w:p w:rsidR="00292632" w:rsidRDefault="00292632" w:rsidP="00292632">
      <w:pPr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AE41BC">
        <w:rPr>
          <w:rFonts w:cs="Arial"/>
          <w:szCs w:val="24"/>
        </w:rPr>
        <w:t>oskytování dotací právnickým osobám působícím na území kraje v</w:t>
      </w:r>
      <w:r>
        <w:rPr>
          <w:rFonts w:cs="Arial"/>
          <w:szCs w:val="24"/>
        </w:rPr>
        <w:t> </w:t>
      </w:r>
      <w:r w:rsidRPr="00AE41BC">
        <w:rPr>
          <w:rFonts w:cs="Arial"/>
          <w:szCs w:val="24"/>
        </w:rPr>
        <w:t>oblasti zdravotnictví v hodnotě nad 200 000 Kč jedné fyzické nebo právnické osobě v</w:t>
      </w:r>
      <w:r>
        <w:rPr>
          <w:rFonts w:cs="Arial"/>
          <w:szCs w:val="24"/>
        </w:rPr>
        <w:t> </w:t>
      </w:r>
      <w:r w:rsidRPr="00AE41BC">
        <w:rPr>
          <w:rFonts w:cs="Arial"/>
          <w:szCs w:val="24"/>
        </w:rPr>
        <w:t>kalendářním roce</w:t>
      </w:r>
      <w:r>
        <w:rPr>
          <w:rFonts w:cs="Arial"/>
          <w:szCs w:val="24"/>
        </w:rPr>
        <w:t xml:space="preserve"> musí v souladu s § 36 odst. 1 písm. c) zákona č. 129/2000 Sb., o krajích (krajské zřízení) schválit Zastupitelstvo Olomouckého kraje. Proto je materiál předkládán Zastupitelstvu Olomouckého kraje.</w:t>
      </w:r>
    </w:p>
    <w:p w:rsidR="00292632" w:rsidRDefault="00292632" w:rsidP="00292632">
      <w:pPr>
        <w:spacing w:after="120"/>
        <w:jc w:val="both"/>
        <w:rPr>
          <w:rFonts w:cs="Arial"/>
          <w:b/>
          <w:i/>
          <w:szCs w:val="24"/>
        </w:rPr>
      </w:pPr>
      <w:r>
        <w:rPr>
          <w:rFonts w:cs="Arial"/>
          <w:szCs w:val="24"/>
        </w:rPr>
        <w:lastRenderedPageBreak/>
        <w:t xml:space="preserve">Pokud se jedná o soulad poskytnuté částky s pravidly pro poskytování veřejné finanční podpory, tak podle údajů z Centrálního registru podpor malého rozsahu čerpala JN dosud podporu </w:t>
      </w:r>
      <w:r w:rsidRPr="00156CCF">
        <w:rPr>
          <w:rFonts w:cs="Arial"/>
          <w:b/>
          <w:i/>
          <w:szCs w:val="24"/>
        </w:rPr>
        <w:t>v tzv. režimu „de minimis“</w:t>
      </w:r>
      <w:r>
        <w:rPr>
          <w:rFonts w:cs="Arial"/>
          <w:szCs w:val="24"/>
        </w:rPr>
        <w:t xml:space="preserve"> ve výši 6 109,03 €, </w:t>
      </w:r>
      <w:r w:rsidRPr="00156CCF">
        <w:rPr>
          <w:rFonts w:cs="Arial"/>
          <w:b/>
          <w:i/>
          <w:szCs w:val="24"/>
        </w:rPr>
        <w:t>zbývá</w:t>
      </w:r>
      <w:r>
        <w:rPr>
          <w:rFonts w:cs="Arial"/>
          <w:szCs w:val="24"/>
        </w:rPr>
        <w:t xml:space="preserve"> jim 193 890,97 €, což při kurzu 25,633 € činí </w:t>
      </w:r>
      <w:r w:rsidRPr="00156CCF">
        <w:rPr>
          <w:rFonts w:cs="Arial"/>
          <w:b/>
          <w:i/>
          <w:szCs w:val="24"/>
        </w:rPr>
        <w:t>4 970 007,20 Kč</w:t>
      </w:r>
      <w:r>
        <w:rPr>
          <w:rFonts w:cs="Arial"/>
          <w:b/>
          <w:i/>
          <w:szCs w:val="24"/>
        </w:rPr>
        <w:t>.</w:t>
      </w:r>
    </w:p>
    <w:p w:rsidR="00292632" w:rsidRPr="00156CCF" w:rsidRDefault="00292632" w:rsidP="00292632">
      <w:pPr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>Poskytnutí dotace cca 2 mil. Kč od OK a 1 mil. Kč od SMOJ je tedy možné realizovat v rámci tzv. režimu podpory „de minimis“.</w:t>
      </w:r>
    </w:p>
    <w:p w:rsidR="00292632" w:rsidRPr="002446EA" w:rsidRDefault="00292632" w:rsidP="00292632">
      <w:pPr>
        <w:spacing w:after="120"/>
        <w:jc w:val="both"/>
        <w:rPr>
          <w:rFonts w:cs="Arial"/>
          <w:szCs w:val="24"/>
        </w:rPr>
      </w:pPr>
    </w:p>
    <w:sectPr w:rsidR="00292632" w:rsidRPr="002446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C4" w:rsidRDefault="00117AC4" w:rsidP="00887E1F">
      <w:r>
        <w:separator/>
      </w:r>
    </w:p>
  </w:endnote>
  <w:endnote w:type="continuationSeparator" w:id="0">
    <w:p w:rsidR="00117AC4" w:rsidRDefault="00117AC4" w:rsidP="0088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1F" w:rsidRPr="00AF41A0" w:rsidRDefault="00887E1F" w:rsidP="00C521BE">
    <w:pPr>
      <w:pStyle w:val="Zpat"/>
      <w:pBdr>
        <w:top w:val="single" w:sz="4" w:space="1" w:color="auto"/>
      </w:pBdr>
      <w:spacing w:before="100" w:beforeAutospacing="1"/>
      <w:rPr>
        <w:rStyle w:val="slostrnky"/>
        <w:rFonts w:cs="Arial"/>
        <w:i/>
        <w:sz w:val="20"/>
      </w:rPr>
    </w:pPr>
    <w:r>
      <w:rPr>
        <w:rStyle w:val="slostrnky"/>
        <w:rFonts w:cs="Arial"/>
        <w:i/>
        <w:sz w:val="20"/>
      </w:rPr>
      <w:t>Zastupitelstvo Olomouckého kraje 2</w:t>
    </w:r>
    <w:r w:rsidR="00292632">
      <w:rPr>
        <w:rStyle w:val="slostrnky"/>
        <w:rFonts w:cs="Arial"/>
        <w:i/>
        <w:sz w:val="20"/>
      </w:rPr>
      <w:t>2</w:t>
    </w:r>
    <w:r>
      <w:rPr>
        <w:rStyle w:val="slostrnky"/>
        <w:rFonts w:cs="Arial"/>
        <w:i/>
        <w:sz w:val="20"/>
      </w:rPr>
      <w:t>. 2. 201</w:t>
    </w:r>
    <w:r w:rsidR="00292632">
      <w:rPr>
        <w:rStyle w:val="slostrnky"/>
        <w:rFonts w:cs="Arial"/>
        <w:i/>
        <w:sz w:val="20"/>
      </w:rPr>
      <w:t>3</w:t>
    </w:r>
    <w:r w:rsidRPr="00AF41A0">
      <w:rPr>
        <w:rStyle w:val="slostrnky"/>
        <w:rFonts w:cs="Arial"/>
        <w:i/>
        <w:sz w:val="20"/>
      </w:rPr>
      <w:tab/>
    </w:r>
    <w:r w:rsidRPr="00AF41A0">
      <w:rPr>
        <w:rStyle w:val="slostrnky"/>
        <w:rFonts w:cs="Arial"/>
        <w:i/>
        <w:sz w:val="20"/>
      </w:rPr>
      <w:tab/>
      <w:t xml:space="preserve">Strana </w:t>
    </w:r>
    <w:r w:rsidRPr="00AF41A0">
      <w:rPr>
        <w:rStyle w:val="slostrnky"/>
        <w:rFonts w:cs="Arial"/>
        <w:i/>
        <w:sz w:val="20"/>
      </w:rPr>
      <w:fldChar w:fldCharType="begin"/>
    </w:r>
    <w:r w:rsidRPr="00AF41A0">
      <w:rPr>
        <w:rStyle w:val="slostrnky"/>
        <w:rFonts w:cs="Arial"/>
        <w:i/>
        <w:sz w:val="20"/>
      </w:rPr>
      <w:instrText xml:space="preserve"> PAGE </w:instrText>
    </w:r>
    <w:r w:rsidRPr="00AF41A0">
      <w:rPr>
        <w:rStyle w:val="slostrnky"/>
        <w:rFonts w:cs="Arial"/>
        <w:i/>
        <w:sz w:val="20"/>
      </w:rPr>
      <w:fldChar w:fldCharType="separate"/>
    </w:r>
    <w:r w:rsidR="00573A50">
      <w:rPr>
        <w:rStyle w:val="slostrnky"/>
        <w:rFonts w:cs="Arial"/>
        <w:i/>
        <w:noProof/>
        <w:sz w:val="20"/>
      </w:rPr>
      <w:t>1</w:t>
    </w:r>
    <w:r w:rsidRPr="00AF41A0">
      <w:rPr>
        <w:rStyle w:val="slostrnky"/>
        <w:rFonts w:cs="Arial"/>
        <w:i/>
        <w:sz w:val="20"/>
      </w:rPr>
      <w:fldChar w:fldCharType="end"/>
    </w:r>
    <w:r w:rsidRPr="00AF41A0">
      <w:rPr>
        <w:rStyle w:val="slostrnky"/>
        <w:rFonts w:cs="Arial"/>
        <w:i/>
        <w:sz w:val="20"/>
      </w:rPr>
      <w:t xml:space="preserve"> (celkem </w:t>
    </w:r>
    <w:r w:rsidRPr="00AF41A0">
      <w:rPr>
        <w:rStyle w:val="slostrnky"/>
        <w:rFonts w:cs="Arial"/>
        <w:i/>
        <w:sz w:val="20"/>
      </w:rPr>
      <w:fldChar w:fldCharType="begin"/>
    </w:r>
    <w:r w:rsidRPr="00AF41A0">
      <w:rPr>
        <w:rStyle w:val="slostrnky"/>
        <w:rFonts w:cs="Arial"/>
        <w:i/>
        <w:sz w:val="20"/>
      </w:rPr>
      <w:instrText xml:space="preserve"> NUMPAGES </w:instrText>
    </w:r>
    <w:r w:rsidRPr="00AF41A0">
      <w:rPr>
        <w:rStyle w:val="slostrnky"/>
        <w:rFonts w:cs="Arial"/>
        <w:i/>
        <w:sz w:val="20"/>
      </w:rPr>
      <w:fldChar w:fldCharType="separate"/>
    </w:r>
    <w:r w:rsidR="00573A50">
      <w:rPr>
        <w:rStyle w:val="slostrnky"/>
        <w:rFonts w:cs="Arial"/>
        <w:i/>
        <w:noProof/>
        <w:sz w:val="20"/>
      </w:rPr>
      <w:t>2</w:t>
    </w:r>
    <w:r w:rsidRPr="00AF41A0">
      <w:rPr>
        <w:rStyle w:val="slostrnky"/>
        <w:rFonts w:cs="Arial"/>
        <w:i/>
        <w:sz w:val="20"/>
      </w:rPr>
      <w:fldChar w:fldCharType="end"/>
    </w:r>
    <w:r w:rsidRPr="00AF41A0">
      <w:rPr>
        <w:rStyle w:val="slostrnky"/>
        <w:rFonts w:cs="Arial"/>
        <w:i/>
        <w:sz w:val="20"/>
      </w:rPr>
      <w:t>)</w:t>
    </w:r>
  </w:p>
  <w:p w:rsidR="00C521BE" w:rsidRPr="00292632" w:rsidRDefault="00573A50" w:rsidP="00292632">
    <w:pPr>
      <w:pStyle w:val="Zpat"/>
      <w:pBdr>
        <w:top w:val="single" w:sz="4" w:space="1" w:color="auto"/>
      </w:pBdr>
      <w:rPr>
        <w:rStyle w:val="slostrnky"/>
        <w:rFonts w:cs="Arial"/>
        <w:i/>
        <w:sz w:val="20"/>
      </w:rPr>
    </w:pPr>
    <w:r>
      <w:rPr>
        <w:i/>
        <w:sz w:val="20"/>
      </w:rPr>
      <w:t>28</w:t>
    </w:r>
    <w:r w:rsidR="00292632">
      <w:rPr>
        <w:b/>
        <w:i/>
        <w:sz w:val="20"/>
      </w:rPr>
      <w:t xml:space="preserve"> </w:t>
    </w:r>
    <w:r w:rsidR="00887E1F" w:rsidRPr="00292632">
      <w:rPr>
        <w:rStyle w:val="slostrnky"/>
        <w:rFonts w:cs="Arial"/>
        <w:i/>
        <w:sz w:val="20"/>
      </w:rPr>
      <w:t xml:space="preserve">. - </w:t>
    </w:r>
    <w:r w:rsidR="00292632" w:rsidRPr="00292632">
      <w:rPr>
        <w:rStyle w:val="slostrnky"/>
        <w:rFonts w:cs="Arial"/>
        <w:i/>
        <w:sz w:val="20"/>
      </w:rPr>
      <w:t>JESENICKÁ NEMOCNICE, spol. s r.o. – spolufinancování projektu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C4" w:rsidRDefault="00117AC4" w:rsidP="00887E1F">
      <w:r>
        <w:separator/>
      </w:r>
    </w:p>
  </w:footnote>
  <w:footnote w:type="continuationSeparator" w:id="0">
    <w:p w:rsidR="00117AC4" w:rsidRDefault="00117AC4" w:rsidP="0088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5D6C"/>
    <w:multiLevelType w:val="hybridMultilevel"/>
    <w:tmpl w:val="2EFE56D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6E"/>
    <w:rsid w:val="00117AC4"/>
    <w:rsid w:val="001A6EB7"/>
    <w:rsid w:val="002211C0"/>
    <w:rsid w:val="002517E1"/>
    <w:rsid w:val="00292632"/>
    <w:rsid w:val="002D2687"/>
    <w:rsid w:val="0038779E"/>
    <w:rsid w:val="00482BFD"/>
    <w:rsid w:val="0051460D"/>
    <w:rsid w:val="00536ACF"/>
    <w:rsid w:val="00573A50"/>
    <w:rsid w:val="005D100C"/>
    <w:rsid w:val="0061188F"/>
    <w:rsid w:val="006172F0"/>
    <w:rsid w:val="0061730B"/>
    <w:rsid w:val="006C0F6E"/>
    <w:rsid w:val="0079225B"/>
    <w:rsid w:val="007A6006"/>
    <w:rsid w:val="007C68C2"/>
    <w:rsid w:val="00855D63"/>
    <w:rsid w:val="00887E1F"/>
    <w:rsid w:val="00A0306C"/>
    <w:rsid w:val="00B664CE"/>
    <w:rsid w:val="00C521BE"/>
    <w:rsid w:val="00CD2A18"/>
    <w:rsid w:val="00CF12AD"/>
    <w:rsid w:val="00E54A1C"/>
    <w:rsid w:val="00E758E2"/>
    <w:rsid w:val="00E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EB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1A6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7E1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E1F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uiPriority w:val="99"/>
    <w:rsid w:val="00887E1F"/>
    <w:rPr>
      <w:rFonts w:cs="Times New Roman"/>
    </w:rPr>
  </w:style>
  <w:style w:type="paragraph" w:customStyle="1" w:styleId="Zastupitelstvonzevboduzasedn">
    <w:name w:val="Zastupitelstvo název bodu zasedání"/>
    <w:basedOn w:val="Normln"/>
    <w:rsid w:val="00887E1F"/>
    <w:pPr>
      <w:widowControl w:val="0"/>
      <w:spacing w:before="360" w:after="360"/>
      <w:ind w:left="851" w:hanging="851"/>
      <w:jc w:val="both"/>
    </w:pPr>
    <w:rPr>
      <w:b/>
      <w:noProof/>
      <w:sz w:val="28"/>
      <w:szCs w:val="28"/>
    </w:rPr>
  </w:style>
  <w:style w:type="paragraph" w:customStyle="1" w:styleId="Radabodschze">
    <w:name w:val="Rada bod schůze"/>
    <w:basedOn w:val="Normln"/>
    <w:rsid w:val="00887E1F"/>
    <w:pPr>
      <w:widowControl w:val="0"/>
      <w:spacing w:before="480" w:after="480"/>
      <w:jc w:val="both"/>
    </w:pPr>
    <w:rPr>
      <w:b/>
      <w:sz w:val="28"/>
    </w:rPr>
  </w:style>
  <w:style w:type="table" w:styleId="Mkatabulky">
    <w:name w:val="Table Grid"/>
    <w:basedOn w:val="Normlntabulka"/>
    <w:uiPriority w:val="59"/>
    <w:rsid w:val="00292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EB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1A6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7E1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E1F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uiPriority w:val="99"/>
    <w:rsid w:val="00887E1F"/>
    <w:rPr>
      <w:rFonts w:cs="Times New Roman"/>
    </w:rPr>
  </w:style>
  <w:style w:type="paragraph" w:customStyle="1" w:styleId="Zastupitelstvonzevboduzasedn">
    <w:name w:val="Zastupitelstvo název bodu zasedání"/>
    <w:basedOn w:val="Normln"/>
    <w:rsid w:val="00887E1F"/>
    <w:pPr>
      <w:widowControl w:val="0"/>
      <w:spacing w:before="360" w:after="360"/>
      <w:ind w:left="851" w:hanging="851"/>
      <w:jc w:val="both"/>
    </w:pPr>
    <w:rPr>
      <w:b/>
      <w:noProof/>
      <w:sz w:val="28"/>
      <w:szCs w:val="28"/>
    </w:rPr>
  </w:style>
  <w:style w:type="paragraph" w:customStyle="1" w:styleId="Radabodschze">
    <w:name w:val="Rada bod schůze"/>
    <w:basedOn w:val="Normln"/>
    <w:rsid w:val="00887E1F"/>
    <w:pPr>
      <w:widowControl w:val="0"/>
      <w:spacing w:before="480" w:after="480"/>
      <w:jc w:val="both"/>
    </w:pPr>
    <w:rPr>
      <w:b/>
      <w:sz w:val="28"/>
    </w:rPr>
  </w:style>
  <w:style w:type="table" w:styleId="Mkatabulky">
    <w:name w:val="Table Grid"/>
    <w:basedOn w:val="Normlntabulka"/>
    <w:uiPriority w:val="59"/>
    <w:rsid w:val="00292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Telcová Katarína</cp:lastModifiedBy>
  <cp:revision>6</cp:revision>
  <cp:lastPrinted>2013-02-25T07:20:00Z</cp:lastPrinted>
  <dcterms:created xsi:type="dcterms:W3CDTF">2013-02-22T09:08:00Z</dcterms:created>
  <dcterms:modified xsi:type="dcterms:W3CDTF">2013-02-25T07:21:00Z</dcterms:modified>
</cp:coreProperties>
</file>