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311CB9" w:rsidTr="001310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1CB9" w:rsidTr="001310C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311CB9" w:rsidTr="001310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311CB9" w:rsidTr="001310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</w:t>
            </w:r>
            <w:r w:rsidR="00181B3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311CB9" w:rsidTr="001310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60609460</w:t>
            </w:r>
          </w:p>
        </w:tc>
      </w:tr>
      <w:tr w:rsidR="00311CB9" w:rsidTr="001310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Olomoucký kraj </w:t>
            </w:r>
          </w:p>
        </w:tc>
      </w:tr>
    </w:tbl>
    <w:p w:rsidR="00311CB9" w:rsidRDefault="00311CB9" w:rsidP="00311C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2198"/>
        <w:gridCol w:w="1099"/>
        <w:gridCol w:w="1727"/>
        <w:gridCol w:w="10049"/>
      </w:tblGrid>
      <w:tr w:rsidR="00311CB9" w:rsidTr="00181B3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311CB9" w:rsidTr="00181B36">
        <w:trPr>
          <w:cantSplit/>
        </w:trPr>
        <w:tc>
          <w:tcPr>
            <w:tcW w:w="15701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1CB9" w:rsidTr="00181B36">
        <w:trPr>
          <w:cantSplit/>
        </w:trPr>
        <w:tc>
          <w:tcPr>
            <w:tcW w:w="157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5073"/>
            </w:tblGrid>
            <w:tr w:rsidR="006745A2" w:rsidRPr="006745A2" w:rsidTr="001310CA">
              <w:trPr>
                <w:cantSplit/>
              </w:trPr>
              <w:tc>
                <w:tcPr>
                  <w:tcW w:w="6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A.1.</w:t>
                  </w:r>
                </w:p>
              </w:tc>
              <w:tc>
                <w:tcPr>
                  <w:tcW w:w="15073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Informace podle § 7 odst. 3 zákona (TEXT)</w:t>
                  </w:r>
                </w:p>
              </w:tc>
            </w:tr>
          </w:tbl>
          <w:p w:rsidR="006745A2" w:rsidRPr="006745A2" w:rsidRDefault="006745A2" w:rsidP="006745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745A2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Účetní jednotka nemá informace o tom, že by byl porušen princip nepřetržitého trvání</w:t>
            </w:r>
          </w:p>
          <w:p w:rsidR="006745A2" w:rsidRPr="006745A2" w:rsidRDefault="006745A2" w:rsidP="006745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5073"/>
            </w:tblGrid>
            <w:tr w:rsidR="006745A2" w:rsidRPr="006745A2" w:rsidTr="001310CA">
              <w:trPr>
                <w:cantSplit/>
              </w:trPr>
              <w:tc>
                <w:tcPr>
                  <w:tcW w:w="6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A.2.</w:t>
                  </w:r>
                </w:p>
              </w:tc>
              <w:tc>
                <w:tcPr>
                  <w:tcW w:w="15073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Informace podle § 7 odst. 4 zákona (TEXT)</w:t>
                  </w:r>
                </w:p>
              </w:tc>
            </w:tr>
          </w:tbl>
          <w:p w:rsidR="006745A2" w:rsidRPr="006745A2" w:rsidRDefault="006745A2" w:rsidP="006745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745A2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Vykazování syntetických účtů vychází z platné legislativy a Českých účetních standardů. Zásoby s výjimkou pohonných hmot jsou účtovány způsobem B, netýká se kancelářských potřeb, které jsou účtovány přímo do spotřeby v souladu s vnitřním předpisem. Nákup a spotřeba pohonných hmot jsou účtovány způsobem A. Pořízené zásoby se oceňují pořizovacími cenami.</w:t>
            </w:r>
          </w:p>
          <w:p w:rsidR="006745A2" w:rsidRPr="006745A2" w:rsidRDefault="006745A2" w:rsidP="006745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15073"/>
            </w:tblGrid>
            <w:tr w:rsidR="006745A2" w:rsidRPr="006745A2" w:rsidTr="001310CA">
              <w:trPr>
                <w:cantSplit/>
              </w:trPr>
              <w:tc>
                <w:tcPr>
                  <w:tcW w:w="6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A.3.</w:t>
                  </w:r>
                </w:p>
              </w:tc>
              <w:tc>
                <w:tcPr>
                  <w:tcW w:w="15073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30" w:type="dxa"/>
                    <w:bottom w:w="30" w:type="dxa"/>
                  </w:tcMar>
                </w:tcPr>
                <w:p w:rsidR="006745A2" w:rsidRPr="006745A2" w:rsidRDefault="006745A2" w:rsidP="00674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</w:pPr>
                  <w:r w:rsidRPr="006745A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cs-CZ"/>
                    </w:rPr>
                    <w:t>Informace podle § 7 odst. 5 zákona (TEXT)</w:t>
                  </w:r>
                </w:p>
              </w:tc>
            </w:tr>
          </w:tbl>
          <w:p w:rsidR="006745A2" w:rsidRPr="006745A2" w:rsidRDefault="006745A2" w:rsidP="006745A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6745A2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Majetek je oceňován v souladu s platnými právními předpisy. Majetek je oceňován reálnou hodnotou (hladina významnosti v případě hmotného majetku je 40 000,- Kč a nehmotného 60 000,- Kč) v den předání z hospodaření příspěvkové organizace, v ostatních případech na základě rozhodnutí o prodeji. Účetní jednotka neprovádí daňové odpisy. Účetn</w:t>
            </w:r>
            <w:r w:rsidR="00A471A3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í</w:t>
            </w:r>
            <w:r w:rsidRPr="006745A2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jednotka provádí rovnoměrný způsob odepisování majetku čtvrtletně v souladu s ČÚS č. 708. Účetní jednotka vede podrozvahovou evidenci v souladu s vyhláškou č. 410/2009 Sb., ve znění pozdějších předpisů a v souladu s vnitřními předpisy. V podrozvahové evidenci je veden majetek, který byl svěřen k hospodaření příspěvkovým organizacím (012, 013, 014, 015, 021, 021, 031 a 032). V podrozvahové evidenci je rovněž veden zapůjčený majetek, včetně státního majetku.</w:t>
            </w:r>
          </w:p>
          <w:p w:rsidR="00311CB9" w:rsidRDefault="00311CB9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81B36" w:rsidRPr="00181B36" w:rsidTr="00181B3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A.4.</w:t>
            </w:r>
          </w:p>
        </w:tc>
        <w:tc>
          <w:tcPr>
            <w:tcW w:w="1507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7 odst. 5 zákona o stavu účtů v knize podrozvahových účtů</w:t>
            </w:r>
          </w:p>
        </w:tc>
      </w:tr>
    </w:tbl>
    <w:p w:rsidR="00181B36" w:rsidRPr="00181B36" w:rsidRDefault="00181B36" w:rsidP="00181B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3"/>
        <w:gridCol w:w="314"/>
        <w:gridCol w:w="785"/>
        <w:gridCol w:w="3140"/>
        <w:gridCol w:w="3141"/>
      </w:tblGrid>
      <w:tr w:rsidR="00181B36" w:rsidRPr="00181B3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769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181B3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P.I.</w:t>
            </w:r>
          </w:p>
        </w:tc>
        <w:tc>
          <w:tcPr>
            <w:tcW w:w="80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Majetek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22 674 263 438,94 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21 760 898 198,52 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1 013 616,07 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877 076,69 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22 673 249 822,87 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21 760 021 121,83 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P.II.</w:t>
            </w:r>
          </w:p>
        </w:tc>
        <w:tc>
          <w:tcPr>
            <w:tcW w:w="80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Vyřazené pohledávky a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835 742,40 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298 324,20 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835 742,40 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298 324,20 </w:t>
            </w: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P.III.</w:t>
            </w:r>
          </w:p>
        </w:tc>
        <w:tc>
          <w:tcPr>
            <w:tcW w:w="80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81B36" w:rsidRPr="00181B3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81B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81B36" w:rsidRPr="00181B36" w:rsidRDefault="00181B36" w:rsidP="0018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P.IV.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Další podmíněné pohledávky a ostatní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1 115 433 090,10 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1 239 904 404,22 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115 127 033,00 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700 300 457,10 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509 828 955,17 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5 600,00 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16 422 949,05 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300 000 000,00 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713 652 500,00 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P.V.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leasingových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leasingových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důvodu úplatného užívání cizího majetku na základě jiného důvodu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důvodu úplatného užívání cizího majetku na základě jiného důvodu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P.VI.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Další podmíněné závazky a ostatní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15 832 562,00 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15 210 188,70 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nástrojů spolufinancovaných ze zahraničí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8.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 poskytnutých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 poskytnutých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132 000,00 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15 700 562,00 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15 210 188,70 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P.VII.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účty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23 774 699 709,44 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22 985 890 738,24 </w:t>
            </w:r>
          </w:p>
        </w:tc>
      </w:tr>
      <w:tr w:rsidR="002431F6" w:rsidRPr="0043256D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23 774 699 709,44 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13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22 985 890 738,24 </w:t>
            </w:r>
          </w:p>
        </w:tc>
      </w:tr>
      <w:tr w:rsidR="002431F6" w:rsidRPr="002431F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A.5.</w:t>
            </w:r>
          </w:p>
        </w:tc>
        <w:tc>
          <w:tcPr>
            <w:tcW w:w="150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18 odst. 1 písm. c) zákona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8635"/>
        <w:gridCol w:w="3140"/>
        <w:gridCol w:w="3141"/>
      </w:tblGrid>
      <w:tr w:rsidR="002431F6" w:rsidRPr="002431F6" w:rsidTr="002431F6">
        <w:trPr>
          <w:cantSplit/>
        </w:trPr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2431F6" w:rsidRPr="002431F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Splatné závazky pojistného na sociálním zabezpečení a příspěvku na státní politiku zaměstnanosti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6 141 234,00 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7 141 920,00 </w:t>
            </w:r>
          </w:p>
        </w:tc>
      </w:tr>
      <w:tr w:rsidR="002431F6" w:rsidRPr="002431F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Splatné závazky veřejného zdravotního pojištění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3 057 837,00 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3 107 840,00 </w:t>
            </w:r>
          </w:p>
        </w:tc>
      </w:tr>
      <w:tr w:rsidR="002431F6" w:rsidRPr="002431F6" w:rsidTr="002431F6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Evidované daňové nedoplatky u místně příslušných finančních orgánů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5 564 635,22 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A.6.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19 odst. 5 písm. a) zákona (TEXT)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2431F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Olomoucký kraj  má uzavřenou smlouvu o půjčce s Evropskou investiční bankou, smlouvu o úvěru s Komerční bankou, a.s.. Olomoucký kraj má uzavřené smlouvy o dílo s dlouhodobým závazkem. Je jediným akcionářem Nemocnice Olomouckého kraje, a.s. a má majetkovou účast v akciové společnosti Regionální letiště Přerov, a.s.</w:t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2431F6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A.7.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19 odst. 5 písm. b) zákona (TEXT)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2431F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Účetní jednotka nemá informace o nejistých podmínkách a situacích nezobrazených v účetní závěrce s vlivem na finanční situaci účetní jednotky.</w:t>
      </w:r>
    </w:p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A.8.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66 odst. 6 (TEXT)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2431F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Netýká se.</w:t>
      </w:r>
    </w:p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A.9.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podle § 66 odst. 8 (TEXT)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2431F6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Netýká se.</w:t>
      </w:r>
    </w:p>
    <w:p w:rsidR="002431F6" w:rsidRDefault="002431F6" w:rsidP="002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:rsidR="00227168" w:rsidRPr="002431F6" w:rsidRDefault="00227168" w:rsidP="002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6280"/>
        <w:gridCol w:w="1570"/>
        <w:gridCol w:w="785"/>
        <w:gridCol w:w="3140"/>
        <w:gridCol w:w="3141"/>
      </w:tblGrid>
      <w:tr w:rsidR="002431F6" w:rsidRPr="002431F6" w:rsidTr="002431F6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Syntetický</w:t>
            </w: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B.1.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Poskytnutí úvěru zajištěné zajišťovacím převodem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B.2.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Půjčky cenných papírů zajištěné převodem peněžních prostředků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B.3.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Prodej aktiva se současně sjednaným zpětným nákupem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B.4.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aktiva se současně sjednaným zpětným prodejem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227168" w:rsidRPr="002431F6" w:rsidRDefault="00227168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2431F6" w:rsidRPr="002431F6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položkám rozvahy "C.I.1. Jmění účetní jednotky" a "C.I.3. Transfery na pořízení dlouhodobého majetku"</w:t>
            </w: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5"/>
        <w:gridCol w:w="3140"/>
        <w:gridCol w:w="3141"/>
      </w:tblGrid>
      <w:tr w:rsidR="002431F6" w:rsidRPr="002431F6" w:rsidTr="002431F6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2431F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C.1.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299 288 297,66 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231 772 745,88 </w:t>
            </w:r>
          </w:p>
        </w:tc>
      </w:tr>
      <w:tr w:rsidR="002431F6" w:rsidRPr="002431F6" w:rsidTr="002431F6">
        <w:trPr>
          <w:cantSplit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C.2.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P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8 168 265,50 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431F6" w:rsidRDefault="002431F6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3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1 743 338,13 </w:t>
            </w:r>
          </w:p>
          <w:p w:rsidR="00227168" w:rsidRPr="002431F6" w:rsidRDefault="00227168" w:rsidP="0024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431F6" w:rsidRPr="002431F6" w:rsidRDefault="002431F6" w:rsidP="00243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D.1.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o individuálním referenčním množství mléka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4131"/>
      </w:tblGrid>
      <w:tr w:rsidR="00ED52A7" w:rsidRPr="00ED52A7" w:rsidTr="00ED52A7">
        <w:trPr>
          <w:cantSplit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D.2.</w:t>
            </w:r>
          </w:p>
        </w:tc>
        <w:tc>
          <w:tcPr>
            <w:tcW w:w="150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o individuální produkční kvótě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D.3.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o individuálním limitu prémiových práv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D.4.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Informace o jiných obdobných kvótách a limitech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D.5.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Počet jednotlivých věcí a souborů majetku nebo seznam tohoto majetku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D.6.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Celková výměra lesních pozemků s lesním porostem (ČÍSLO A 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D.7.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Výše ocenění lesních porostů (ČÍSLO)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</w:pPr>
      <w:r w:rsidRPr="00ED52A7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0,00</w:t>
      </w:r>
    </w:p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4131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D.8.</w:t>
            </w:r>
          </w:p>
        </w:tc>
        <w:tc>
          <w:tcPr>
            <w:tcW w:w="150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Ocenění lesních porostů jiným způsobem (ČÍSLO A TEXT)</w:t>
            </w:r>
          </w:p>
        </w:tc>
      </w:tr>
      <w:tr w:rsidR="00ED52A7" w:rsidRPr="00ED52A7" w:rsidTr="00ED52A7">
        <w:trPr>
          <w:cantSplit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0,00</w:t>
            </w:r>
          </w:p>
        </w:tc>
        <w:tc>
          <w:tcPr>
            <w:tcW w:w="14131" w:type="dxa"/>
            <w:tcBorders>
              <w:top w:val="nil"/>
              <w:left w:val="nil"/>
              <w:bottom w:val="nil"/>
              <w:right w:val="nil"/>
            </w:tcBorders>
          </w:tcPr>
          <w:p w:rsid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Netýká se.</w:t>
            </w:r>
          </w:p>
          <w:p w:rsidR="00227168" w:rsidRPr="00ED52A7" w:rsidRDefault="00227168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E.1.</w:t>
            </w:r>
          </w:p>
        </w:tc>
        <w:tc>
          <w:tcPr>
            <w:tcW w:w="150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položkám rozvahy (TEXT)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Částka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A.I.5. A.II.6. C.I.5. C.I.6. B.II.5. C.I.7. D.3.20. D.III.21.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Na účtu 018 je účtován drobný dlouhodobý nehmotný majetek, jehož doba použitelnosti je delší než jeden rok a pořizovací cena 0,- Kč až- 60000,- Kč. Na účtu 028 je veden drobný dlouhodobý hmotný majetek v pořizovací ceně 3000,- Kč až 40 000,- Kč. Účet 407 je použit při ocenění reálnou hodnotou.</w:t>
            </w:r>
            <w:r w:rsidR="00A471A3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Na účtu 406 - Oceňovací rozdíly při prvotním použití metody (ostatní) bylo zaúčtováno 33759243,19 Kč - vyúčtování přijatého transferu - Zajištění dostupnosti vybraných soc. služeb v Olomouckém kraji.</w:t>
            </w:r>
            <w:r w:rsidR="00A471A3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Na účet 408 - Opravy minulých období byla zaúčtována oprava účtu 472 v celkové částce 1439378,95 Kč.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E.2.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položkám výkazu zisku a ztráty (TEXT)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Částka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A.I.24..A.I.23.. A.I.26.. A.I.30.. A.I.31..  B.I.14.. B.I.15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471A3" w:rsidRDefault="00ED52A7" w:rsidP="00A4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Dary - darovací smlouvy na dlouhodobý majetek 1 083 460,- Kč. Jiné pokuty a penále částka 1 974,- Kč. Manka a škody -zmařené investice 22 299 704,67 Kč. Prodaný dlouhodobý hmotný majetek 3 062 579,05 Kč</w:t>
            </w:r>
            <w:r w:rsidR="00A471A3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,</w:t>
            </w: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prodané pozemky 2 141 225,63 Kč. Výnosy z prodeje dlouhodobého hmotného majetku </w:t>
            </w:r>
          </w:p>
          <w:p w:rsidR="00ED52A7" w:rsidRPr="00ED52A7" w:rsidRDefault="00A471A3" w:rsidP="00A4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2</w:t>
            </w:r>
            <w:r w:rsidR="00ED52A7"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416 703,05 Kč. Výnosy z prodeje pozemků 2 367 120,- Kč.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E.3.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položkám přehledu o peněžních tocích (TEXT)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Částka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A.. B.I.. B.II.. C.. R.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Výkaz je tvořen od roku 2011. Ve srovnání s rokem 2012 došlo u Úprav o nepeněžní operace k nárůstu o 85 481 900,63 Kč. Výdaje na pořízení dlouhodobých aktiv se meziročně snížily o 95 258 318,84 Kč, příjmy z prodeje dlouhodobých aktiv se snížily o 19 853 415,95 Kč. Peněžní toky z vlastního kapitálu se proti roku 2012 zvýšily o 266 563 037,05 Kč. Stav peněžních prostředků k rozvahovému dni se proti roku 2012 zvýšil o 183 365 924,46 Kč.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E.4.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položkám přehledu o změnách vlastního kapitálu (TEXT)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Doplňující informace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Částka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ED52A7" w:rsidRPr="00ED52A7" w:rsidTr="001310CA">
        <w:trPr>
          <w:cantSplit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A.I.. A.III.. A.V.. A.VII.. B.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Výkaz je sestavován od roku 2011. Ke snížení jmění účetní jednotky proti roku 2012 o 772 829 088,01 Kč došlo z důvodu svěření majetku příspěvkovým organizacím do hospodaření a bezúplatných převodů a darů územně samosprávným celkům. Transfery na pořízení dlouhodobého majetku se meziročně zvýšily o 152 150 097,59 Kč. Na účtu 406 - Oceňovací rozdíly při prvotním použití metody (ostatní) bylo zaúčtováno 33 759 243,19 Kč - vyúčtování přijatého transferu - Zajištění dostupnosti vybraných soc. služeb v Olomouckém kraji. Na účet 408 - Opravy minulých období byla zaúčtována oprava účtu 472 v celkové částce 1 439 378,95 Kč.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lastRenderedPageBreak/>
              <w:t>F.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fondům účetní jednotky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cs-CZ"/>
              </w:rPr>
              <w:t>Ostatní fondy - územní samosprávné celky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ED52A7" w:rsidRPr="00ED52A7" w:rsidTr="00ED52A7">
        <w:trPr>
          <w:cantSplit/>
        </w:trPr>
        <w:tc>
          <w:tcPr>
            <w:tcW w:w="125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Položka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 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G.I.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59 360 544,33 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G.II.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Tvorba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69 389 122,39 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Přebytky hospodaření z minulých let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69 148 443,00 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běžného roku, které nejsou určeny k využití v běžném roce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240 679,39 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tvorba fondu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G.III.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Čerpání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50 047 137,37 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G.IV.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Konečný stav fondu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78 702 529,35 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G.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Stavby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G.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2 796 166 590,46 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768 762 726,88 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2 027 403 863,58 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1 981 806 001,70 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Bytové domy a 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4 371 516,58 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1 172 938,00 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3 198 578,58 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4 429 120,23 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 pro služby obyvatelstvu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1 869 093 242,43 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521 582 577,00 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1 347 510 665,43 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1 299 727 055,72 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Jiné nebytové domy a nebytové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483 260 555,01 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128 610 931,00 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354 649 624,01 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356 705 624,73 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Komunikace a veřejné osvětlení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173 530 584,81 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31 537 591,88 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141 992 992,93 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136 894 461,59 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Jiné inženýrské sítě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170 924 089,82 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59 787 196,00 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111 136 893,82 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114 207 938,70 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G.6.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94 986 601,81 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26 071 493,00 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68 915 108,81 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69 841 800,73 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Pozemky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NETTO</w:t>
            </w:r>
          </w:p>
        </w:tc>
        <w:tc>
          <w:tcPr>
            <w:tcW w:w="21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62 091 494,32 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62 091 494,32 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61 979 965,67 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7 843 170,71 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7 843 170,71 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7 843 170,71 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Lesní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Zahrady, pastviny, louky, rybníky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5 477 172,36 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5 477 172,36 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5 482 007,36 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Zastavěná plocha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9 155 630,07 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9 155 630,07 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9 144 598,42 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H.5.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39 615 521,18 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39 615 521,18 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39 510 189,18 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položce "A.II.4. Náklady z přecenění reálnou hodnotou" výkazu zisku a ztráty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3 216 914,95 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2 672 611,60 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3 216 914,95 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2 672 611,60 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náklady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položce "B.II.4. Výnosy z přecenění reálnou hodnotou" výkazu zisku a ztráty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3 730 715,66 </w:t>
            </w: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16 797 916,88 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3 730 715,66 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16 797 916,88 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výnosy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ED52A7" w:rsidRPr="00ED52A7" w:rsidTr="001310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K.</w:t>
            </w:r>
          </w:p>
        </w:tc>
        <w:tc>
          <w:tcPr>
            <w:tcW w:w="1507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cs-CZ"/>
              </w:rPr>
              <w:t>Doplňující informace k položce "A. Stálá aktiva" rozvahy</w:t>
            </w: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="Times New Roman" w:hAnsi="Arial" w:cs="Arial"/>
          <w:i/>
          <w:iCs/>
          <w:color w:val="000000"/>
          <w:sz w:val="14"/>
          <w:szCs w:val="14"/>
          <w:lang w:eastAsia="cs-CZ"/>
        </w:r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ÚČETNÍ OBDOBÍ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BĚŽNÉ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ED52A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cs-CZ"/>
              </w:rPr>
              <w:t>MINULÉ</w:t>
            </w: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Ocenění dlouhodobého majetku určeného k prodeji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Ocenění dlouhodobého nehmotného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D52A7" w:rsidRPr="00ED52A7" w:rsidTr="00ED52A7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D52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Ocenění dlouhodobého hmotného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D52A7" w:rsidRPr="00ED52A7" w:rsidRDefault="00ED52A7" w:rsidP="00ED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D52A7" w:rsidRPr="00ED52A7" w:rsidRDefault="00ED52A7" w:rsidP="00ED52A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ED52A7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* Konec sestavy *</w:t>
      </w:r>
    </w:p>
    <w:p w:rsidR="0096691B" w:rsidRPr="00311CB9" w:rsidRDefault="0096691B" w:rsidP="002431F6"/>
    <w:sectPr w:rsidR="0096691B" w:rsidRPr="00311CB9" w:rsidSect="00487A5E">
      <w:headerReference w:type="even" r:id="rId8"/>
      <w:footerReference w:type="even" r:id="rId9"/>
      <w:footerReference w:type="default" r:id="rId10"/>
      <w:type w:val="continuous"/>
      <w:pgSz w:w="16838" w:h="11906" w:orient="landscape" w:code="9"/>
      <w:pgMar w:top="567" w:right="567" w:bottom="567" w:left="567" w:header="567" w:footer="567" w:gutter="0"/>
      <w:pgNumType w:start="4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D" w:rsidRDefault="001A7DCD" w:rsidP="00311CB9">
      <w:pPr>
        <w:spacing w:after="0" w:line="240" w:lineRule="auto"/>
      </w:pPr>
      <w:r>
        <w:separator/>
      </w:r>
    </w:p>
  </w:endnote>
  <w:endnote w:type="continuationSeparator" w:id="0">
    <w:p w:rsidR="001A7DCD" w:rsidRDefault="001A7DCD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CA" w:rsidRDefault="001310CA">
    <w:pPr>
      <w:pStyle w:val="Zpat"/>
    </w:pPr>
  </w:p>
  <w:p w:rsidR="001310CA" w:rsidRDefault="001310CA"/>
  <w:p w:rsidR="001310CA" w:rsidRDefault="001310CA"/>
  <w:p w:rsidR="001310CA" w:rsidRDefault="001310CA"/>
  <w:p w:rsidR="001310CA" w:rsidRDefault="001310CA"/>
  <w:p w:rsidR="001310CA" w:rsidRDefault="001310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1310CA" w:rsidRPr="00CA7391" w:rsidTr="00CA7391">
      <w:tc>
        <w:tcPr>
          <w:tcW w:w="7922" w:type="dxa"/>
        </w:tcPr>
        <w:p w:rsidR="001310CA" w:rsidRDefault="001310CA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1310CA" w:rsidRPr="00CA7391" w:rsidRDefault="0057514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1310CA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 w:rsidR="001310CA">
            <w:rPr>
              <w:rFonts w:ascii="Arial" w:hAnsi="Arial" w:cs="Arial"/>
              <w:i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t>0</w:t>
          </w:r>
          <w:r w:rsidR="0017429E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i/>
              <w:sz w:val="20"/>
              <w:szCs w:val="20"/>
            </w:rPr>
            <w:t>6</w:t>
          </w:r>
          <w:r w:rsidR="0017429E">
            <w:rPr>
              <w:rFonts w:ascii="Arial" w:hAnsi="Arial" w:cs="Arial"/>
              <w:i/>
              <w:sz w:val="20"/>
              <w:szCs w:val="20"/>
            </w:rPr>
            <w:t>. 2014</w:t>
          </w:r>
        </w:p>
        <w:p w:rsidR="001310CA" w:rsidRPr="00CA7391" w:rsidRDefault="00FC5E0B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5</w:t>
          </w:r>
          <w:r w:rsidR="001310CA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>2</w:t>
          </w:r>
          <w:r w:rsidR="00575144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1310CA">
            <w:rPr>
              <w:rFonts w:ascii="Arial" w:hAnsi="Arial" w:cs="Arial"/>
              <w:i/>
              <w:sz w:val="20"/>
              <w:szCs w:val="20"/>
            </w:rPr>
            <w:t xml:space="preserve"> -</w:t>
          </w:r>
          <w:r w:rsidR="001310CA" w:rsidRPr="00CA7391">
            <w:rPr>
              <w:rFonts w:ascii="Arial" w:hAnsi="Arial" w:cs="Arial"/>
              <w:i/>
              <w:sz w:val="20"/>
              <w:szCs w:val="20"/>
            </w:rPr>
            <w:t xml:space="preserve"> Závěrečný účet Olomouckého kraje za rok 201</w:t>
          </w:r>
          <w:r w:rsidR="001310CA">
            <w:rPr>
              <w:rFonts w:ascii="Arial" w:hAnsi="Arial" w:cs="Arial"/>
              <w:i/>
              <w:sz w:val="20"/>
              <w:szCs w:val="20"/>
            </w:rPr>
            <w:t>3</w:t>
          </w:r>
        </w:p>
        <w:p w:rsidR="001310CA" w:rsidRPr="00CA7391" w:rsidRDefault="001310CA" w:rsidP="001310CA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>
            <w:rPr>
              <w:rFonts w:ascii="Arial" w:hAnsi="Arial" w:cs="Arial"/>
              <w:i/>
              <w:sz w:val="20"/>
              <w:szCs w:val="20"/>
            </w:rPr>
            <w:t>18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Příloha</w:t>
          </w:r>
        </w:p>
      </w:tc>
      <w:tc>
        <w:tcPr>
          <w:tcW w:w="7922" w:type="dxa"/>
        </w:tcPr>
        <w:p w:rsidR="001310CA" w:rsidRDefault="001310CA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1310CA" w:rsidRPr="00CA7391" w:rsidRDefault="001310CA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487A5E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470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487A5E">
                <w:rPr>
                  <w:rFonts w:ascii="Arial" w:hAnsi="Arial" w:cs="Arial"/>
                  <w:i/>
                  <w:sz w:val="20"/>
                  <w:szCs w:val="20"/>
                </w:rPr>
                <w:t>80</w:t>
              </w:r>
              <w:r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1310CA" w:rsidRPr="00CA7391" w:rsidRDefault="001310CA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1310CA" w:rsidRDefault="001310CA" w:rsidP="00454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D" w:rsidRDefault="001A7DCD" w:rsidP="00311CB9">
      <w:pPr>
        <w:spacing w:after="0" w:line="240" w:lineRule="auto"/>
      </w:pPr>
      <w:r>
        <w:separator/>
      </w:r>
    </w:p>
  </w:footnote>
  <w:footnote w:type="continuationSeparator" w:id="0">
    <w:p w:rsidR="001A7DCD" w:rsidRDefault="001A7DCD" w:rsidP="0031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CA" w:rsidRDefault="001310CA">
    <w:pPr>
      <w:pStyle w:val="Zhlav"/>
    </w:pPr>
  </w:p>
  <w:p w:rsidR="001310CA" w:rsidRDefault="001310CA"/>
  <w:p w:rsidR="001310CA" w:rsidRDefault="001310CA"/>
  <w:p w:rsidR="001310CA" w:rsidRDefault="001310CA"/>
  <w:p w:rsidR="001310CA" w:rsidRDefault="001310CA"/>
  <w:p w:rsidR="001310CA" w:rsidRDefault="0013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1310CA"/>
    <w:rsid w:val="001661DD"/>
    <w:rsid w:val="0017429E"/>
    <w:rsid w:val="00181B36"/>
    <w:rsid w:val="001A7DCD"/>
    <w:rsid w:val="001B6A98"/>
    <w:rsid w:val="00227168"/>
    <w:rsid w:val="002431F6"/>
    <w:rsid w:val="00261741"/>
    <w:rsid w:val="0027058C"/>
    <w:rsid w:val="00307C1A"/>
    <w:rsid w:val="00311CB9"/>
    <w:rsid w:val="003650B2"/>
    <w:rsid w:val="00391B13"/>
    <w:rsid w:val="003B1B54"/>
    <w:rsid w:val="003C079B"/>
    <w:rsid w:val="003D793F"/>
    <w:rsid w:val="003F75AC"/>
    <w:rsid w:val="004123DF"/>
    <w:rsid w:val="004474E6"/>
    <w:rsid w:val="00454C9A"/>
    <w:rsid w:val="00487A5E"/>
    <w:rsid w:val="004B0A52"/>
    <w:rsid w:val="004B72BD"/>
    <w:rsid w:val="00552518"/>
    <w:rsid w:val="00575144"/>
    <w:rsid w:val="006745A2"/>
    <w:rsid w:val="006D1705"/>
    <w:rsid w:val="00701E39"/>
    <w:rsid w:val="00756698"/>
    <w:rsid w:val="00835864"/>
    <w:rsid w:val="008C04EC"/>
    <w:rsid w:val="008F563A"/>
    <w:rsid w:val="0096691B"/>
    <w:rsid w:val="009B6C8C"/>
    <w:rsid w:val="00A471A3"/>
    <w:rsid w:val="00A75069"/>
    <w:rsid w:val="00A8280D"/>
    <w:rsid w:val="00B24C90"/>
    <w:rsid w:val="00BD6C33"/>
    <w:rsid w:val="00BE2BE3"/>
    <w:rsid w:val="00C70FB5"/>
    <w:rsid w:val="00CA7391"/>
    <w:rsid w:val="00CD4D37"/>
    <w:rsid w:val="00DE2644"/>
    <w:rsid w:val="00E34527"/>
    <w:rsid w:val="00ED52A7"/>
    <w:rsid w:val="00F4795E"/>
    <w:rsid w:val="00F92620"/>
    <w:rsid w:val="00FC5E0B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18</cp:revision>
  <cp:lastPrinted>2014-05-20T05:16:00Z</cp:lastPrinted>
  <dcterms:created xsi:type="dcterms:W3CDTF">2014-05-19T04:49:00Z</dcterms:created>
  <dcterms:modified xsi:type="dcterms:W3CDTF">2014-06-02T13:32:00Z</dcterms:modified>
</cp:coreProperties>
</file>