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E62519" w:rsidRPr="00A0335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62519" w:rsidRPr="00A0335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</w:t>
      </w:r>
      <w:r w:rsidR="00D203D7" w:rsidRPr="00A03356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>779 11 Olomouc</w:t>
      </w:r>
    </w:p>
    <w:p w:rsidR="00E62519" w:rsidRPr="00A0335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E62519" w:rsidRPr="00A0335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535EA3" w:rsidRPr="00A03356" w:rsidRDefault="00E62519" w:rsidP="00535EA3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35EA3" w:rsidRPr="00A03356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Olomouckého kraje,</w:t>
      </w:r>
    </w:p>
    <w:p w:rsidR="00535EA3" w:rsidRPr="00A03356" w:rsidRDefault="00535EA3" w:rsidP="00535EA3">
      <w:pPr>
        <w:spacing w:after="120"/>
        <w:ind w:left="1418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 xml:space="preserve">             na základě usnesení Zastupitelstva Olomouckého kraje č. </w:t>
      </w:r>
      <w:proofErr w:type="gramStart"/>
      <w:r w:rsidRPr="00A03356">
        <w:rPr>
          <w:rFonts w:ascii="Arial" w:eastAsia="Times New Roman" w:hAnsi="Arial" w:cs="Arial"/>
          <w:sz w:val="24"/>
          <w:szCs w:val="24"/>
          <w:lang w:eastAsia="cs-CZ"/>
        </w:rPr>
        <w:t>UZ/../…</w:t>
      </w:r>
      <w:proofErr w:type="gramEnd"/>
      <w:r w:rsidRPr="00A03356">
        <w:rPr>
          <w:rFonts w:ascii="Arial" w:eastAsia="Times New Roman" w:hAnsi="Arial" w:cs="Arial"/>
          <w:sz w:val="24"/>
          <w:szCs w:val="24"/>
          <w:lang w:eastAsia="cs-CZ"/>
        </w:rPr>
        <w:t>/2018 ze dne 17. 09. 2018</w:t>
      </w:r>
    </w:p>
    <w:p w:rsidR="00E62519" w:rsidRPr="00A0335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35EA3" w:rsidRPr="00A03356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banka, a.s., pobočka Olomouc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535EA3" w:rsidRPr="00A03356" w:rsidRDefault="00535EA3" w:rsidP="00535EA3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 xml:space="preserve">Číslo účtu: </w:t>
      </w:r>
      <w:r w:rsidRPr="002262AF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27 – 4228330207/0100</w:t>
      </w:r>
    </w:p>
    <w:p w:rsidR="00E62519" w:rsidRPr="00A03356" w:rsidRDefault="00535EA3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A0335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A0335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A0335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A0335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326BF5" w:rsidRPr="00A03356" w:rsidRDefault="00326BF5" w:rsidP="00326BF5">
      <w:pPr>
        <w:pStyle w:val="Odstavecseseznamem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A03356">
        <w:rPr>
          <w:rFonts w:ascii="Arial" w:hAnsi="Arial" w:cs="Arial"/>
          <w:b/>
          <w:sz w:val="24"/>
          <w:szCs w:val="24"/>
          <w:lang w:bidi="en-US"/>
        </w:rPr>
        <w:t>Povodí Moravy, s. p.</w:t>
      </w:r>
    </w:p>
    <w:p w:rsidR="00E62519" w:rsidRPr="00A0335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6BF5" w:rsidRPr="00A03356">
        <w:rPr>
          <w:rFonts w:ascii="Arial" w:hAnsi="Arial" w:cs="Arial"/>
          <w:sz w:val="24"/>
          <w:szCs w:val="24"/>
          <w:lang w:bidi="en-US"/>
        </w:rPr>
        <w:t>Dřevařská 932/11, Veveří, 602 00 Brno</w:t>
      </w:r>
    </w:p>
    <w:p w:rsidR="00E62519" w:rsidRPr="00A0335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6BF5" w:rsidRPr="00A03356">
        <w:rPr>
          <w:rFonts w:ascii="Arial" w:hAnsi="Arial" w:cs="Arial"/>
          <w:sz w:val="24"/>
          <w:szCs w:val="24"/>
          <w:lang w:bidi="en-US"/>
        </w:rPr>
        <w:t>70890013</w:t>
      </w:r>
    </w:p>
    <w:p w:rsidR="00E62519" w:rsidRPr="00A0335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0335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0335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326BF5" w:rsidRPr="00A03356">
        <w:rPr>
          <w:rFonts w:ascii="Arial" w:eastAsia="Times New Roman" w:hAnsi="Arial" w:cs="Arial"/>
          <w:bCs/>
          <w:sz w:val="24"/>
          <w:szCs w:val="24"/>
          <w:lang w:eastAsia="cs-CZ"/>
        </w:rPr>
        <w:t>CZ</w:t>
      </w:r>
      <w:r w:rsidR="00326BF5" w:rsidRPr="00A03356">
        <w:rPr>
          <w:rFonts w:ascii="Arial" w:hAnsi="Arial" w:cs="Arial"/>
          <w:sz w:val="24"/>
          <w:szCs w:val="24"/>
          <w:lang w:bidi="en-US"/>
        </w:rPr>
        <w:t>70890013</w:t>
      </w:r>
    </w:p>
    <w:p w:rsidR="00326BF5" w:rsidRPr="00A0335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6BF5" w:rsidRPr="00A03356">
        <w:rPr>
          <w:rFonts w:ascii="Arial" w:hAnsi="Arial" w:cs="Arial"/>
          <w:sz w:val="24"/>
          <w:szCs w:val="24"/>
          <w:lang w:bidi="en-US"/>
        </w:rPr>
        <w:t>MVDr. Václavem Gargulákem, generálním ředitelem</w:t>
      </w:r>
      <w:r w:rsidR="00326BF5" w:rsidRPr="00A03356">
        <w:rPr>
          <w:rFonts w:ascii="Arial" w:hAnsi="Arial" w:cs="Arial"/>
          <w:sz w:val="24"/>
          <w:szCs w:val="24"/>
        </w:rPr>
        <w:t xml:space="preserve"> </w:t>
      </w:r>
    </w:p>
    <w:p w:rsidR="00326BF5" w:rsidRPr="00A03356" w:rsidRDefault="00326BF5" w:rsidP="00C5751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A03356">
        <w:rPr>
          <w:rFonts w:ascii="Arial" w:hAnsi="Arial" w:cs="Arial"/>
          <w:sz w:val="24"/>
          <w:szCs w:val="24"/>
        </w:rPr>
        <w:t xml:space="preserve">zapsán v obchodním rejstříku vedeném Krajským soudem v Brně pod </w:t>
      </w:r>
      <w:proofErr w:type="spellStart"/>
      <w:r w:rsidRPr="00A03356">
        <w:rPr>
          <w:rFonts w:ascii="Arial" w:hAnsi="Arial" w:cs="Arial"/>
          <w:sz w:val="24"/>
          <w:szCs w:val="24"/>
        </w:rPr>
        <w:t>sp</w:t>
      </w:r>
      <w:proofErr w:type="spellEnd"/>
      <w:r w:rsidRPr="00A03356">
        <w:rPr>
          <w:rFonts w:ascii="Arial" w:hAnsi="Arial" w:cs="Arial"/>
          <w:sz w:val="24"/>
          <w:szCs w:val="24"/>
        </w:rPr>
        <w:t>. zn. A 13565</w:t>
      </w:r>
    </w:p>
    <w:p w:rsidR="00E62519" w:rsidRPr="00A0335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</w:rPr>
      </w:pPr>
      <w:r w:rsidRPr="00A0335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0335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6BF5" w:rsidRPr="00A03356">
        <w:rPr>
          <w:rFonts w:ascii="Arial" w:hAnsi="Arial" w:cs="Arial"/>
          <w:sz w:val="24"/>
        </w:rPr>
        <w:t>Komerční banka, a.s.</w:t>
      </w:r>
    </w:p>
    <w:p w:rsidR="00326BF5" w:rsidRPr="00A03356" w:rsidRDefault="00326BF5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03356">
        <w:rPr>
          <w:rFonts w:ascii="Arial" w:hAnsi="Arial" w:cs="Arial"/>
          <w:sz w:val="24"/>
        </w:rPr>
        <w:t xml:space="preserve">Číslo účtu: </w:t>
      </w:r>
      <w:r w:rsidRPr="002262AF">
        <w:rPr>
          <w:rFonts w:ascii="Arial" w:hAnsi="Arial" w:cs="Arial"/>
          <w:sz w:val="24"/>
          <w:highlight w:val="black"/>
        </w:rPr>
        <w:t>43-1881380297/0100</w:t>
      </w:r>
    </w:p>
    <w:p w:rsidR="00326BF5" w:rsidRDefault="00326BF5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E62519" w:rsidRDefault="00E62519" w:rsidP="00535EA3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326BF5" w:rsidRPr="00B97A28" w:rsidRDefault="009A3DA5" w:rsidP="003E0C0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C0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="00326BF5" w:rsidRPr="00B97A28">
        <w:rPr>
          <w:rFonts w:ascii="Arial" w:hAnsi="Arial" w:cs="Arial"/>
          <w:sz w:val="24"/>
          <w:szCs w:val="24"/>
        </w:rPr>
        <w:t xml:space="preserve">35 913 437 </w:t>
      </w:r>
      <w:r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Kč, slovy: </w:t>
      </w:r>
      <w:r w:rsidR="00326BF5" w:rsidRPr="00B97A28">
        <w:rPr>
          <w:rFonts w:ascii="Arial" w:eastAsia="Times New Roman" w:hAnsi="Arial" w:cs="Arial"/>
          <w:sz w:val="24"/>
          <w:szCs w:val="24"/>
          <w:lang w:eastAsia="cs-CZ"/>
        </w:rPr>
        <w:t>třicet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26BF5" w:rsidRPr="00B97A28">
        <w:rPr>
          <w:rFonts w:ascii="Arial" w:eastAsia="Times New Roman" w:hAnsi="Arial" w:cs="Arial"/>
          <w:sz w:val="24"/>
          <w:szCs w:val="24"/>
          <w:lang w:eastAsia="cs-CZ"/>
        </w:rPr>
        <w:t>pět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26BF5" w:rsidRPr="00B97A28">
        <w:rPr>
          <w:rFonts w:ascii="Arial" w:eastAsia="Times New Roman" w:hAnsi="Arial" w:cs="Arial"/>
          <w:sz w:val="24"/>
          <w:szCs w:val="24"/>
          <w:lang w:eastAsia="cs-CZ"/>
        </w:rPr>
        <w:t>mil</w:t>
      </w:r>
      <w:r w:rsidR="000C501D" w:rsidRPr="00B97A2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326BF5" w:rsidRPr="00B97A28">
        <w:rPr>
          <w:rFonts w:ascii="Arial" w:eastAsia="Times New Roman" w:hAnsi="Arial" w:cs="Arial"/>
          <w:sz w:val="24"/>
          <w:szCs w:val="24"/>
          <w:lang w:eastAsia="cs-CZ"/>
        </w:rPr>
        <w:t>onů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>devě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t 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>set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>třináct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>tisíc čtyři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>sta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>třicet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>sed</w:t>
      </w:r>
      <w:r w:rsidR="00D203D7" w:rsidRPr="00B97A28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run českých </w:t>
      </w:r>
      <w:r w:rsidR="006C5BC4" w:rsidRPr="003E0C08">
        <w:rPr>
          <w:rFonts w:ascii="Arial" w:eastAsia="Times New Roman" w:hAnsi="Arial" w:cs="Arial"/>
          <w:sz w:val="24"/>
          <w:szCs w:val="24"/>
          <w:lang w:eastAsia="cs-CZ"/>
        </w:rPr>
        <w:t>(dále jen „dotace“)</w:t>
      </w:r>
      <w:r w:rsidR="000979C5" w:rsidRPr="003E0C08">
        <w:rPr>
          <w:rFonts w:ascii="Arial" w:hAnsi="Arial" w:cs="Arial"/>
          <w:sz w:val="24"/>
          <w:szCs w:val="24"/>
        </w:rPr>
        <w:t xml:space="preserve"> </w:t>
      </w:r>
      <w:r w:rsidR="000979C5" w:rsidRPr="003E0C08">
        <w:rPr>
          <w:rFonts w:ascii="Arial" w:eastAsia="Times New Roman" w:hAnsi="Arial" w:cs="Arial"/>
          <w:sz w:val="24"/>
          <w:szCs w:val="24"/>
          <w:lang w:eastAsia="cs-CZ"/>
        </w:rPr>
        <w:t xml:space="preserve">jako individuální dotaci z rozpočtu Olomouckého </w:t>
      </w:r>
      <w:r w:rsidR="000979C5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kraje v oblasti </w:t>
      </w:r>
      <w:r w:rsidR="00326BF5" w:rsidRPr="00D3249C">
        <w:rPr>
          <w:rFonts w:ascii="Arial" w:eastAsia="Times New Roman" w:hAnsi="Arial" w:cs="Arial"/>
          <w:sz w:val="24"/>
          <w:szCs w:val="24"/>
          <w:lang w:eastAsia="cs-CZ"/>
        </w:rPr>
        <w:t>životního prostředí a zemědělství</w:t>
      </w:r>
      <w:r w:rsidR="003E0C08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326BF5" w:rsidRPr="00B97A28">
        <w:rPr>
          <w:rFonts w:ascii="Arial" w:hAnsi="Arial" w:cs="Arial"/>
          <w:sz w:val="24"/>
          <w:szCs w:val="24"/>
        </w:rPr>
        <w:t xml:space="preserve">terá představuje 5 </w:t>
      </w:r>
      <w:r w:rsidR="00326BF5" w:rsidRPr="00B97A28">
        <w:rPr>
          <w:rFonts w:ascii="Arial" w:hAnsi="Arial" w:cs="Arial"/>
          <w:b/>
          <w:sz w:val="24"/>
          <w:szCs w:val="24"/>
        </w:rPr>
        <w:t>%</w:t>
      </w:r>
      <w:r w:rsidR="00326BF5" w:rsidRPr="00B97A28">
        <w:rPr>
          <w:rFonts w:ascii="Arial" w:hAnsi="Arial" w:cs="Arial"/>
          <w:sz w:val="24"/>
          <w:szCs w:val="24"/>
        </w:rPr>
        <w:t xml:space="preserve"> z celkových předpokládaných </w:t>
      </w:r>
      <w:r w:rsidR="008C2F6A" w:rsidRPr="00B97A28">
        <w:rPr>
          <w:rFonts w:ascii="Arial" w:hAnsi="Arial" w:cs="Arial"/>
          <w:sz w:val="24"/>
          <w:szCs w:val="24"/>
        </w:rPr>
        <w:t xml:space="preserve">uznatelných </w:t>
      </w:r>
      <w:r w:rsidR="00326BF5" w:rsidRPr="00B97A28">
        <w:rPr>
          <w:rFonts w:ascii="Arial" w:hAnsi="Arial" w:cs="Arial"/>
          <w:sz w:val="24"/>
          <w:szCs w:val="24"/>
        </w:rPr>
        <w:t xml:space="preserve">investičních </w:t>
      </w:r>
      <w:r w:rsidR="00D203D7" w:rsidRPr="00B97A28">
        <w:rPr>
          <w:rFonts w:ascii="Arial" w:hAnsi="Arial" w:cs="Arial"/>
          <w:sz w:val="24"/>
          <w:szCs w:val="24"/>
        </w:rPr>
        <w:t>výdajů</w:t>
      </w:r>
      <w:r w:rsidR="00326BF5" w:rsidRPr="00B97A28">
        <w:rPr>
          <w:rFonts w:ascii="Arial" w:hAnsi="Arial" w:cs="Arial"/>
          <w:sz w:val="24"/>
          <w:szCs w:val="24"/>
        </w:rPr>
        <w:t xml:space="preserve"> </w:t>
      </w:r>
      <w:r w:rsidR="00326BF5" w:rsidRPr="00B97A28">
        <w:rPr>
          <w:rFonts w:ascii="Arial" w:hAnsi="Arial" w:cs="Arial"/>
          <w:sz w:val="24"/>
          <w:szCs w:val="24"/>
        </w:rPr>
        <w:lastRenderedPageBreak/>
        <w:t xml:space="preserve">vyčíslených příjemcem ke dni podání žádosti o dotaci (rámcový rozpis celkových </w:t>
      </w:r>
      <w:r w:rsidR="00D203D7" w:rsidRPr="00B97A28">
        <w:rPr>
          <w:rFonts w:ascii="Arial" w:hAnsi="Arial" w:cs="Arial"/>
          <w:sz w:val="24"/>
          <w:szCs w:val="24"/>
        </w:rPr>
        <w:t xml:space="preserve">výdajů </w:t>
      </w:r>
      <w:r w:rsidR="00326BF5" w:rsidRPr="00B97A28">
        <w:rPr>
          <w:rFonts w:ascii="Arial" w:hAnsi="Arial" w:cs="Arial"/>
          <w:sz w:val="24"/>
          <w:szCs w:val="24"/>
        </w:rPr>
        <w:t xml:space="preserve">tvoří Přílohu č. 2 </w:t>
      </w:r>
      <w:proofErr w:type="gramStart"/>
      <w:r w:rsidR="00326BF5" w:rsidRPr="00B97A28">
        <w:rPr>
          <w:rFonts w:ascii="Arial" w:hAnsi="Arial" w:cs="Arial"/>
          <w:sz w:val="24"/>
          <w:szCs w:val="24"/>
        </w:rPr>
        <w:t>této</w:t>
      </w:r>
      <w:proofErr w:type="gramEnd"/>
      <w:r w:rsidR="00326BF5" w:rsidRPr="00B97A28">
        <w:rPr>
          <w:rFonts w:ascii="Arial" w:hAnsi="Arial" w:cs="Arial"/>
          <w:sz w:val="24"/>
          <w:szCs w:val="24"/>
        </w:rPr>
        <w:t xml:space="preserve"> smlouvy). Celkové předpokládané </w:t>
      </w:r>
      <w:r w:rsidR="008C2F6A" w:rsidRPr="00B97A28">
        <w:rPr>
          <w:rFonts w:ascii="Arial" w:hAnsi="Arial" w:cs="Arial"/>
          <w:sz w:val="24"/>
          <w:szCs w:val="24"/>
        </w:rPr>
        <w:t xml:space="preserve">uznatelné </w:t>
      </w:r>
      <w:r w:rsidR="00326BF5" w:rsidRPr="00B97A28">
        <w:rPr>
          <w:rFonts w:ascii="Arial" w:hAnsi="Arial" w:cs="Arial"/>
          <w:sz w:val="24"/>
          <w:szCs w:val="24"/>
        </w:rPr>
        <w:t xml:space="preserve">investiční </w:t>
      </w:r>
      <w:r w:rsidR="00D203D7" w:rsidRPr="00B97A28">
        <w:rPr>
          <w:rFonts w:ascii="Arial" w:hAnsi="Arial" w:cs="Arial"/>
          <w:sz w:val="24"/>
          <w:szCs w:val="24"/>
        </w:rPr>
        <w:t>výdaje</w:t>
      </w:r>
      <w:r w:rsidR="00326BF5" w:rsidRPr="00B97A28">
        <w:rPr>
          <w:rFonts w:ascii="Arial" w:hAnsi="Arial" w:cs="Arial"/>
          <w:sz w:val="24"/>
          <w:szCs w:val="24"/>
        </w:rPr>
        <w:t xml:space="preserve"> </w:t>
      </w:r>
      <w:r w:rsidR="00D203D7" w:rsidRPr="00B97A28">
        <w:rPr>
          <w:rFonts w:ascii="Arial" w:hAnsi="Arial" w:cs="Arial"/>
          <w:sz w:val="24"/>
          <w:szCs w:val="24"/>
        </w:rPr>
        <w:t>a</w:t>
      </w:r>
      <w:r w:rsidR="00326BF5" w:rsidRPr="00B97A28">
        <w:rPr>
          <w:rFonts w:ascii="Arial" w:hAnsi="Arial" w:cs="Arial"/>
          <w:sz w:val="24"/>
          <w:szCs w:val="24"/>
        </w:rPr>
        <w:t>kce činily ke dni podání žádosti o dotaci částku ve výši 718 268 749,70 Kč</w:t>
      </w:r>
      <w:r w:rsidR="00D11B91">
        <w:rPr>
          <w:rFonts w:ascii="Arial" w:hAnsi="Arial" w:cs="Arial"/>
          <w:sz w:val="24"/>
          <w:szCs w:val="24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(slovy: sedm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set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os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náct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milionů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stě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šedesát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osm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sedm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set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čtyřicet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B91" w:rsidRPr="00F41342">
        <w:rPr>
          <w:rFonts w:ascii="Arial" w:eastAsia="Times New Roman" w:hAnsi="Arial" w:cs="Arial"/>
          <w:sz w:val="24"/>
          <w:szCs w:val="24"/>
          <w:lang w:eastAsia="cs-CZ"/>
        </w:rPr>
        <w:t>devět korun českých a sedmdesát haléřů)</w:t>
      </w:r>
      <w:r w:rsidR="003E0C08" w:rsidRPr="00B97A28">
        <w:rPr>
          <w:rFonts w:ascii="Arial" w:hAnsi="Arial" w:cs="Arial"/>
          <w:sz w:val="24"/>
          <w:szCs w:val="24"/>
        </w:rPr>
        <w:t>.</w:t>
      </w:r>
    </w:p>
    <w:p w:rsidR="009A3DA5" w:rsidRPr="00B97A2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7A2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97A2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B97A2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realizaci protipovodňových opatření v rámci stavební akce „Morava, </w:t>
      </w:r>
      <w:r w:rsidR="00910D50" w:rsidRPr="00B97A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lomouc – zvýšení kapacity koryta II. B“, a to zejména </w:t>
      </w:r>
      <w:r w:rsidR="00873B1D" w:rsidRPr="00B97A28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3E0C08"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 vybudování zemních hrází a nábřežních betonových zdí, vybudování nového kapacitního mostu na ulici Komenského a dalších </w:t>
      </w:r>
      <w:r w:rsidR="00D203D7" w:rsidRPr="00B97A28">
        <w:rPr>
          <w:rFonts w:ascii="Arial" w:hAnsi="Arial" w:cs="Arial"/>
          <w:sz w:val="24"/>
          <w:szCs w:val="24"/>
        </w:rPr>
        <w:t>výdajů</w:t>
      </w:r>
      <w:r w:rsidRPr="00B97A28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</w:t>
      </w:r>
      <w:r w:rsidR="00001B11" w:rsidRPr="00B97A2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B97A28">
        <w:rPr>
          <w:rFonts w:ascii="Arial" w:eastAsia="Times New Roman" w:hAnsi="Arial" w:cs="Arial"/>
          <w:sz w:val="24"/>
          <w:szCs w:val="24"/>
          <w:lang w:eastAsia="cs-CZ"/>
        </w:rPr>
        <w:t>kce“).</w:t>
      </w:r>
    </w:p>
    <w:p w:rsidR="00FE7B07" w:rsidRPr="00B97A28" w:rsidRDefault="00FE7B07" w:rsidP="00FE7B07">
      <w:pPr>
        <w:pStyle w:val="Default"/>
        <w:numPr>
          <w:ilvl w:val="0"/>
          <w:numId w:val="16"/>
        </w:numPr>
        <w:spacing w:after="120"/>
        <w:jc w:val="both"/>
        <w:rPr>
          <w:color w:val="auto"/>
        </w:rPr>
      </w:pPr>
      <w:r w:rsidRPr="00B97A28">
        <w:rPr>
          <w:color w:val="auto"/>
        </w:rPr>
        <w:t>Dotace bude poskytnuta formou víceletého financování v letech 2018 až 2022, kdy bude uhrazeno pět zálohových ročních plateb takto:</w:t>
      </w:r>
    </w:p>
    <w:p w:rsidR="00FE7B07" w:rsidRPr="00B97A28" w:rsidRDefault="00FE7B07" w:rsidP="00FE7B07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B97A28">
        <w:rPr>
          <w:color w:val="auto"/>
        </w:rPr>
        <w:t>v roce 2018 první platba ve výši</w:t>
      </w:r>
      <w:r w:rsidRPr="00B97A28">
        <w:rPr>
          <w:color w:val="auto"/>
        </w:rPr>
        <w:tab/>
        <w:t xml:space="preserve">   500 000 Kč, </w:t>
      </w:r>
    </w:p>
    <w:p w:rsidR="00FE7B07" w:rsidRPr="00B97A28" w:rsidRDefault="00FE7B07" w:rsidP="00FE7B07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B97A28">
        <w:rPr>
          <w:color w:val="auto"/>
        </w:rPr>
        <w:t>v roce 2019 druhá platba ve výši</w:t>
      </w:r>
      <w:r w:rsidRPr="00B97A28">
        <w:rPr>
          <w:color w:val="auto"/>
        </w:rPr>
        <w:tab/>
        <w:t xml:space="preserve"> 8 890 000 Kč, </w:t>
      </w:r>
    </w:p>
    <w:p w:rsidR="00FE7B07" w:rsidRPr="00B97A28" w:rsidRDefault="00FE7B07" w:rsidP="00FE7B07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B97A28">
        <w:rPr>
          <w:color w:val="auto"/>
        </w:rPr>
        <w:t>v roce 2020 třetí platba ve výši</w:t>
      </w:r>
      <w:r w:rsidRPr="00B97A28">
        <w:rPr>
          <w:color w:val="auto"/>
        </w:rPr>
        <w:tab/>
        <w:t xml:space="preserve"> 8 890 000 Kč, </w:t>
      </w:r>
    </w:p>
    <w:p w:rsidR="00FE7B07" w:rsidRPr="00B97A28" w:rsidRDefault="00FE7B07" w:rsidP="00FE7B07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B97A28">
        <w:rPr>
          <w:color w:val="auto"/>
        </w:rPr>
        <w:t>v roce 2021 čtvrtá platba ve výši</w:t>
      </w:r>
      <w:r w:rsidRPr="00B97A28">
        <w:rPr>
          <w:color w:val="auto"/>
        </w:rPr>
        <w:tab/>
        <w:t xml:space="preserve"> 8 890 000 Kč, </w:t>
      </w:r>
    </w:p>
    <w:p w:rsidR="00FE7B07" w:rsidRPr="00B97A28" w:rsidRDefault="00FE7B07" w:rsidP="00FE7B07">
      <w:pPr>
        <w:pStyle w:val="Default"/>
        <w:numPr>
          <w:ilvl w:val="1"/>
          <w:numId w:val="16"/>
        </w:numPr>
        <w:spacing w:after="120"/>
        <w:jc w:val="both"/>
        <w:rPr>
          <w:color w:val="auto"/>
        </w:rPr>
      </w:pPr>
      <w:r w:rsidRPr="00B97A28">
        <w:rPr>
          <w:color w:val="auto"/>
        </w:rPr>
        <w:t>v roce 2022 pátá platba ve výši</w:t>
      </w:r>
      <w:r w:rsidRPr="00B97A28">
        <w:rPr>
          <w:color w:val="auto"/>
        </w:rPr>
        <w:tab/>
        <w:t xml:space="preserve"> 8 743 437 Kč.</w:t>
      </w:r>
    </w:p>
    <w:p w:rsidR="00FE7B07" w:rsidRPr="00B97A28" w:rsidRDefault="00FE7B07" w:rsidP="00FE7B07">
      <w:pPr>
        <w:pStyle w:val="Default"/>
        <w:spacing w:after="120"/>
        <w:ind w:left="567"/>
        <w:jc w:val="both"/>
        <w:rPr>
          <w:color w:val="auto"/>
        </w:rPr>
      </w:pPr>
      <w:r w:rsidRPr="00B97A28">
        <w:rPr>
          <w:color w:val="auto"/>
        </w:rPr>
        <w:t xml:space="preserve">Tyto platby budou poskytovány zálohově s povinností následného vyúčtování v rámci </w:t>
      </w:r>
      <w:r w:rsidR="00D203D7" w:rsidRPr="00B97A28">
        <w:rPr>
          <w:color w:val="auto"/>
        </w:rPr>
        <w:t xml:space="preserve">celkového </w:t>
      </w:r>
      <w:r w:rsidRPr="00B97A28">
        <w:rPr>
          <w:color w:val="auto"/>
        </w:rPr>
        <w:t xml:space="preserve">vyúčtování </w:t>
      </w:r>
      <w:r w:rsidR="00CF21B3" w:rsidRPr="00B97A28">
        <w:rPr>
          <w:color w:val="auto"/>
        </w:rPr>
        <w:t>A</w:t>
      </w:r>
      <w:r w:rsidRPr="00B97A28">
        <w:rPr>
          <w:color w:val="auto"/>
        </w:rPr>
        <w:t xml:space="preserve">kce. </w:t>
      </w:r>
    </w:p>
    <w:p w:rsidR="009A3DA5" w:rsidRPr="00B97A28" w:rsidRDefault="00A70492" w:rsidP="00FE7B07">
      <w:pPr>
        <w:pStyle w:val="Default"/>
        <w:numPr>
          <w:ilvl w:val="0"/>
          <w:numId w:val="16"/>
        </w:numPr>
        <w:spacing w:after="120"/>
        <w:jc w:val="both"/>
        <w:rPr>
          <w:color w:val="auto"/>
        </w:rPr>
      </w:pPr>
      <w:r w:rsidRPr="00B97A28">
        <w:rPr>
          <w:color w:val="auto"/>
        </w:rPr>
        <w:t>D</w:t>
      </w:r>
      <w:r w:rsidR="00FE7B07" w:rsidRPr="00B97A28">
        <w:rPr>
          <w:color w:val="auto"/>
        </w:rPr>
        <w:t xml:space="preserve">otace, resp. jednotlivé platby podle odst. 3, budou poskytnuty převodem na bankovní účet příjemce uvedený v záhlaví této smlouvy. Platby budou poskytnuty vždy do 31. července příslušného kalendářního roku, s výjimkou první platby, která bude poskytnuta do 21 dnů </w:t>
      </w:r>
      <w:r w:rsidR="009A3DA5" w:rsidRPr="00B97A28">
        <w:rPr>
          <w:color w:val="auto"/>
        </w:rPr>
        <w:t xml:space="preserve">ode dne </w:t>
      </w:r>
      <w:r w:rsidR="00D26F7A" w:rsidRPr="00B97A28">
        <w:rPr>
          <w:color w:val="auto"/>
        </w:rPr>
        <w:t>nabytí účinnosti</w:t>
      </w:r>
      <w:r w:rsidR="009A3DA5" w:rsidRPr="00B97A28">
        <w:rPr>
          <w:color w:val="auto"/>
        </w:rPr>
        <w:t xml:space="preserve"> této smlouvy</w:t>
      </w:r>
      <w:r w:rsidR="009A3DA5" w:rsidRPr="00B97A28">
        <w:rPr>
          <w:i/>
          <w:iCs/>
          <w:color w:val="auto"/>
        </w:rPr>
        <w:t>.</w:t>
      </w:r>
      <w:r w:rsidR="009A3DA5" w:rsidRPr="00B97A28">
        <w:rPr>
          <w:color w:val="auto"/>
        </w:rPr>
        <w:t xml:space="preserve"> </w:t>
      </w:r>
      <w:r w:rsidR="00723202" w:rsidRPr="00B97A28">
        <w:rPr>
          <w:color w:val="auto"/>
        </w:rPr>
        <w:t>Za den</w:t>
      </w:r>
      <w:r w:rsidR="009A3DA5" w:rsidRPr="00B97A28">
        <w:rPr>
          <w:color w:val="auto"/>
        </w:rPr>
        <w:t xml:space="preserve"> poskytnutí dotace </w:t>
      </w:r>
      <w:r w:rsidR="002E4AC7" w:rsidRPr="00B97A28">
        <w:rPr>
          <w:color w:val="auto"/>
        </w:rPr>
        <w:t>se pro účely této smlo</w:t>
      </w:r>
      <w:r w:rsidR="00C21B03" w:rsidRPr="00B97A28">
        <w:rPr>
          <w:color w:val="auto"/>
        </w:rPr>
        <w:t>u</w:t>
      </w:r>
      <w:r w:rsidR="002E4AC7" w:rsidRPr="00B97A28">
        <w:rPr>
          <w:color w:val="auto"/>
        </w:rPr>
        <w:t>vy považuje</w:t>
      </w:r>
      <w:r w:rsidR="00723202" w:rsidRPr="00B97A28">
        <w:rPr>
          <w:color w:val="auto"/>
        </w:rPr>
        <w:t xml:space="preserve"> </w:t>
      </w:r>
      <w:r w:rsidR="009A3DA5" w:rsidRPr="00B97A28">
        <w:rPr>
          <w:color w:val="auto"/>
        </w:rPr>
        <w:t xml:space="preserve">den </w:t>
      </w:r>
      <w:r w:rsidR="00D26F7A" w:rsidRPr="00B97A28">
        <w:rPr>
          <w:color w:val="auto"/>
        </w:rPr>
        <w:t>odepsání</w:t>
      </w:r>
      <w:r w:rsidR="009A3DA5" w:rsidRPr="00B97A28">
        <w:rPr>
          <w:color w:val="auto"/>
        </w:rPr>
        <w:t xml:space="preserve"> finančních prostředků </w:t>
      </w:r>
      <w:r w:rsidR="00C93442" w:rsidRPr="00B97A28">
        <w:rPr>
          <w:color w:val="auto"/>
        </w:rPr>
        <w:t>z účtu poskytovatele</w:t>
      </w:r>
      <w:r w:rsidR="00913B0F" w:rsidRPr="00B97A28">
        <w:rPr>
          <w:color w:val="auto"/>
        </w:rPr>
        <w:t xml:space="preserve"> ve prospěch účtu příjemce</w:t>
      </w:r>
      <w:r w:rsidR="003A45E9" w:rsidRPr="00B97A28">
        <w:rPr>
          <w:color w:val="auto"/>
        </w:rPr>
        <w:t>.</w:t>
      </w:r>
    </w:p>
    <w:p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Pr="00D3249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>rozumí dotace, která musí být použita na úhradu výdajů spojených s pořízením hmotného majetku dle §</w:t>
      </w:r>
      <w:r w:rsidR="00AF584A" w:rsidRPr="00D324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D3249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3249C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D324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D324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CB74A6" w:rsidRDefault="00CB74A6" w:rsidP="00CB74A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celkové </w:t>
      </w:r>
      <w:r w:rsidR="00C978E9" w:rsidRPr="00D3249C">
        <w:rPr>
          <w:rFonts w:ascii="Arial" w:eastAsia="Times New Roman" w:hAnsi="Arial" w:cs="Arial"/>
          <w:sz w:val="24"/>
          <w:szCs w:val="24"/>
          <w:lang w:eastAsia="cs-CZ"/>
        </w:rPr>
        <w:t>skutečně vynalož</w:t>
      </w:r>
      <w:r w:rsidR="00E878E4" w:rsidRPr="00D3249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C978E9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né </w:t>
      </w:r>
      <w:r w:rsidR="008C2F6A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uznatelné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investiční výdaje na Akci přesáhnou 718 268 749,70 Kč, zavazuje se poskytovatel </w:t>
      </w:r>
      <w:r w:rsidR="0039088F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proofErr w:type="spellStart"/>
      <w:r w:rsidR="0039088F">
        <w:rPr>
          <w:rFonts w:ascii="Arial" w:eastAsia="Times New Roman" w:hAnsi="Arial" w:cs="Arial"/>
          <w:sz w:val="24"/>
          <w:szCs w:val="24"/>
          <w:lang w:eastAsia="cs-CZ"/>
        </w:rPr>
        <w:t>Zastupitelsvu</w:t>
      </w:r>
      <w:proofErr w:type="spellEnd"/>
      <w:r w:rsidR="0039088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žádost </w:t>
      </w:r>
      <w:r w:rsidR="00906304" w:rsidRPr="00D3249C">
        <w:rPr>
          <w:rFonts w:ascii="Arial" w:eastAsia="Times New Roman" w:hAnsi="Arial" w:cs="Arial"/>
          <w:sz w:val="24"/>
          <w:szCs w:val="24"/>
          <w:lang w:eastAsia="cs-CZ"/>
        </w:rPr>
        <w:t>příjemc</w:t>
      </w:r>
      <w:r w:rsidR="0039088F">
        <w:rPr>
          <w:rFonts w:ascii="Arial" w:eastAsia="Times New Roman" w:hAnsi="Arial" w:cs="Arial"/>
          <w:sz w:val="24"/>
          <w:szCs w:val="24"/>
          <w:lang w:eastAsia="cs-CZ"/>
        </w:rPr>
        <w:t>e o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 dotaci ve výši 5</w:t>
      </w:r>
      <w:r w:rsidR="00C978E9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1E24AD">
        <w:rPr>
          <w:rFonts w:ascii="Arial" w:eastAsia="Times New Roman" w:hAnsi="Arial" w:cs="Arial"/>
          <w:sz w:val="24"/>
          <w:szCs w:val="24"/>
          <w:lang w:eastAsia="cs-CZ"/>
        </w:rPr>
        <w:t xml:space="preserve">z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rozdílu mezi celkovými </w:t>
      </w:r>
      <w:r w:rsidR="002651AB" w:rsidRPr="00D3249C">
        <w:rPr>
          <w:rFonts w:ascii="Arial" w:eastAsia="Times New Roman" w:hAnsi="Arial" w:cs="Arial"/>
          <w:sz w:val="24"/>
          <w:szCs w:val="24"/>
          <w:lang w:eastAsia="cs-CZ"/>
        </w:rPr>
        <w:t>skutečně vynaloženými</w:t>
      </w:r>
      <w:r w:rsidR="008C2F6A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 uznatelnými</w:t>
      </w:r>
      <w:r w:rsidR="002651AB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>investičními výdaji na Akci a částkou 718 268 749,70 Kč</w:t>
      </w:r>
      <w:r w:rsidR="00682872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 (dotac</w:t>
      </w:r>
      <w:r w:rsidR="00C71853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2872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 na vícenáklady)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, nejvýše však </w:t>
      </w:r>
      <w:r w:rsidR="001E24AD">
        <w:rPr>
          <w:rFonts w:ascii="Arial" w:eastAsia="Times New Roman" w:hAnsi="Arial" w:cs="Arial"/>
          <w:sz w:val="24"/>
          <w:szCs w:val="24"/>
          <w:lang w:eastAsia="cs-CZ"/>
        </w:rPr>
        <w:t xml:space="preserve">do celkové výše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>50 000 000 Kč</w:t>
      </w:r>
      <w:r w:rsidR="001C7F6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>přičemž do této částky</w:t>
      </w:r>
      <w:r w:rsidR="001E24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C7F6D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="00171B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C7F6D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171B34">
        <w:rPr>
          <w:rFonts w:ascii="Arial" w:eastAsia="Times New Roman" w:hAnsi="Arial" w:cs="Arial"/>
          <w:sz w:val="24"/>
          <w:szCs w:val="24"/>
          <w:lang w:eastAsia="cs-CZ"/>
        </w:rPr>
        <w:t xml:space="preserve"> 000</w:t>
      </w:r>
      <w:r w:rsidR="001C7F6D">
        <w:rPr>
          <w:rFonts w:ascii="Arial" w:eastAsia="Times New Roman" w:hAnsi="Arial" w:cs="Arial"/>
          <w:sz w:val="24"/>
          <w:szCs w:val="24"/>
          <w:lang w:eastAsia="cs-CZ"/>
        </w:rPr>
        <w:t xml:space="preserve">,- Kč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>se počítá dotace</w:t>
      </w:r>
      <w:r w:rsidR="001C7F6D">
        <w:rPr>
          <w:rFonts w:ascii="Arial" w:eastAsia="Times New Roman" w:hAnsi="Arial" w:cs="Arial"/>
          <w:sz w:val="24"/>
          <w:szCs w:val="24"/>
          <w:lang w:eastAsia="cs-CZ"/>
        </w:rPr>
        <w:t xml:space="preserve"> poskytnutá na základě této smlo</w:t>
      </w:r>
      <w:r w:rsidR="00171B3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1C7F6D">
        <w:rPr>
          <w:rFonts w:ascii="Arial" w:eastAsia="Times New Roman" w:hAnsi="Arial" w:cs="Arial"/>
          <w:sz w:val="24"/>
          <w:szCs w:val="24"/>
          <w:lang w:eastAsia="cs-CZ"/>
        </w:rPr>
        <w:t>vy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 dle čl. I odst. 1 ve výši 35 913 437 Kč. </w:t>
      </w:r>
      <w:r w:rsidR="00682872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Tato dotace na vícenáklady </w:t>
      </w:r>
      <w:r w:rsidR="00D3249C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bude </w:t>
      </w:r>
      <w:r w:rsidR="0039088F">
        <w:rPr>
          <w:rFonts w:ascii="Arial" w:eastAsia="Times New Roman" w:hAnsi="Arial" w:cs="Arial"/>
          <w:sz w:val="24"/>
          <w:szCs w:val="24"/>
          <w:lang w:eastAsia="cs-CZ"/>
        </w:rPr>
        <w:t xml:space="preserve">v případě </w:t>
      </w:r>
      <w:r w:rsidR="001C7F6D">
        <w:rPr>
          <w:rFonts w:ascii="Arial" w:eastAsia="Times New Roman" w:hAnsi="Arial" w:cs="Arial"/>
          <w:sz w:val="24"/>
          <w:szCs w:val="24"/>
          <w:lang w:eastAsia="cs-CZ"/>
        </w:rPr>
        <w:t xml:space="preserve">jejího </w:t>
      </w:r>
      <w:r w:rsidR="0039088F">
        <w:rPr>
          <w:rFonts w:ascii="Arial" w:eastAsia="Times New Roman" w:hAnsi="Arial" w:cs="Arial"/>
          <w:sz w:val="24"/>
          <w:szCs w:val="24"/>
          <w:lang w:eastAsia="cs-CZ"/>
        </w:rPr>
        <w:t xml:space="preserve">schválení Zastupitelstvem Olomouckého kraje </w:t>
      </w:r>
      <w:r w:rsidR="00D3249C" w:rsidRPr="00D3249C">
        <w:rPr>
          <w:rFonts w:ascii="Arial" w:eastAsia="Times New Roman" w:hAnsi="Arial" w:cs="Arial"/>
          <w:sz w:val="24"/>
          <w:szCs w:val="24"/>
          <w:lang w:eastAsia="cs-CZ"/>
        </w:rPr>
        <w:t>poskytnuta na základě samostatné veřejnoprávní smlouvy o poskytnutí dotace</w:t>
      </w:r>
      <w:r w:rsidR="003908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520A6" w:rsidRDefault="00D520A6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A3DA5" w:rsidRDefault="009A3DA5" w:rsidP="00D520A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</w:t>
      </w:r>
      <w:r w:rsidR="000C501D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0C501D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4C2048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873B1D">
        <w:rPr>
          <w:rFonts w:ascii="Arial" w:eastAsia="Times New Roman" w:hAnsi="Arial" w:cs="Arial"/>
          <w:sz w:val="24"/>
          <w:szCs w:val="24"/>
          <w:lang w:eastAsia="cs-CZ"/>
        </w:rPr>
        <w:t xml:space="preserve"> ze dne 17. 09. 2018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2018</w:t>
      </w:r>
      <w:r w:rsidR="00AC34BB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9A3DA5" w:rsidRPr="00F4134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4134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C722A5"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úhradu investičních výdajů na </w:t>
      </w:r>
      <w:r w:rsidR="00873B1D"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 vybudování zemních hrází a nábřežních betonových zdí, vybudování nového kapacitního mostu na ulici Komenského a dalších </w:t>
      </w:r>
      <w:r w:rsidR="00310E83"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investičních </w:t>
      </w:r>
      <w:r w:rsidR="00D203D7" w:rsidRPr="00F41342">
        <w:rPr>
          <w:rFonts w:ascii="Arial" w:hAnsi="Arial" w:cs="Arial"/>
          <w:sz w:val="24"/>
          <w:szCs w:val="24"/>
        </w:rPr>
        <w:t>výdajů</w:t>
      </w:r>
      <w:r w:rsidR="00873B1D"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spojených s </w:t>
      </w:r>
      <w:proofErr w:type="gramStart"/>
      <w:r w:rsidR="00873B1D" w:rsidRPr="00F41342">
        <w:rPr>
          <w:rFonts w:ascii="Arial" w:eastAsia="Times New Roman" w:hAnsi="Arial" w:cs="Arial"/>
          <w:sz w:val="24"/>
          <w:szCs w:val="24"/>
          <w:lang w:eastAsia="cs-CZ"/>
        </w:rPr>
        <w:t>realizaci</w:t>
      </w:r>
      <w:proofErr w:type="gramEnd"/>
      <w:r w:rsidR="00873B1D"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1B11" w:rsidRPr="00F4134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873B1D" w:rsidRPr="00F41342">
        <w:rPr>
          <w:rFonts w:ascii="Arial" w:eastAsia="Times New Roman" w:hAnsi="Arial" w:cs="Arial"/>
          <w:sz w:val="24"/>
          <w:szCs w:val="24"/>
          <w:lang w:eastAsia="cs-CZ"/>
        </w:rPr>
        <w:t>kce.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CF21B3">
        <w:rPr>
          <w:rFonts w:ascii="Arial" w:eastAsia="Times New Roman" w:hAnsi="Arial" w:cs="Arial"/>
          <w:iCs/>
          <w:sz w:val="24"/>
          <w:szCs w:val="24"/>
          <w:lang w:eastAsia="cs-CZ"/>
        </w:rPr>
        <w:t>A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C204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4C204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C204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4C2048" w:rsidRPr="004C2048" w:rsidRDefault="009A3DA5" w:rsidP="004C2048">
      <w:pPr>
        <w:ind w:left="567" w:firstLine="0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použít zejména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="004C204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 xml:space="preserve">jakýkoli </w:t>
      </w:r>
      <w:r w:rsidR="00D203D7" w:rsidRPr="00F41342">
        <w:rPr>
          <w:rFonts w:ascii="Arial" w:hAnsi="Arial" w:cs="Arial"/>
          <w:sz w:val="24"/>
          <w:szCs w:val="24"/>
        </w:rPr>
        <w:t>výdaj</w:t>
      </w:r>
      <w:r w:rsidRPr="00F41342">
        <w:rPr>
          <w:rFonts w:ascii="Arial" w:hAnsi="Arial" w:cs="Arial"/>
          <w:sz w:val="24"/>
          <w:szCs w:val="24"/>
        </w:rPr>
        <w:t>, který zcela zřetelně nesouvisí s činností spolufinancovanou poskytovatelem nebo který není možno doložit písemnými doklady,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 xml:space="preserve">zisk, daně, správní aj. poplatky, úvěry, úroky, směnky, 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dary s výjimkou věcných cen v soutěžích,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pohoštění (rauty, nákup potravin a nápojů),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podnikatelskou odměnu a osobní spotřebu vlastníka účetní jednotky,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výdaje na zaměstnance, kteří se na projektu nepodílejí přímo, dále ty výdaje, které svým charakterem mají zejména stabilizační funkci (příspěvky na penzijní připojištění, doplňkové penzijní spoření, životní pojištění, dary k životním jubileím, příspěvky na rekreaci, peněžitá pomoc v mateřství apod.), odstupné,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lastRenderedPageBreak/>
        <w:t>odpisy hmotného i nehmotného majetku, akontace leasingu a leasingové splátky,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pořízení uměleckých děl a sbírek,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krytí půjček a úvěrů včetně úroků a poplatků s tím souvisejících,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pořízení dlouhodobého a krátkodobého finančního majetku,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pokuty, úroky z prodlení, penále, manka a škody a jiné majetkové sankce,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vzájemný zápočet pohledávek,</w:t>
      </w:r>
    </w:p>
    <w:p w:rsidR="004C2048" w:rsidRPr="00F41342" w:rsidRDefault="004C2048" w:rsidP="004C2048">
      <w:pPr>
        <w:numPr>
          <w:ilvl w:val="0"/>
          <w:numId w:val="44"/>
        </w:numPr>
        <w:tabs>
          <w:tab w:val="clear" w:pos="360"/>
        </w:tabs>
        <w:spacing w:after="120"/>
        <w:ind w:left="993"/>
        <w:rPr>
          <w:rFonts w:ascii="Arial" w:hAnsi="Arial" w:cs="Arial"/>
          <w:sz w:val="24"/>
          <w:szCs w:val="24"/>
        </w:rPr>
      </w:pPr>
      <w:r w:rsidRPr="00F41342">
        <w:rPr>
          <w:rFonts w:ascii="Arial" w:hAnsi="Arial" w:cs="Arial"/>
          <w:sz w:val="24"/>
          <w:szCs w:val="24"/>
        </w:rPr>
        <w:t>a další platby obdobného charakteru.</w:t>
      </w:r>
    </w:p>
    <w:p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CF21B3" w:rsidRPr="00F4134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kci příjemcem. Změna příjemce je možná pouze z důvodu právního nástupnictví.</w:t>
      </w:r>
    </w:p>
    <w:p w:rsidR="009A3DA5" w:rsidRPr="00F4134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31. 12. 2022</w:t>
      </w:r>
      <w:r w:rsidR="00873B1D" w:rsidRPr="00F4134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</w:t>
      </w:r>
      <w:r w:rsidR="0072467C" w:rsidRPr="00F41342">
        <w:rPr>
          <w:rFonts w:ascii="Arial" w:eastAsia="Times New Roman" w:hAnsi="Arial" w:cs="Arial"/>
          <w:iCs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2467C" w:rsidRPr="00F41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01. 01. </w:t>
      </w:r>
      <w:r w:rsidR="00C7076C" w:rsidRPr="00F41342">
        <w:rPr>
          <w:rFonts w:ascii="Arial" w:eastAsia="Times New Roman" w:hAnsi="Arial" w:cs="Arial"/>
          <w:iCs/>
          <w:sz w:val="24"/>
          <w:szCs w:val="24"/>
          <w:lang w:eastAsia="cs-CZ"/>
        </w:rPr>
        <w:t>2018</w:t>
      </w:r>
      <w:r w:rsidRPr="00F41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A7049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činí </w:t>
      </w:r>
      <w:r w:rsidR="0072467C" w:rsidRPr="00F41342">
        <w:rPr>
          <w:rFonts w:ascii="Arial" w:hAnsi="Arial" w:cs="Arial"/>
          <w:sz w:val="24"/>
          <w:szCs w:val="24"/>
        </w:rPr>
        <w:t>718</w:t>
      </w:r>
      <w:r w:rsidR="002E08DF" w:rsidRPr="00F41342">
        <w:rPr>
          <w:rFonts w:ascii="Arial" w:hAnsi="Arial" w:cs="Arial"/>
          <w:sz w:val="24"/>
          <w:szCs w:val="24"/>
        </w:rPr>
        <w:t> </w:t>
      </w:r>
      <w:r w:rsidR="0072467C" w:rsidRPr="00F41342">
        <w:rPr>
          <w:rFonts w:ascii="Arial" w:hAnsi="Arial" w:cs="Arial"/>
          <w:sz w:val="24"/>
          <w:szCs w:val="24"/>
        </w:rPr>
        <w:t>268 749,70 Kč</w:t>
      </w:r>
      <w:r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41342">
        <w:rPr>
          <w:rFonts w:ascii="Arial" w:eastAsia="Times New Roman" w:hAnsi="Arial" w:cs="Arial"/>
          <w:sz w:val="24"/>
          <w:szCs w:val="24"/>
          <w:lang w:eastAsia="cs-CZ"/>
        </w:rPr>
        <w:t>Kč</w:t>
      </w:r>
      <w:proofErr w:type="spellEnd"/>
      <w:r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sed</w:t>
      </w:r>
      <w:r w:rsidR="00D203D7" w:rsidRPr="00F4134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set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os</w:t>
      </w:r>
      <w:r w:rsidR="00171B3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náct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milionů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stě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šedesát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osm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sedm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set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čtyřicet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devět</w:t>
      </w:r>
      <w:r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a sedmdesát haléřů</w:t>
      </w:r>
      <w:r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001B11" w:rsidRPr="00F41342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72467C" w:rsidRPr="00F41342">
        <w:rPr>
          <w:rFonts w:ascii="Arial" w:eastAsia="Times New Roman" w:hAnsi="Arial" w:cs="Arial"/>
          <w:sz w:val="24"/>
          <w:szCs w:val="24"/>
          <w:lang w:eastAsia="cs-CZ"/>
        </w:rPr>
        <w:t>95</w:t>
      </w:r>
      <w:r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 xml:space="preserve">v rámci vyúčtování dotace vrátit poskytovateli část dotace tak, aby její výše odpovídala </w:t>
      </w:r>
      <w:r w:rsidR="0072467C" w:rsidRPr="00F41342">
        <w:rPr>
          <w:rFonts w:ascii="Arial" w:hAnsi="Arial" w:cs="Arial"/>
          <w:sz w:val="24"/>
          <w:szCs w:val="24"/>
        </w:rPr>
        <w:t>5</w:t>
      </w:r>
      <w:r w:rsidRPr="00841ADB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</w:t>
      </w:r>
      <w:r w:rsidR="00A70492" w:rsidRPr="00F41342">
        <w:rPr>
          <w:rFonts w:ascii="Arial" w:hAnsi="Arial" w:cs="Arial"/>
          <w:sz w:val="24"/>
          <w:szCs w:val="24"/>
        </w:rPr>
        <w:t>5</w:t>
      </w:r>
      <w:r w:rsidRPr="00F41342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této smlouvy.</w:t>
      </w:r>
    </w:p>
    <w:p w:rsidR="0072467C" w:rsidRDefault="00CB5336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A704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 xml:space="preserve">I odst. 2 a </w:t>
      </w:r>
      <w:r w:rsidR="00A70492" w:rsidRPr="00A03356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 termínu (lhůtě)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celkové uznatelné výdaje, které žadatel předpokládá vynaložit na realizaci své </w:t>
      </w:r>
      <w:r w:rsidR="00CF21B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</w:t>
      </w:r>
      <w:r w:rsidR="00CF21B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>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001B11" w:rsidRPr="00F41342" w:rsidRDefault="00001B11" w:rsidP="00001B11">
      <w:pPr>
        <w:pStyle w:val="Default"/>
        <w:numPr>
          <w:ilvl w:val="0"/>
          <w:numId w:val="34"/>
        </w:numPr>
        <w:spacing w:after="120"/>
        <w:jc w:val="both"/>
        <w:rPr>
          <w:snapToGrid w:val="0"/>
          <w:color w:val="auto"/>
          <w:lang w:eastAsia="en-US"/>
        </w:rPr>
      </w:pPr>
      <w:r w:rsidRPr="00F41342">
        <w:rPr>
          <w:snapToGrid w:val="0"/>
          <w:color w:val="auto"/>
          <w:lang w:eastAsia="en-US"/>
        </w:rPr>
        <w:t xml:space="preserve">Příjemce je povinen každoročně počínaje rokem </w:t>
      </w:r>
      <w:smartTag w:uri="urn:schemas-microsoft-com:office:smarttags" w:element="metricconverter">
        <w:smartTagPr>
          <w:attr w:name="ProductID" w:val="2019 a"/>
        </w:smartTagPr>
        <w:r w:rsidRPr="00F41342">
          <w:rPr>
            <w:snapToGrid w:val="0"/>
            <w:color w:val="auto"/>
            <w:lang w:eastAsia="en-US"/>
          </w:rPr>
          <w:t>2019 a</w:t>
        </w:r>
      </w:smartTag>
      <w:r w:rsidRPr="00F41342">
        <w:rPr>
          <w:snapToGrid w:val="0"/>
          <w:color w:val="auto"/>
          <w:lang w:eastAsia="en-US"/>
        </w:rPr>
        <w:t xml:space="preserve"> konče rokem 2023 vždy </w:t>
      </w:r>
      <w:r w:rsidRPr="00F41342">
        <w:rPr>
          <w:b/>
          <w:snapToGrid w:val="0"/>
          <w:color w:val="auto"/>
          <w:lang w:eastAsia="en-US"/>
        </w:rPr>
        <w:t xml:space="preserve">do 31. 3. </w:t>
      </w:r>
      <w:r w:rsidRPr="00F41342">
        <w:rPr>
          <w:snapToGrid w:val="0"/>
          <w:color w:val="auto"/>
          <w:lang w:eastAsia="en-US"/>
        </w:rPr>
        <w:t>předložit poskytovateli průběžn</w:t>
      </w:r>
      <w:r w:rsidR="00A70492" w:rsidRPr="00F41342">
        <w:rPr>
          <w:snapToGrid w:val="0"/>
          <w:color w:val="auto"/>
          <w:lang w:eastAsia="en-US"/>
        </w:rPr>
        <w:t xml:space="preserve">ou </w:t>
      </w:r>
      <w:r w:rsidR="007404BE" w:rsidRPr="00F41342">
        <w:rPr>
          <w:snapToGrid w:val="0"/>
          <w:color w:val="auto"/>
          <w:lang w:eastAsia="en-US"/>
        </w:rPr>
        <w:t>zprávu</w:t>
      </w:r>
      <w:r w:rsidR="00A70492" w:rsidRPr="00F41342">
        <w:rPr>
          <w:snapToGrid w:val="0"/>
          <w:color w:val="auto"/>
          <w:lang w:eastAsia="en-US"/>
        </w:rPr>
        <w:t xml:space="preserve"> o financování Akce</w:t>
      </w:r>
      <w:r w:rsidRPr="00F41342">
        <w:rPr>
          <w:snapToGrid w:val="0"/>
          <w:color w:val="auto"/>
          <w:lang w:eastAsia="en-US"/>
        </w:rPr>
        <w:t xml:space="preserve"> za předchozí kalendářní rok v následující skladbě:</w:t>
      </w:r>
    </w:p>
    <w:p w:rsidR="00001B11" w:rsidRPr="00F41342" w:rsidRDefault="00001B11" w:rsidP="00001B11">
      <w:pPr>
        <w:pStyle w:val="Default"/>
        <w:ind w:left="1134" w:hanging="567"/>
        <w:jc w:val="both"/>
        <w:rPr>
          <w:snapToGrid w:val="0"/>
          <w:color w:val="auto"/>
          <w:lang w:eastAsia="en-US"/>
        </w:rPr>
      </w:pPr>
      <w:r w:rsidRPr="00F41342">
        <w:rPr>
          <w:snapToGrid w:val="0"/>
          <w:color w:val="auto"/>
          <w:lang w:eastAsia="en-US"/>
        </w:rPr>
        <w:t>a)</w:t>
      </w:r>
      <w:r w:rsidRPr="00F41342">
        <w:rPr>
          <w:snapToGrid w:val="0"/>
          <w:color w:val="auto"/>
          <w:lang w:eastAsia="en-US"/>
        </w:rPr>
        <w:tab/>
        <w:t xml:space="preserve">vynaložené </w:t>
      </w:r>
      <w:r w:rsidR="007404BE" w:rsidRPr="00F41342">
        <w:rPr>
          <w:color w:val="auto"/>
        </w:rPr>
        <w:t>výdaje</w:t>
      </w:r>
      <w:r w:rsidRPr="00F41342">
        <w:rPr>
          <w:snapToGrid w:val="0"/>
          <w:color w:val="auto"/>
          <w:lang w:eastAsia="en-US"/>
        </w:rPr>
        <w:t xml:space="preserve"> na Akci za předchozí kalendářní rok, které byly uhrazeny z dotace dle této smlouvy, </w:t>
      </w:r>
    </w:p>
    <w:p w:rsidR="00001B11" w:rsidRPr="00F41342" w:rsidRDefault="00001B11" w:rsidP="00001B11">
      <w:pPr>
        <w:pStyle w:val="Default"/>
        <w:ind w:left="1134" w:hanging="567"/>
        <w:jc w:val="both"/>
        <w:rPr>
          <w:snapToGrid w:val="0"/>
          <w:color w:val="auto"/>
          <w:lang w:eastAsia="en-US"/>
        </w:rPr>
      </w:pPr>
      <w:r w:rsidRPr="00F41342">
        <w:rPr>
          <w:snapToGrid w:val="0"/>
          <w:color w:val="auto"/>
          <w:lang w:eastAsia="en-US"/>
        </w:rPr>
        <w:t>b)</w:t>
      </w:r>
      <w:r w:rsidRPr="00F41342">
        <w:rPr>
          <w:snapToGrid w:val="0"/>
          <w:color w:val="auto"/>
          <w:lang w:eastAsia="en-US"/>
        </w:rPr>
        <w:tab/>
        <w:t xml:space="preserve">soupis daňových dokladů s uvedením částek dokládající vynaložení </w:t>
      </w:r>
      <w:r w:rsidR="007404BE" w:rsidRPr="00F41342">
        <w:rPr>
          <w:color w:val="auto"/>
        </w:rPr>
        <w:t>výdajů</w:t>
      </w:r>
      <w:r w:rsidRPr="00F41342">
        <w:rPr>
          <w:snapToGrid w:val="0"/>
          <w:color w:val="auto"/>
          <w:lang w:eastAsia="en-US"/>
        </w:rPr>
        <w:t xml:space="preserve"> dle písm. a) tohoto odstavce a doklady o zaplacení těchto částek,</w:t>
      </w:r>
    </w:p>
    <w:p w:rsidR="00001B11" w:rsidRPr="00F41342" w:rsidRDefault="00001B11" w:rsidP="007404BE">
      <w:pPr>
        <w:pStyle w:val="Default"/>
        <w:ind w:left="1134" w:hanging="567"/>
        <w:jc w:val="both"/>
        <w:rPr>
          <w:color w:val="auto"/>
        </w:rPr>
      </w:pPr>
      <w:r w:rsidRPr="00F41342">
        <w:rPr>
          <w:snapToGrid w:val="0"/>
          <w:color w:val="auto"/>
          <w:lang w:eastAsia="en-US"/>
        </w:rPr>
        <w:t>c)</w:t>
      </w:r>
      <w:r w:rsidRPr="00F41342">
        <w:rPr>
          <w:snapToGrid w:val="0"/>
          <w:color w:val="auto"/>
          <w:lang w:eastAsia="en-US"/>
        </w:rPr>
        <w:tab/>
        <w:t>čestné prohlášení, že výdaje uvedené v soupisech jsou shodné se záznamy v účetnictví příjemce</w:t>
      </w:r>
      <w:r w:rsidR="007404BE" w:rsidRPr="00F41342">
        <w:rPr>
          <w:color w:val="auto"/>
        </w:rPr>
        <w:t>,</w:t>
      </w:r>
    </w:p>
    <w:p w:rsidR="007404BE" w:rsidRPr="00F41342" w:rsidRDefault="007404BE" w:rsidP="00F41342">
      <w:pPr>
        <w:pStyle w:val="Default"/>
        <w:numPr>
          <w:ilvl w:val="0"/>
          <w:numId w:val="47"/>
        </w:numPr>
        <w:ind w:left="1134" w:hanging="567"/>
        <w:jc w:val="both"/>
        <w:rPr>
          <w:color w:val="auto"/>
        </w:rPr>
      </w:pPr>
      <w:r w:rsidRPr="00F41342">
        <w:rPr>
          <w:color w:val="auto"/>
        </w:rPr>
        <w:t>popis průběhu realizace Akce (skutečný stav provedených prací, časový harmonogram),</w:t>
      </w:r>
    </w:p>
    <w:p w:rsidR="007404BE" w:rsidRPr="00F41342" w:rsidRDefault="007404BE" w:rsidP="007404BE">
      <w:pPr>
        <w:pStyle w:val="Default"/>
        <w:numPr>
          <w:ilvl w:val="0"/>
          <w:numId w:val="47"/>
        </w:numPr>
        <w:ind w:left="1134" w:hanging="567"/>
        <w:jc w:val="both"/>
        <w:rPr>
          <w:color w:val="auto"/>
        </w:rPr>
      </w:pPr>
      <w:r w:rsidRPr="00F41342">
        <w:rPr>
          <w:color w:val="auto"/>
        </w:rPr>
        <w:t>přehled celkových skutečných investičních výdajů Akce,</w:t>
      </w:r>
    </w:p>
    <w:p w:rsidR="007404BE" w:rsidRPr="00F41342" w:rsidRDefault="007404BE" w:rsidP="007404BE">
      <w:pPr>
        <w:pStyle w:val="Default"/>
        <w:numPr>
          <w:ilvl w:val="0"/>
          <w:numId w:val="47"/>
        </w:numPr>
        <w:spacing w:after="120"/>
        <w:ind w:left="1134" w:hanging="567"/>
        <w:jc w:val="both"/>
        <w:rPr>
          <w:color w:val="auto"/>
        </w:rPr>
      </w:pPr>
      <w:r w:rsidRPr="00F41342">
        <w:rPr>
          <w:color w:val="auto"/>
        </w:rPr>
        <w:t>fotodokumentace zachycující průběh realizace Akce.</w:t>
      </w:r>
    </w:p>
    <w:p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01B11" w:rsidRPr="00F41342">
        <w:rPr>
          <w:rFonts w:ascii="Arial" w:eastAsia="Times New Roman" w:hAnsi="Arial" w:cs="Arial"/>
          <w:sz w:val="24"/>
          <w:szCs w:val="24"/>
          <w:lang w:eastAsia="cs-CZ"/>
        </w:rPr>
        <w:t>31. 03. 2023</w:t>
      </w:r>
      <w:r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="00001B11">
        <w:rPr>
          <w:rFonts w:ascii="Arial" w:eastAsia="Times New Roman" w:hAnsi="Arial" w:cs="Arial"/>
          <w:sz w:val="24"/>
          <w:szCs w:val="24"/>
          <w:lang w:eastAsia="cs-CZ"/>
        </w:rPr>
        <w:t xml:space="preserve">závěrečné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</w:t>
      </w:r>
      <w:r w:rsidR="005E039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kce, na niž byla poskytnuta dotace dle této smlouvy, a to v rozsahu uvedeném v příloze č. </w:t>
      </w:r>
      <w:r w:rsidR="00A9730D" w:rsidRPr="00F41342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D1424A" w:rsidRPr="00F41342">
        <w:rPr>
          <w:rFonts w:ascii="Arial" w:eastAsia="Times New Roman" w:hAnsi="Arial" w:cs="Arial"/>
          <w:sz w:val="24"/>
          <w:szCs w:val="24"/>
          <w:lang w:eastAsia="cs-CZ"/>
        </w:rPr>
        <w:t>Finanční vyúčtování dotace“</w:t>
      </w:r>
      <w:r w:rsidR="00332FD6"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F41342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D1424A" w:rsidRPr="00F41342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9730D" w:rsidRPr="00F413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D1424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</w:t>
      </w:r>
      <w:r w:rsidR="005E0395">
        <w:rPr>
          <w:rFonts w:ascii="Arial" w:hAnsi="Arial" w:cs="Arial"/>
          <w:sz w:val="24"/>
          <w:szCs w:val="24"/>
        </w:rPr>
        <w:t>A</w:t>
      </w:r>
      <w:r w:rsidR="00150BF2" w:rsidRPr="00150BF2">
        <w:rPr>
          <w:rFonts w:ascii="Arial" w:hAnsi="Arial" w:cs="Arial"/>
          <w:sz w:val="24"/>
          <w:szCs w:val="24"/>
        </w:rPr>
        <w:t>kce, zejména dotace od státu a jiných územních samosprávných celků, příspěvky, dary</w:t>
      </w:r>
      <w:r w:rsidR="00D1424A">
        <w:rPr>
          <w:rFonts w:ascii="Arial" w:hAnsi="Arial" w:cs="Arial"/>
          <w:sz w:val="24"/>
          <w:szCs w:val="24"/>
        </w:rPr>
        <w:t>.</w:t>
      </w:r>
    </w:p>
    <w:p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</w:t>
      </w:r>
      <w:r w:rsidR="002F344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kci, na jejíž realizaci byla poskytnuta dotace dle této smlouvy, a to v rozsahu uvedeném v příloze č. 1 </w:t>
      </w:r>
      <w:r w:rsidR="00A9730D" w:rsidRPr="00F41342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D1424A" w:rsidRPr="00F4134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F4134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F413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D1424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</w:t>
      </w:r>
      <w:r w:rsidR="002F344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kci, na jejíž realizaci byla poskytnuta dotace dle této smlouvy, a to v rozsahu uvedeném v příloze č. 1 </w:t>
      </w:r>
      <w:r w:rsidR="00A9730D" w:rsidRPr="00F41342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D1424A" w:rsidRPr="00F4134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F41342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čestným prohlášením, že fotokopie předaných dokladů jsou shodné s originály a výdaje uvedené v soupisu jsou shodné se záznamy v účetnictví příjemce</w:t>
      </w:r>
      <w:r w:rsidR="00D1424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D08E1" w:rsidRPr="00ED08E1" w:rsidRDefault="00ED08E1" w:rsidP="002572AD">
      <w:pPr>
        <w:pStyle w:val="Default"/>
        <w:numPr>
          <w:ilvl w:val="0"/>
          <w:numId w:val="34"/>
        </w:numPr>
        <w:tabs>
          <w:tab w:val="clear" w:pos="567"/>
        </w:tabs>
        <w:spacing w:after="120"/>
        <w:jc w:val="both"/>
        <w:rPr>
          <w:iCs/>
          <w:color w:val="FF0000"/>
        </w:rPr>
      </w:pPr>
      <w:r w:rsidRPr="00A9730D">
        <w:t>Společně s vyúčtováním příjemce předloží poskytovateli závěrečnou zprávu.</w:t>
      </w:r>
    </w:p>
    <w:p w:rsidR="00A9730D" w:rsidRPr="006579C4" w:rsidRDefault="00A9730D" w:rsidP="00ED08E1">
      <w:pPr>
        <w:pStyle w:val="Default"/>
        <w:spacing w:after="120"/>
        <w:ind w:left="567"/>
        <w:jc w:val="both"/>
        <w:rPr>
          <w:iCs/>
          <w:color w:val="FF0000"/>
        </w:rPr>
      </w:pPr>
      <w:r w:rsidRPr="002572AD">
        <w:t>Závěrečná zpráva musí obsahovat</w:t>
      </w:r>
      <w:r w:rsidRPr="002572AD">
        <w:rPr>
          <w:i/>
          <w:iCs/>
        </w:rPr>
        <w:t xml:space="preserve"> </w:t>
      </w:r>
      <w:r w:rsidR="002572AD" w:rsidRPr="00176344">
        <w:rPr>
          <w:color w:val="auto"/>
        </w:rPr>
        <w:t>popis průběhu realizace Akce</w:t>
      </w:r>
      <w:r w:rsidR="000C501D" w:rsidRPr="00176344">
        <w:rPr>
          <w:color w:val="auto"/>
        </w:rPr>
        <w:t xml:space="preserve"> a</w:t>
      </w:r>
      <w:r w:rsidR="002572AD" w:rsidRPr="00176344">
        <w:rPr>
          <w:color w:val="auto"/>
        </w:rPr>
        <w:t xml:space="preserve"> vyhodnocení Akce. Spolu se zprávou a vyúčtováním je příjemce povinen předložit poskytovateli také fotografickou dokumentaci zachycující průběh realizace Akce, </w:t>
      </w:r>
      <w:r w:rsidRPr="00176344">
        <w:rPr>
          <w:iCs/>
          <w:color w:val="auto"/>
        </w:rPr>
        <w:t>fotodokumentaci splnění povinné propagace poskytovatele a užití jeho loga dl</w:t>
      </w:r>
      <w:r w:rsidR="00DA43B2" w:rsidRPr="00176344">
        <w:rPr>
          <w:iCs/>
          <w:color w:val="auto"/>
        </w:rPr>
        <w:t xml:space="preserve">e čl. II odst. </w:t>
      </w:r>
      <w:r w:rsidR="000C501D" w:rsidRPr="00176344">
        <w:rPr>
          <w:iCs/>
          <w:color w:val="auto"/>
        </w:rPr>
        <w:t xml:space="preserve">12 </w:t>
      </w:r>
      <w:r w:rsidR="00DA43B2" w:rsidRPr="00176344">
        <w:rPr>
          <w:iCs/>
          <w:color w:val="auto"/>
        </w:rPr>
        <w:t>této smlouvy</w:t>
      </w:r>
      <w:r w:rsidR="002572AD" w:rsidRPr="006579C4">
        <w:rPr>
          <w:iCs/>
          <w:color w:val="FF0000"/>
        </w:rPr>
        <w:t>.</w:t>
      </w:r>
      <w:r w:rsidR="008A3F8C" w:rsidRPr="006579C4">
        <w:rPr>
          <w:iCs/>
          <w:color w:val="FF0000"/>
        </w:rPr>
        <w:t xml:space="preserve"> </w:t>
      </w:r>
    </w:p>
    <w:p w:rsidR="00A9730D" w:rsidRPr="00A9730D" w:rsidRDefault="00A9730D" w:rsidP="00D1424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Pr="002572A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572A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572A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</w:t>
      </w:r>
      <w:r w:rsidR="00F07A92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2572A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</w:t>
      </w:r>
      <w:r w:rsidR="002572AD" w:rsidRPr="00176344">
        <w:rPr>
          <w:rFonts w:ascii="Arial" w:hAnsi="Arial" w:cs="Arial"/>
          <w:sz w:val="24"/>
          <w:szCs w:val="24"/>
        </w:rPr>
        <w:t>718 268 749,70 Kč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7404BE" w:rsidRPr="0017634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edm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set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os</w:t>
      </w:r>
      <w:r w:rsidR="00171B3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náct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milionů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st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ě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šedesát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osm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sedm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se</w:t>
      </w:r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tčtyřicet</w:t>
      </w:r>
      <w:proofErr w:type="spellEnd"/>
      <w:r w:rsidR="00D11B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 w:rsidRPr="00176344">
        <w:rPr>
          <w:rFonts w:ascii="Arial" w:eastAsia="Times New Roman" w:hAnsi="Arial" w:cs="Arial"/>
          <w:sz w:val="24"/>
          <w:szCs w:val="24"/>
          <w:lang w:eastAsia="cs-CZ"/>
        </w:rPr>
        <w:t>devět korun českých a sedmdesát haléřů)</w:t>
      </w:r>
      <w:r w:rsidR="00D1424A" w:rsidRPr="001763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72AD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10592B" w:rsidRPr="0010592B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</w:t>
      </w:r>
      <w:r w:rsidR="002F344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10592B" w:rsidRPr="0010592B">
        <w:rPr>
          <w:rFonts w:ascii="Arial" w:eastAsia="Times New Roman" w:hAnsi="Arial" w:cs="Arial"/>
          <w:sz w:val="24"/>
          <w:szCs w:val="24"/>
          <w:lang w:eastAsia="cs-CZ"/>
        </w:rPr>
        <w:t xml:space="preserve">kci, na jejíž realizaci byla poskytnuta dotace dle této smlouvy, převýšeny příjmy, které příjemce obdržel v souvislosti s realizací </w:t>
      </w:r>
      <w:r w:rsidR="002F344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10592B" w:rsidRPr="0010592B">
        <w:rPr>
          <w:rFonts w:ascii="Arial" w:eastAsia="Times New Roman" w:hAnsi="Arial" w:cs="Arial"/>
          <w:sz w:val="24"/>
          <w:szCs w:val="24"/>
          <w:lang w:eastAsia="cs-CZ"/>
        </w:rPr>
        <w:t xml:space="preserve">kce. Nevrátí-li příjemce dotaci nebo její část v případě uvedeném v předchozí větě, dopustí se porušení rozpočtové kázně ve smyslu </w:t>
      </w:r>
      <w:proofErr w:type="spellStart"/>
      <w:r w:rsidR="0010592B" w:rsidRPr="0010592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10592B" w:rsidRPr="0010592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:rsidR="009A3DA5" w:rsidRPr="00D3249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</w:t>
      </w:r>
      <w:r w:rsidR="006579C4" w:rsidRPr="00176344">
        <w:rPr>
          <w:rFonts w:ascii="Arial" w:eastAsia="Times New Roman" w:hAnsi="Arial" w:cs="Arial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>. 250/2000</w:t>
      </w:r>
      <w:r w:rsidR="0063512A" w:rsidRPr="00D324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</w:t>
      </w:r>
      <w:r w:rsidR="00C26D5A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průběžnou zprávu, resp.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a závěrečnou zprávu v termínu stanoveném v čl. II odst. </w:t>
      </w:r>
      <w:r w:rsidR="00C26D5A" w:rsidRPr="00D3249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D3249C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404BE" w:rsidRPr="00176344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D3249C" w:rsidRPr="00176344">
        <w:rPr>
          <w:rFonts w:ascii="Arial" w:eastAsia="Times New Roman" w:hAnsi="Arial" w:cs="Arial"/>
          <w:sz w:val="24"/>
          <w:szCs w:val="24"/>
          <w:lang w:eastAsia="cs-CZ"/>
        </w:rPr>
        <w:t xml:space="preserve"> nebo 6</w:t>
      </w:r>
      <w:r w:rsidRPr="001763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této smlouvy, ale </w:t>
      </w:r>
      <w:r w:rsidR="00C26D5A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průběžná zpráva, resp.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nebo závěrečná zpráva nebudou obsahovat všechny náležitosti stanovené v čl. II odst. </w:t>
      </w:r>
      <w:r w:rsidR="00C26D5A" w:rsidRPr="00D3249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D3249C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404BE" w:rsidRPr="00176344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D3249C" w:rsidRPr="00176344">
        <w:rPr>
          <w:rFonts w:ascii="Arial" w:eastAsia="Times New Roman" w:hAnsi="Arial" w:cs="Arial"/>
          <w:sz w:val="24"/>
          <w:szCs w:val="24"/>
          <w:lang w:eastAsia="cs-CZ"/>
        </w:rPr>
        <w:t xml:space="preserve"> nebo 6</w:t>
      </w:r>
      <w:r w:rsidRPr="001763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této smlouvy, dopustí se příjemce porušení rozpočtové kázně až v případě, že nedoplní nebo neopraví </w:t>
      </w:r>
      <w:r w:rsidR="00C26D5A" w:rsidRPr="00D3249C">
        <w:rPr>
          <w:rFonts w:ascii="Arial" w:eastAsia="Times New Roman" w:hAnsi="Arial" w:cs="Arial"/>
          <w:sz w:val="24"/>
          <w:szCs w:val="24"/>
          <w:lang w:eastAsia="cs-CZ"/>
        </w:rPr>
        <w:t xml:space="preserve">chybnou nebo neúplnou průběžnou zprávu, resp. </w:t>
      </w:r>
      <w:r w:rsidRPr="00D3249C">
        <w:rPr>
          <w:rFonts w:ascii="Arial" w:eastAsia="Times New Roman" w:hAnsi="Arial" w:cs="Arial"/>
          <w:sz w:val="24"/>
          <w:szCs w:val="24"/>
          <w:lang w:eastAsia="cs-CZ"/>
        </w:rPr>
        <w:t>chybné nebo neúplné vyúčtování nebo závěrečnou zprávu ve lhůtě 15 dnů ode dne doručení výzvy poskytovatele.</w:t>
      </w:r>
    </w:p>
    <w:p w:rsidR="009A3DA5" w:rsidRPr="00036623" w:rsidRDefault="009A3DA5" w:rsidP="00351C32">
      <w:pPr>
        <w:numPr>
          <w:ilvl w:val="0"/>
          <w:numId w:val="34"/>
        </w:numPr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249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579C4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6579C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lang w:eastAsia="cs-CZ"/>
              </w:rPr>
            </w:pPr>
            <w:r w:rsidRPr="006579C4">
              <w:rPr>
                <w:rFonts w:ascii="Arial" w:eastAsia="Calibri" w:hAnsi="Arial" w:cs="Arial"/>
                <w:b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6579C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lang w:eastAsia="cs-CZ"/>
              </w:rPr>
            </w:pPr>
            <w:r w:rsidRPr="006579C4">
              <w:rPr>
                <w:rFonts w:ascii="Arial" w:eastAsia="Calibri" w:hAnsi="Arial" w:cs="Arial"/>
                <w:b/>
                <w:lang w:eastAsia="cs-CZ"/>
              </w:rPr>
              <w:t>Výše odvodu v % z celkově poskytnuté dotace</w:t>
            </w:r>
          </w:p>
        </w:tc>
      </w:tr>
      <w:tr w:rsidR="009A3DA5" w:rsidRPr="006579C4" w:rsidTr="00D520A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D3249C" w:rsidRDefault="009A3DA5">
            <w:pPr>
              <w:ind w:left="0" w:firstLine="0"/>
              <w:rPr>
                <w:rFonts w:ascii="Arial" w:eastAsia="Calibri" w:hAnsi="Arial" w:cs="Arial"/>
                <w:lang w:eastAsia="cs-CZ"/>
              </w:rPr>
            </w:pPr>
            <w:r w:rsidRPr="00D3249C">
              <w:rPr>
                <w:rFonts w:ascii="Arial" w:eastAsia="Calibri" w:hAnsi="Arial" w:cs="Arial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6579C4" w:rsidRDefault="009A3DA5">
            <w:pPr>
              <w:ind w:left="0" w:firstLine="0"/>
              <w:jc w:val="center"/>
              <w:rPr>
                <w:rFonts w:ascii="Arial" w:eastAsia="Calibri" w:hAnsi="Arial" w:cs="Arial"/>
                <w:lang w:eastAsia="cs-CZ"/>
              </w:rPr>
            </w:pPr>
            <w:r w:rsidRPr="006579C4"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  <w:tr w:rsidR="009A3DA5" w:rsidRPr="006579C4" w:rsidTr="00D520A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D3249C" w:rsidRDefault="009A3DA5">
            <w:pPr>
              <w:ind w:left="0" w:firstLine="0"/>
              <w:rPr>
                <w:rFonts w:ascii="Arial" w:eastAsia="Calibri" w:hAnsi="Arial" w:cs="Arial"/>
                <w:lang w:eastAsia="cs-CZ"/>
              </w:rPr>
            </w:pPr>
            <w:r w:rsidRPr="00D3249C">
              <w:rPr>
                <w:rFonts w:ascii="Arial" w:eastAsia="Calibri" w:hAnsi="Arial" w:cs="Arial"/>
                <w:lang w:eastAsia="cs-CZ"/>
              </w:rPr>
              <w:lastRenderedPageBreak/>
              <w:t xml:space="preserve">Předložení </w:t>
            </w:r>
            <w:r w:rsidR="00B61F0C" w:rsidRPr="00D3249C">
              <w:rPr>
                <w:rFonts w:ascii="Arial" w:eastAsia="Calibri" w:hAnsi="Arial" w:cs="Arial"/>
                <w:lang w:eastAsia="cs-CZ"/>
              </w:rPr>
              <w:t xml:space="preserve">průběžné zprávy nebo </w:t>
            </w:r>
            <w:r w:rsidRPr="00D3249C">
              <w:rPr>
                <w:rFonts w:ascii="Arial" w:eastAsia="Calibri" w:hAnsi="Arial" w:cs="Arial"/>
                <w:lang w:eastAsia="cs-CZ"/>
              </w:rPr>
              <w:t>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6579C4" w:rsidRDefault="009A3DA5">
            <w:pPr>
              <w:ind w:left="0" w:firstLine="0"/>
              <w:jc w:val="center"/>
              <w:rPr>
                <w:rFonts w:ascii="Arial" w:eastAsia="Calibri" w:hAnsi="Arial" w:cs="Arial"/>
                <w:lang w:eastAsia="cs-CZ"/>
              </w:rPr>
            </w:pPr>
            <w:r w:rsidRPr="006579C4">
              <w:rPr>
                <w:rFonts w:ascii="Arial" w:eastAsia="Calibri" w:hAnsi="Arial" w:cs="Arial"/>
                <w:lang w:eastAsia="cs-CZ"/>
              </w:rPr>
              <w:t>2%</w:t>
            </w:r>
          </w:p>
        </w:tc>
      </w:tr>
      <w:tr w:rsidR="009A3DA5" w:rsidRPr="006579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D3249C" w:rsidRDefault="009A3DA5">
            <w:pPr>
              <w:ind w:left="0" w:firstLine="0"/>
              <w:rPr>
                <w:rFonts w:ascii="Arial" w:eastAsia="Calibri" w:hAnsi="Arial" w:cs="Arial"/>
                <w:lang w:eastAsia="cs-CZ"/>
              </w:rPr>
            </w:pPr>
            <w:r w:rsidRPr="00D3249C">
              <w:rPr>
                <w:rFonts w:ascii="Arial" w:eastAsia="Calibri" w:hAnsi="Arial" w:cs="Arial"/>
                <w:lang w:eastAsia="cs-CZ"/>
              </w:rPr>
              <w:t xml:space="preserve">Předložení </w:t>
            </w:r>
            <w:r w:rsidR="00B61F0C" w:rsidRPr="00D3249C">
              <w:rPr>
                <w:rFonts w:ascii="Arial" w:eastAsia="Calibri" w:hAnsi="Arial" w:cs="Arial"/>
                <w:lang w:eastAsia="cs-CZ"/>
              </w:rPr>
              <w:t xml:space="preserve">průběžné zprávy nebo </w:t>
            </w:r>
            <w:r w:rsidRPr="00D3249C">
              <w:rPr>
                <w:rFonts w:ascii="Arial" w:eastAsia="Calibri" w:hAnsi="Arial" w:cs="Arial"/>
                <w:lang w:eastAsia="cs-CZ"/>
              </w:rPr>
              <w:t>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6579C4" w:rsidRDefault="009A3DA5">
            <w:pPr>
              <w:ind w:left="0" w:firstLine="0"/>
              <w:jc w:val="center"/>
              <w:rPr>
                <w:rFonts w:ascii="Arial" w:eastAsia="Calibri" w:hAnsi="Arial" w:cs="Arial"/>
                <w:lang w:eastAsia="cs-CZ"/>
              </w:rPr>
            </w:pPr>
            <w:r w:rsidRPr="006579C4"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  <w:tr w:rsidR="009A3DA5" w:rsidRPr="006579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D3249C" w:rsidRDefault="009A3DA5">
            <w:pPr>
              <w:ind w:left="0" w:firstLine="0"/>
              <w:rPr>
                <w:rFonts w:ascii="Arial" w:eastAsia="Calibri" w:hAnsi="Arial" w:cs="Arial"/>
                <w:lang w:eastAsia="cs-CZ"/>
              </w:rPr>
            </w:pPr>
            <w:r w:rsidRPr="00D3249C">
              <w:rPr>
                <w:rFonts w:ascii="Arial" w:eastAsia="Calibri" w:hAnsi="Arial" w:cs="Arial"/>
                <w:lang w:eastAsia="cs-CZ"/>
              </w:rPr>
              <w:t>Předložení</w:t>
            </w:r>
            <w:r w:rsidR="00B61F0C" w:rsidRPr="00D3249C">
              <w:rPr>
                <w:rFonts w:ascii="Arial" w:eastAsia="Calibri" w:hAnsi="Arial" w:cs="Arial"/>
                <w:lang w:eastAsia="cs-CZ"/>
              </w:rPr>
              <w:t xml:space="preserve"> doplněné průběžné zprávy </w:t>
            </w:r>
            <w:proofErr w:type="gramStart"/>
            <w:r w:rsidR="00B61F0C" w:rsidRPr="00D3249C">
              <w:rPr>
                <w:rFonts w:ascii="Arial" w:eastAsia="Calibri" w:hAnsi="Arial" w:cs="Arial"/>
                <w:lang w:eastAsia="cs-CZ"/>
              </w:rPr>
              <w:t xml:space="preserve">nebo </w:t>
            </w:r>
            <w:r w:rsidRPr="00D3249C">
              <w:rPr>
                <w:rFonts w:ascii="Arial" w:eastAsia="Calibri" w:hAnsi="Arial" w:cs="Arial"/>
                <w:lang w:eastAsia="cs-CZ"/>
              </w:rPr>
              <w:t xml:space="preserve"> doplněného</w:t>
            </w:r>
            <w:proofErr w:type="gramEnd"/>
            <w:r w:rsidRPr="00D3249C">
              <w:rPr>
                <w:rFonts w:ascii="Arial" w:eastAsia="Calibri" w:hAnsi="Arial" w:cs="Arial"/>
                <w:lang w:eastAsia="cs-CZ"/>
              </w:rPr>
              <w:t xml:space="preserve">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6579C4" w:rsidRDefault="009A3DA5">
            <w:pPr>
              <w:ind w:left="0" w:firstLine="0"/>
              <w:jc w:val="center"/>
              <w:rPr>
                <w:rFonts w:ascii="Arial" w:eastAsia="Calibri" w:hAnsi="Arial" w:cs="Arial"/>
                <w:lang w:eastAsia="cs-CZ"/>
              </w:rPr>
            </w:pPr>
            <w:r w:rsidRPr="006579C4"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  <w:tr w:rsidR="009A3DA5" w:rsidRPr="006579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6579C4" w:rsidRDefault="009A3DA5">
            <w:pPr>
              <w:ind w:left="0" w:firstLine="0"/>
              <w:rPr>
                <w:rFonts w:ascii="Arial" w:eastAsia="Calibri" w:hAnsi="Arial" w:cs="Arial"/>
                <w:lang w:eastAsia="cs-CZ"/>
              </w:rPr>
            </w:pPr>
            <w:r w:rsidRPr="006579C4">
              <w:rPr>
                <w:rFonts w:ascii="Arial" w:eastAsia="Calibri" w:hAnsi="Arial" w:cs="Arial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6579C4" w:rsidRDefault="009A3DA5">
            <w:pPr>
              <w:ind w:left="0" w:firstLine="0"/>
              <w:jc w:val="center"/>
              <w:rPr>
                <w:rFonts w:ascii="Arial" w:eastAsia="Calibri" w:hAnsi="Arial" w:cs="Arial"/>
                <w:lang w:eastAsia="cs-CZ"/>
              </w:rPr>
            </w:pPr>
            <w:r w:rsidRPr="006579C4"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  <w:tr w:rsidR="009A3DA5" w:rsidRPr="006579C4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Pr="006579C4" w:rsidRDefault="009A3DA5">
            <w:pPr>
              <w:ind w:left="0" w:firstLine="0"/>
              <w:rPr>
                <w:rFonts w:ascii="Arial" w:eastAsia="Calibri" w:hAnsi="Arial" w:cs="Arial"/>
                <w:lang w:eastAsia="cs-CZ"/>
              </w:rPr>
            </w:pPr>
            <w:r w:rsidRPr="006579C4">
              <w:rPr>
                <w:rFonts w:ascii="Arial" w:eastAsia="Calibri" w:hAnsi="Arial" w:cs="Arial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6579C4">
              <w:rPr>
                <w:rFonts w:ascii="Arial" w:eastAsia="Calibri" w:hAnsi="Arial" w:cs="Arial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Pr="006579C4" w:rsidRDefault="009A3DA5">
            <w:pPr>
              <w:ind w:left="0" w:firstLine="0"/>
              <w:jc w:val="center"/>
              <w:rPr>
                <w:rFonts w:ascii="Arial" w:eastAsia="Calibri" w:hAnsi="Arial" w:cs="Arial"/>
                <w:lang w:eastAsia="cs-CZ"/>
              </w:rPr>
            </w:pPr>
            <w:r w:rsidRPr="006579C4"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</w:tbl>
    <w:p w:rsidR="009A3DA5" w:rsidRPr="00D1424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:rsidR="009A3DA5" w:rsidRPr="0028397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397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351C3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262AF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č</w:t>
      </w:r>
      <w:r w:rsidR="0028397E" w:rsidRPr="002262AF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 xml:space="preserve">. </w:t>
      </w:r>
      <w:r w:rsidR="0028397E" w:rsidRPr="002262AF">
        <w:rPr>
          <w:rFonts w:ascii="Arial" w:hAnsi="Arial" w:cs="Arial"/>
          <w:sz w:val="24"/>
          <w:szCs w:val="24"/>
          <w:highlight w:val="black"/>
        </w:rPr>
        <w:t>27-4228320287/0100.</w:t>
      </w:r>
      <w:r w:rsidR="0028397E" w:rsidRPr="00176344">
        <w:rPr>
          <w:rFonts w:ascii="Arial" w:hAnsi="Arial" w:cs="Arial"/>
          <w:sz w:val="24"/>
          <w:szCs w:val="24"/>
        </w:rPr>
        <w:t xml:space="preserve"> </w:t>
      </w:r>
      <w:r w:rsidR="00D40813" w:rsidRPr="00176344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40813" w:rsidRPr="002262AF">
        <w:rPr>
          <w:rFonts w:ascii="Arial" w:hAnsi="Arial" w:cs="Arial"/>
          <w:sz w:val="24"/>
          <w:szCs w:val="24"/>
          <w:highlight w:val="black"/>
        </w:rPr>
        <w:t xml:space="preserve">č. </w:t>
      </w:r>
      <w:r w:rsidR="0028397E" w:rsidRPr="002262AF">
        <w:rPr>
          <w:rFonts w:ascii="Arial" w:hAnsi="Arial" w:cs="Arial"/>
          <w:sz w:val="24"/>
          <w:szCs w:val="24"/>
          <w:highlight w:val="black"/>
        </w:rPr>
        <w:t>27-4228320287/0100</w:t>
      </w:r>
      <w:r w:rsidR="00D40813" w:rsidRPr="00176344">
        <w:rPr>
          <w:rFonts w:ascii="Arial" w:hAnsi="Arial" w:cs="Arial"/>
          <w:sz w:val="24"/>
          <w:szCs w:val="24"/>
        </w:rPr>
        <w:t xml:space="preserve"> </w:t>
      </w:r>
      <w:r w:rsidR="00D40813" w:rsidRPr="0028397E">
        <w:rPr>
          <w:rFonts w:ascii="Arial" w:hAnsi="Arial" w:cs="Arial"/>
          <w:sz w:val="24"/>
          <w:szCs w:val="24"/>
        </w:rPr>
        <w:t>na základě vystavené faktury.</w:t>
      </w:r>
      <w:r w:rsidR="00AE30DE" w:rsidRPr="0028397E">
        <w:rPr>
          <w:rFonts w:ascii="Arial" w:hAnsi="Arial" w:cs="Arial"/>
          <w:sz w:val="24"/>
          <w:szCs w:val="24"/>
        </w:rPr>
        <w:t xml:space="preserve"> </w:t>
      </w:r>
    </w:p>
    <w:p w:rsidR="009A3DA5" w:rsidRPr="0028397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DF0122" w:rsidRPr="00535EA3">
        <w:rPr>
          <w:rFonts w:ascii="Arial" w:eastAsia="Times New Roman" w:hAnsi="Arial" w:cs="Arial"/>
          <w:sz w:val="24"/>
          <w:szCs w:val="24"/>
          <w:lang w:eastAsia="cs-CZ"/>
        </w:rPr>
        <w:t>od</w:t>
      </w:r>
      <w:r w:rsidR="00535EA3" w:rsidRPr="00535EA3">
        <w:rPr>
          <w:rFonts w:ascii="Arial" w:eastAsia="Times New Roman" w:hAnsi="Arial" w:cs="Arial"/>
          <w:sz w:val="24"/>
          <w:szCs w:val="24"/>
          <w:lang w:eastAsia="cs-CZ"/>
        </w:rPr>
        <w:t xml:space="preserve"> nabytí účinnosti smlouvy </w:t>
      </w:r>
      <w:r w:rsidR="00535EA3" w:rsidRPr="00176344">
        <w:rPr>
          <w:rFonts w:ascii="Arial" w:eastAsia="Times New Roman" w:hAnsi="Arial" w:cs="Arial"/>
          <w:sz w:val="24"/>
          <w:szCs w:val="24"/>
          <w:lang w:eastAsia="cs-CZ"/>
        </w:rPr>
        <w:t>do 31. 03. 2023</w:t>
      </w:r>
      <w:r w:rsidRPr="0017634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  <w:r w:rsidRPr="00535EA3">
        <w:rPr>
          <w:rFonts w:ascii="Arial" w:eastAsia="Times New Roman" w:hAnsi="Arial" w:cs="Arial"/>
          <w:sz w:val="24"/>
          <w:szCs w:val="24"/>
          <w:lang w:eastAsia="cs-CZ"/>
        </w:rPr>
        <w:t xml:space="preserve">a umístit </w:t>
      </w:r>
      <w:r w:rsidR="00535EA3" w:rsidRPr="00535EA3">
        <w:rPr>
          <w:rFonts w:ascii="Arial" w:eastAsia="Times New Roman" w:hAnsi="Arial" w:cs="Arial"/>
          <w:sz w:val="24"/>
          <w:szCs w:val="24"/>
          <w:lang w:eastAsia="cs-CZ"/>
        </w:rPr>
        <w:t>informační</w:t>
      </w:r>
      <w:r w:rsidRPr="00535EA3">
        <w:rPr>
          <w:rFonts w:ascii="Arial" w:eastAsia="Times New Roman" w:hAnsi="Arial" w:cs="Arial"/>
          <w:sz w:val="24"/>
          <w:szCs w:val="24"/>
          <w:lang w:eastAsia="cs-CZ"/>
        </w:rPr>
        <w:t xml:space="preserve"> panel, nebo obdobné zařízení, s logem poskytovatele do místa, ve kterém je realizována podpořená </w:t>
      </w:r>
      <w:r w:rsidR="002F344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35EA3">
        <w:rPr>
          <w:rFonts w:ascii="Arial" w:eastAsia="Times New Roman" w:hAnsi="Arial" w:cs="Arial"/>
          <w:sz w:val="24"/>
          <w:szCs w:val="24"/>
          <w:lang w:eastAsia="cs-CZ"/>
        </w:rPr>
        <w:t>kce</w:t>
      </w:r>
      <w:r w:rsidR="00725B3A" w:rsidRPr="00535EA3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535EA3" w:rsidRPr="00535EA3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535EA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535EA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2F344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1354B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171B34">
        <w:rPr>
          <w:rFonts w:ascii="Arial" w:eastAsia="Times New Roman" w:hAnsi="Arial" w:cs="Arial"/>
          <w:sz w:val="24"/>
          <w:szCs w:val="24"/>
          <w:lang w:eastAsia="cs-CZ"/>
        </w:rPr>
        <w:t xml:space="preserve">12 </w:t>
      </w:r>
      <w:r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</w:t>
      </w:r>
      <w:r w:rsidR="001354BE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>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</w:t>
      </w:r>
      <w:r w:rsidR="00B460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ti vůči výše uvedeným subjektům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</w:t>
      </w:r>
      <w:r w:rsidR="0075047A" w:rsidRPr="007504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ke dni podpisu této smlouvy vůči němu není vedeno exekuční řízení, nebylo zahájeno insolvenční řízení, nebylo rozhodnuto o jeho úpadku ani nebyl insolvenční návrh zamítnut pro nedostatek majetku úpadce.</w:t>
      </w:r>
      <w:r w:rsidR="0075047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</w:t>
      </w:r>
      <w:r w:rsidR="00AC5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některého z těchto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AF350B">
      <w:pPr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:rsidR="00906564" w:rsidRPr="00874272" w:rsidRDefault="00CA1E36" w:rsidP="00AF350B">
      <w:pPr>
        <w:numPr>
          <w:ilvl w:val="0"/>
          <w:numId w:val="4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01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0C501D">
        <w:rPr>
          <w:rFonts w:ascii="Arial" w:hAnsi="Arial" w:cs="Arial"/>
          <w:sz w:val="24"/>
          <w:szCs w:val="24"/>
          <w:lang w:eastAsia="cs-CZ"/>
        </w:rPr>
        <w:t>ato smlouva bude uveřejněna v registru smluv dle zákona</w:t>
      </w:r>
      <w:r w:rsidR="00A62D21" w:rsidRPr="00874272">
        <w:rPr>
          <w:rFonts w:ascii="Arial" w:hAnsi="Arial" w:cs="Arial"/>
          <w:sz w:val="24"/>
          <w:szCs w:val="24"/>
          <w:lang w:eastAsia="cs-CZ"/>
        </w:rPr>
        <w:t xml:space="preserve">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A62D21" w:rsidRPr="00AF350B" w:rsidRDefault="005B6375" w:rsidP="00AF350B">
      <w:pPr>
        <w:pStyle w:val="Odstavecseseznamem"/>
        <w:numPr>
          <w:ilvl w:val="0"/>
          <w:numId w:val="4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350B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B96E96" w:rsidRPr="00B35B79" w:rsidRDefault="00B96E96" w:rsidP="00AF350B">
      <w:pPr>
        <w:numPr>
          <w:ilvl w:val="0"/>
          <w:numId w:val="4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</w:t>
      </w:r>
      <w:r w:rsidR="00B35B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podpisem a účinnosti </w:t>
      </w:r>
      <w:r w:rsidR="00DF45DD" w:rsidRPr="00B35B79">
        <w:rPr>
          <w:rFonts w:ascii="Arial" w:hAnsi="Arial" w:cs="Arial"/>
          <w:sz w:val="24"/>
          <w:szCs w:val="24"/>
          <w:lang w:eastAsia="cs-CZ"/>
        </w:rPr>
        <w:t>činnosti dnem jejího uveřejnění v registru smluv</w:t>
      </w:r>
      <w:r w:rsidR="00DF45DD" w:rsidRPr="00B35B79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A3DA5" w:rsidRPr="00CC0204" w:rsidRDefault="009A3DA5" w:rsidP="00AF350B">
      <w:pPr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Default="009A3DA5" w:rsidP="00AF350B">
      <w:pPr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4C50AD" w:rsidRDefault="004C50AD" w:rsidP="00AF350B">
      <w:pPr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D30207" w:rsidRPr="00142EA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www.kr-olomoucky.cz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36623" w:rsidRPr="00AF350B" w:rsidRDefault="009A3DA5" w:rsidP="00AF350B">
      <w:pPr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B35B79">
        <w:rPr>
          <w:rFonts w:ascii="Arial" w:eastAsia="Times New Roman" w:hAnsi="Arial" w:cs="Arial"/>
          <w:sz w:val="24"/>
          <w:szCs w:val="24"/>
          <w:lang w:eastAsia="cs-CZ"/>
        </w:rPr>
        <w:t xml:space="preserve">17. </w:t>
      </w:r>
      <w:r w:rsidR="0087427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B35B79">
        <w:rPr>
          <w:rFonts w:ascii="Arial" w:eastAsia="Times New Roman" w:hAnsi="Arial" w:cs="Arial"/>
          <w:sz w:val="24"/>
          <w:szCs w:val="24"/>
          <w:lang w:eastAsia="cs-CZ"/>
        </w:rPr>
        <w:t>. 2018.</w:t>
      </w:r>
    </w:p>
    <w:p w:rsidR="009A3DA5" w:rsidRPr="00D11B91" w:rsidRDefault="009A3DA5" w:rsidP="00AF350B">
      <w:pPr>
        <w:pStyle w:val="Odstavecseseznamem"/>
        <w:numPr>
          <w:ilvl w:val="0"/>
          <w:numId w:val="4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11B9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ve </w:t>
      </w:r>
      <w:r w:rsidR="00D11B91" w:rsidRPr="00D11B91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 w:rsidRPr="00D11B91">
        <w:rPr>
          <w:rFonts w:ascii="Arial" w:eastAsia="Times New Roman" w:hAnsi="Arial" w:cs="Arial"/>
          <w:sz w:val="24"/>
          <w:szCs w:val="24"/>
          <w:lang w:eastAsia="cs-CZ"/>
        </w:rPr>
        <w:t xml:space="preserve"> vyhotoveníc</w:t>
      </w:r>
      <w:r w:rsidR="00D11B91" w:rsidRPr="00D11B91">
        <w:rPr>
          <w:rFonts w:ascii="Arial" w:eastAsia="Times New Roman" w:hAnsi="Arial" w:cs="Arial"/>
          <w:sz w:val="24"/>
          <w:szCs w:val="24"/>
          <w:lang w:eastAsia="cs-CZ"/>
        </w:rPr>
        <w:t xml:space="preserve">h, dvě pro každou smluvní </w:t>
      </w:r>
      <w:r w:rsidR="00AF350B">
        <w:rPr>
          <w:rFonts w:ascii="Arial" w:eastAsia="Times New Roman" w:hAnsi="Arial" w:cs="Arial"/>
          <w:sz w:val="24"/>
          <w:szCs w:val="24"/>
          <w:lang w:eastAsia="cs-CZ"/>
        </w:rPr>
        <w:t>stranu.</w:t>
      </w:r>
    </w:p>
    <w:p w:rsidR="00D11B91" w:rsidRDefault="00D11B91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11B91" w:rsidRDefault="00D11B9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AA4824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Pr="00AA4824" w:rsidRDefault="009A3DA5" w:rsidP="00A352B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48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AA48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:rsidR="009A3DA5" w:rsidRPr="00AA4824" w:rsidRDefault="00BB0AD0" w:rsidP="00A352B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  <w:r w:rsidR="00A352B5" w:rsidRPr="00AA48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</w:t>
            </w:r>
          </w:p>
          <w:p w:rsidR="00A352B5" w:rsidRPr="00AA4824" w:rsidRDefault="00BB0AD0" w:rsidP="00A352B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áměstek hejtmana</w:t>
            </w:r>
          </w:p>
          <w:p w:rsidR="009A3DA5" w:rsidRDefault="009A3DA5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:rsidR="00036623" w:rsidRPr="00AA4824" w:rsidRDefault="00036623" w:rsidP="00A352B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52B5" w:rsidRPr="00AA4824" w:rsidRDefault="009A3DA5" w:rsidP="00A352B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48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AA48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AA48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:rsidR="00BB0AD0" w:rsidRPr="00AA4824" w:rsidRDefault="00BB0AD0" w:rsidP="00BB0AD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48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MVDr. Václav Gargulák                     </w:t>
            </w:r>
          </w:p>
          <w:p w:rsidR="00BB0AD0" w:rsidRPr="00AA4824" w:rsidRDefault="00BB0AD0" w:rsidP="00BB0AD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482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generální ředitel</w:t>
            </w: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36623" w:rsidRPr="00AA4824" w:rsidRDefault="00036623" w:rsidP="00A352B5">
            <w:pPr>
              <w:tabs>
                <w:tab w:val="left" w:pos="1392"/>
              </w:tabs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A34824" w:rsidRPr="00077E87" w:rsidRDefault="00A34824" w:rsidP="00077E87">
      <w:pPr>
        <w:pBdr>
          <w:top w:val="single" w:sz="4" w:space="1" w:color="auto"/>
        </w:pBdr>
        <w:tabs>
          <w:tab w:val="left" w:pos="0"/>
        </w:tabs>
        <w:ind w:left="0" w:firstLine="0"/>
        <w:rPr>
          <w:rFonts w:ascii="Arial" w:eastAsia="Times New Roman" w:hAnsi="Arial" w:cs="Arial"/>
          <w:b/>
          <w:lang w:eastAsia="cs-CZ"/>
        </w:rPr>
      </w:pPr>
      <w:r w:rsidRPr="00077E87">
        <w:rPr>
          <w:rFonts w:ascii="Arial" w:eastAsia="Times New Roman" w:hAnsi="Arial" w:cs="Arial"/>
          <w:b/>
          <w:lang w:eastAsia="cs-CZ"/>
        </w:rPr>
        <w:t>Příloha č. 1 smlouvy (finanční vyúčtování dotace - vzor na rok 201</w:t>
      </w:r>
      <w:r w:rsidR="00107607" w:rsidRPr="00077E87">
        <w:rPr>
          <w:rFonts w:ascii="Arial" w:eastAsia="Times New Roman" w:hAnsi="Arial" w:cs="Arial"/>
          <w:b/>
          <w:lang w:eastAsia="cs-CZ"/>
        </w:rPr>
        <w:t>8</w:t>
      </w:r>
      <w:r w:rsidRPr="00077E87">
        <w:rPr>
          <w:rFonts w:ascii="Arial" w:eastAsia="Times New Roman" w:hAnsi="Arial" w:cs="Arial"/>
          <w:b/>
          <w:lang w:eastAsia="cs-CZ"/>
        </w:rPr>
        <w:t xml:space="preserve">) je pro příjemce k dispozici v elektronické formě na webu poskytovatele: </w:t>
      </w:r>
      <w:hyperlink r:id="rId10" w:history="1">
        <w:r w:rsidR="00D65393" w:rsidRPr="00077E87">
          <w:rPr>
            <w:rStyle w:val="Hypertextovodkaz"/>
            <w:rFonts w:ascii="Arial" w:eastAsia="Times New Roman" w:hAnsi="Arial" w:cs="Arial"/>
            <w:b/>
            <w:lang w:eastAsia="cs-CZ"/>
          </w:rPr>
          <w:t>https://www.kr-olomoucky.cz/vyuctovani-dotace-cl-4065.html</w:t>
        </w:r>
      </w:hyperlink>
    </w:p>
    <w:sectPr w:rsidR="00A34824" w:rsidRPr="00077E87" w:rsidSect="00817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85" w:rsidRDefault="00905A85" w:rsidP="00D40C40">
      <w:r>
        <w:separator/>
      </w:r>
    </w:p>
  </w:endnote>
  <w:endnote w:type="continuationSeparator" w:id="0">
    <w:p w:rsidR="00905A85" w:rsidRDefault="00905A8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D2" w:rsidRDefault="008174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7E" w:rsidRPr="006F372A" w:rsidRDefault="008174D2" w:rsidP="00351C3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8397E" w:rsidRPr="006F372A">
      <w:rPr>
        <w:rFonts w:ascii="Arial" w:hAnsi="Arial" w:cs="Arial"/>
        <w:i/>
        <w:sz w:val="20"/>
        <w:szCs w:val="20"/>
      </w:rPr>
      <w:t xml:space="preserve">Olomouckého kraje </w:t>
    </w:r>
    <w:r w:rsidR="0028397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28397E">
      <w:rPr>
        <w:rFonts w:ascii="Arial" w:hAnsi="Arial" w:cs="Arial"/>
        <w:i/>
        <w:sz w:val="20"/>
        <w:szCs w:val="20"/>
      </w:rPr>
      <w:t>. 09. 2018</w:t>
    </w:r>
    <w:r w:rsidR="0028397E" w:rsidRPr="006F372A">
      <w:rPr>
        <w:rFonts w:ascii="Arial" w:hAnsi="Arial" w:cs="Arial"/>
        <w:i/>
        <w:sz w:val="20"/>
        <w:szCs w:val="20"/>
      </w:rPr>
      <w:tab/>
    </w:r>
    <w:r w:rsidR="0028397E" w:rsidRPr="006F372A">
      <w:rPr>
        <w:rFonts w:ascii="Arial" w:hAnsi="Arial" w:cs="Arial"/>
        <w:i/>
        <w:sz w:val="20"/>
        <w:szCs w:val="20"/>
      </w:rPr>
      <w:tab/>
      <w:t xml:space="preserve">Strana </w:t>
    </w:r>
    <w:r w:rsidR="0028397E" w:rsidRPr="006F372A">
      <w:rPr>
        <w:rFonts w:ascii="Arial" w:hAnsi="Arial" w:cs="Arial"/>
        <w:i/>
        <w:sz w:val="20"/>
        <w:szCs w:val="20"/>
      </w:rPr>
      <w:fldChar w:fldCharType="begin"/>
    </w:r>
    <w:r w:rsidR="0028397E" w:rsidRPr="006F372A">
      <w:rPr>
        <w:rFonts w:ascii="Arial" w:hAnsi="Arial" w:cs="Arial"/>
        <w:i/>
        <w:sz w:val="20"/>
        <w:szCs w:val="20"/>
      </w:rPr>
      <w:instrText xml:space="preserve"> PAGE </w:instrText>
    </w:r>
    <w:r w:rsidR="0028397E" w:rsidRPr="006F372A">
      <w:rPr>
        <w:rFonts w:ascii="Arial" w:hAnsi="Arial" w:cs="Arial"/>
        <w:i/>
        <w:sz w:val="20"/>
        <w:szCs w:val="20"/>
      </w:rPr>
      <w:fldChar w:fldCharType="separate"/>
    </w:r>
    <w:r w:rsidR="00BB0AD0">
      <w:rPr>
        <w:rFonts w:ascii="Arial" w:hAnsi="Arial" w:cs="Arial"/>
        <w:i/>
        <w:noProof/>
        <w:sz w:val="20"/>
        <w:szCs w:val="20"/>
      </w:rPr>
      <w:t>13</w:t>
    </w:r>
    <w:r w:rsidR="0028397E" w:rsidRPr="006F372A">
      <w:rPr>
        <w:rFonts w:ascii="Arial" w:hAnsi="Arial" w:cs="Arial"/>
        <w:i/>
        <w:sz w:val="20"/>
        <w:szCs w:val="20"/>
      </w:rPr>
      <w:fldChar w:fldCharType="end"/>
    </w:r>
    <w:r w:rsidR="0028397E" w:rsidRPr="006F372A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13</w:t>
    </w:r>
    <w:r w:rsidR="0028397E" w:rsidRPr="006F372A">
      <w:rPr>
        <w:rFonts w:ascii="Arial" w:hAnsi="Arial" w:cs="Arial"/>
        <w:i/>
        <w:sz w:val="20"/>
        <w:szCs w:val="20"/>
      </w:rPr>
      <w:t xml:space="preserve">) </w:t>
    </w:r>
  </w:p>
  <w:p w:rsidR="0028397E" w:rsidRPr="006F372A" w:rsidRDefault="00C768C2" w:rsidP="0028397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47</w:t>
    </w:r>
    <w:r w:rsidR="0028397E" w:rsidRPr="006F372A">
      <w:rPr>
        <w:rFonts w:ascii="Arial" w:hAnsi="Arial" w:cs="Arial"/>
        <w:i/>
        <w:sz w:val="20"/>
        <w:szCs w:val="20"/>
      </w:rPr>
      <w:t>. – Žádosti o poskytnutí individuální dotace v oblasti životního prostředí a zemědělství</w:t>
    </w:r>
  </w:p>
  <w:p w:rsidR="0028397E" w:rsidRPr="006F372A" w:rsidRDefault="0028397E" w:rsidP="0028397E">
    <w:pPr>
      <w:pStyle w:val="Zpat"/>
      <w:rPr>
        <w:rFonts w:ascii="Arial" w:hAnsi="Arial" w:cs="Arial"/>
        <w:i/>
        <w:sz w:val="20"/>
        <w:szCs w:val="20"/>
      </w:rPr>
    </w:pPr>
    <w:r w:rsidRPr="006F372A">
      <w:rPr>
        <w:rFonts w:ascii="Arial" w:hAnsi="Arial" w:cs="Arial"/>
        <w:i/>
        <w:sz w:val="20"/>
        <w:szCs w:val="20"/>
      </w:rPr>
      <w:t>Příloha č.</w:t>
    </w:r>
    <w:r w:rsidR="00E700F3">
      <w:rPr>
        <w:rFonts w:ascii="Arial" w:hAnsi="Arial" w:cs="Arial"/>
        <w:i/>
        <w:sz w:val="20"/>
        <w:szCs w:val="20"/>
      </w:rPr>
      <w:t>2</w:t>
    </w:r>
    <w:r w:rsidR="00351C32">
      <w:rPr>
        <w:rFonts w:ascii="Arial" w:hAnsi="Arial" w:cs="Arial"/>
        <w:i/>
        <w:sz w:val="20"/>
        <w:szCs w:val="20"/>
      </w:rPr>
      <w:t xml:space="preserve"> </w:t>
    </w:r>
    <w:r w:rsidRPr="006F372A">
      <w:rPr>
        <w:rFonts w:ascii="Arial" w:hAnsi="Arial" w:cs="Arial"/>
        <w:i/>
        <w:sz w:val="20"/>
        <w:szCs w:val="20"/>
      </w:rPr>
      <w:t xml:space="preserve"> – Veřejnoprávní smlouva o poskytnutí dotace</w:t>
    </w:r>
    <w:r w:rsidR="00E700F3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Povodí Moravy, </w:t>
    </w:r>
    <w:proofErr w:type="spellStart"/>
    <w:proofErr w:type="gramStart"/>
    <w:r>
      <w:rPr>
        <w:rFonts w:ascii="Arial" w:hAnsi="Arial" w:cs="Arial"/>
        <w:i/>
        <w:sz w:val="20"/>
        <w:szCs w:val="20"/>
      </w:rPr>
      <w:t>s.p</w:t>
    </w:r>
    <w:proofErr w:type="spellEnd"/>
    <w:r>
      <w:rPr>
        <w:rFonts w:ascii="Arial" w:hAnsi="Arial" w:cs="Arial"/>
        <w:i/>
        <w:sz w:val="20"/>
        <w:szCs w:val="20"/>
      </w:rPr>
      <w:t>.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85" w:rsidRDefault="00905A85" w:rsidP="00D40C40">
      <w:r>
        <w:separator/>
      </w:r>
    </w:p>
  </w:footnote>
  <w:footnote w:type="continuationSeparator" w:id="0">
    <w:p w:rsidR="00905A85" w:rsidRDefault="00905A8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D2" w:rsidRDefault="008174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B5" w:rsidRPr="00E700F3" w:rsidRDefault="00E700F3">
    <w:pPr>
      <w:pStyle w:val="Zhlav"/>
      <w:rPr>
        <w:rFonts w:ascii="Arial" w:hAnsi="Arial" w:cs="Arial"/>
        <w:sz w:val="24"/>
        <w:szCs w:val="24"/>
      </w:rPr>
    </w:pPr>
    <w:r w:rsidRPr="00E700F3">
      <w:rPr>
        <w:rFonts w:ascii="Arial" w:hAnsi="Arial" w:cs="Arial"/>
        <w:sz w:val="24"/>
        <w:szCs w:val="24"/>
      </w:rP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D2" w:rsidRDefault="008174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C67285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1A41FDA"/>
    <w:multiLevelType w:val="hybridMultilevel"/>
    <w:tmpl w:val="58180F44"/>
    <w:lvl w:ilvl="0" w:tplc="A9001684">
      <w:start w:val="4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EA334C1"/>
    <w:multiLevelType w:val="hybridMultilevel"/>
    <w:tmpl w:val="234C6028"/>
    <w:lvl w:ilvl="0" w:tplc="64E29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BD0823"/>
    <w:multiLevelType w:val="hybridMultilevel"/>
    <w:tmpl w:val="B9DA8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6729F"/>
    <w:multiLevelType w:val="hybridMultilevel"/>
    <w:tmpl w:val="A76C7D6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C44CF"/>
    <w:multiLevelType w:val="hybridMultilevel"/>
    <w:tmpl w:val="0958E366"/>
    <w:lvl w:ilvl="0" w:tplc="D98EC09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C247AA9"/>
    <w:multiLevelType w:val="hybridMultilevel"/>
    <w:tmpl w:val="B7CC9986"/>
    <w:lvl w:ilvl="0" w:tplc="64E29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E834B3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3526A"/>
    <w:multiLevelType w:val="hybridMultilevel"/>
    <w:tmpl w:val="F7E0F730"/>
    <w:lvl w:ilvl="0" w:tplc="B824AF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4B31A0"/>
    <w:multiLevelType w:val="multilevel"/>
    <w:tmpl w:val="F9A6EC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19"/>
  </w:num>
  <w:num w:numId="4">
    <w:abstractNumId w:val="39"/>
  </w:num>
  <w:num w:numId="5">
    <w:abstractNumId w:val="20"/>
  </w:num>
  <w:num w:numId="6">
    <w:abstractNumId w:val="36"/>
  </w:num>
  <w:num w:numId="7">
    <w:abstractNumId w:val="11"/>
  </w:num>
  <w:num w:numId="8">
    <w:abstractNumId w:val="23"/>
  </w:num>
  <w:num w:numId="9">
    <w:abstractNumId w:val="3"/>
  </w:num>
  <w:num w:numId="10">
    <w:abstractNumId w:val="12"/>
  </w:num>
  <w:num w:numId="11">
    <w:abstractNumId w:val="15"/>
  </w:num>
  <w:num w:numId="12">
    <w:abstractNumId w:val="10"/>
  </w:num>
  <w:num w:numId="13">
    <w:abstractNumId w:val="25"/>
  </w:num>
  <w:num w:numId="14">
    <w:abstractNumId w:val="33"/>
  </w:num>
  <w:num w:numId="15">
    <w:abstractNumId w:val="41"/>
  </w:num>
  <w:num w:numId="16">
    <w:abstractNumId w:val="32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0"/>
  </w:num>
  <w:num w:numId="22">
    <w:abstractNumId w:val="17"/>
  </w:num>
  <w:num w:numId="23">
    <w:abstractNumId w:val="5"/>
  </w:num>
  <w:num w:numId="24">
    <w:abstractNumId w:val="4"/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24"/>
  </w:num>
  <w:num w:numId="30">
    <w:abstractNumId w:val="27"/>
  </w:num>
  <w:num w:numId="31">
    <w:abstractNumId w:val="14"/>
  </w:num>
  <w:num w:numId="32">
    <w:abstractNumId w:val="40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1"/>
  </w:num>
  <w:num w:numId="42">
    <w:abstractNumId w:val="29"/>
  </w:num>
  <w:num w:numId="43">
    <w:abstractNumId w:val="21"/>
  </w:num>
  <w:num w:numId="44">
    <w:abstractNumId w:val="26"/>
  </w:num>
  <w:num w:numId="45">
    <w:abstractNumId w:val="6"/>
  </w:num>
  <w:num w:numId="46">
    <w:abstractNumId w:val="9"/>
  </w:num>
  <w:num w:numId="47">
    <w:abstractNumId w:val="1"/>
  </w:num>
  <w:num w:numId="48">
    <w:abstractNumId w:val="16"/>
  </w:num>
  <w:num w:numId="49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1B11"/>
    <w:rsid w:val="000032B4"/>
    <w:rsid w:val="000047EB"/>
    <w:rsid w:val="00006AE8"/>
    <w:rsid w:val="000101FB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623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40DC"/>
    <w:rsid w:val="000C501D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2A2"/>
    <w:rsid w:val="000F659E"/>
    <w:rsid w:val="0010380F"/>
    <w:rsid w:val="00104DA7"/>
    <w:rsid w:val="00105061"/>
    <w:rsid w:val="0010592B"/>
    <w:rsid w:val="00107607"/>
    <w:rsid w:val="00111E6D"/>
    <w:rsid w:val="001130A1"/>
    <w:rsid w:val="001158F5"/>
    <w:rsid w:val="0011722F"/>
    <w:rsid w:val="001178D1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BE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1B34"/>
    <w:rsid w:val="001720A1"/>
    <w:rsid w:val="00172C61"/>
    <w:rsid w:val="00173F42"/>
    <w:rsid w:val="00175D80"/>
    <w:rsid w:val="00176344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C7F6D"/>
    <w:rsid w:val="001D1DD2"/>
    <w:rsid w:val="001D2DB3"/>
    <w:rsid w:val="001D3285"/>
    <w:rsid w:val="001D3A9C"/>
    <w:rsid w:val="001D42CD"/>
    <w:rsid w:val="001D6533"/>
    <w:rsid w:val="001D7749"/>
    <w:rsid w:val="001E00C9"/>
    <w:rsid w:val="001E21D4"/>
    <w:rsid w:val="001E24AD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62AF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2AD"/>
    <w:rsid w:val="00257F52"/>
    <w:rsid w:val="002601DB"/>
    <w:rsid w:val="002651AB"/>
    <w:rsid w:val="00265FDA"/>
    <w:rsid w:val="00266DB4"/>
    <w:rsid w:val="00266EFB"/>
    <w:rsid w:val="00271550"/>
    <w:rsid w:val="0027781E"/>
    <w:rsid w:val="00277B48"/>
    <w:rsid w:val="002804E7"/>
    <w:rsid w:val="002806B1"/>
    <w:rsid w:val="0028397E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8DF"/>
    <w:rsid w:val="002E127B"/>
    <w:rsid w:val="002E22EC"/>
    <w:rsid w:val="002E4AC7"/>
    <w:rsid w:val="002E6113"/>
    <w:rsid w:val="002F0537"/>
    <w:rsid w:val="002F2753"/>
    <w:rsid w:val="002F344A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0E83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26BF5"/>
    <w:rsid w:val="00332FD6"/>
    <w:rsid w:val="0033568D"/>
    <w:rsid w:val="00337CC7"/>
    <w:rsid w:val="003407BA"/>
    <w:rsid w:val="0034082C"/>
    <w:rsid w:val="003415A4"/>
    <w:rsid w:val="00341E0B"/>
    <w:rsid w:val="00343694"/>
    <w:rsid w:val="00343A71"/>
    <w:rsid w:val="003454CB"/>
    <w:rsid w:val="00345E5F"/>
    <w:rsid w:val="003475F9"/>
    <w:rsid w:val="00350A22"/>
    <w:rsid w:val="00350F39"/>
    <w:rsid w:val="00351C32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132A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41BD"/>
    <w:rsid w:val="003857D9"/>
    <w:rsid w:val="00386B1E"/>
    <w:rsid w:val="00387077"/>
    <w:rsid w:val="00390443"/>
    <w:rsid w:val="0039077C"/>
    <w:rsid w:val="0039088F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0C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2048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21E9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5EA3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DD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0395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579C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287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1102"/>
    <w:rsid w:val="00711590"/>
    <w:rsid w:val="007117EC"/>
    <w:rsid w:val="00711FD7"/>
    <w:rsid w:val="00713426"/>
    <w:rsid w:val="0071401C"/>
    <w:rsid w:val="00714BE3"/>
    <w:rsid w:val="00720FB1"/>
    <w:rsid w:val="0072192A"/>
    <w:rsid w:val="00722527"/>
    <w:rsid w:val="00723202"/>
    <w:rsid w:val="007235E1"/>
    <w:rsid w:val="0072467C"/>
    <w:rsid w:val="00725B3A"/>
    <w:rsid w:val="007272AA"/>
    <w:rsid w:val="007321D0"/>
    <w:rsid w:val="00735623"/>
    <w:rsid w:val="00735E1F"/>
    <w:rsid w:val="007360D6"/>
    <w:rsid w:val="007404BE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2094"/>
    <w:rsid w:val="007D5318"/>
    <w:rsid w:val="007D5B93"/>
    <w:rsid w:val="007D5EA9"/>
    <w:rsid w:val="007E0009"/>
    <w:rsid w:val="007E0CAA"/>
    <w:rsid w:val="007E17A9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39CA"/>
    <w:rsid w:val="008040C3"/>
    <w:rsid w:val="00810C7B"/>
    <w:rsid w:val="00811C9A"/>
    <w:rsid w:val="00812092"/>
    <w:rsid w:val="008174D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3B1D"/>
    <w:rsid w:val="00874272"/>
    <w:rsid w:val="008751B8"/>
    <w:rsid w:val="008771BB"/>
    <w:rsid w:val="008824D6"/>
    <w:rsid w:val="00882BA6"/>
    <w:rsid w:val="00885BED"/>
    <w:rsid w:val="00886D2F"/>
    <w:rsid w:val="008908EE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2F6A"/>
    <w:rsid w:val="008C32B0"/>
    <w:rsid w:val="008C3F73"/>
    <w:rsid w:val="008C5549"/>
    <w:rsid w:val="008C57F6"/>
    <w:rsid w:val="008C65B2"/>
    <w:rsid w:val="008C7242"/>
    <w:rsid w:val="008C79A0"/>
    <w:rsid w:val="008C7AE5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5A85"/>
    <w:rsid w:val="009060B3"/>
    <w:rsid w:val="00906304"/>
    <w:rsid w:val="00906564"/>
    <w:rsid w:val="00906785"/>
    <w:rsid w:val="00907127"/>
    <w:rsid w:val="00910D34"/>
    <w:rsid w:val="00910D5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5F05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657C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358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356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2B5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492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824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5FFB"/>
    <w:rsid w:val="00AC637B"/>
    <w:rsid w:val="00AC750A"/>
    <w:rsid w:val="00AD0592"/>
    <w:rsid w:val="00AD3B56"/>
    <w:rsid w:val="00AD3E9E"/>
    <w:rsid w:val="00AD46AF"/>
    <w:rsid w:val="00AE18C4"/>
    <w:rsid w:val="00AE30DE"/>
    <w:rsid w:val="00AE3DBD"/>
    <w:rsid w:val="00AE7CD0"/>
    <w:rsid w:val="00AF161F"/>
    <w:rsid w:val="00AF350B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5B7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47AF2"/>
    <w:rsid w:val="00B50B3B"/>
    <w:rsid w:val="00B518DC"/>
    <w:rsid w:val="00B52B47"/>
    <w:rsid w:val="00B542C6"/>
    <w:rsid w:val="00B54647"/>
    <w:rsid w:val="00B5669C"/>
    <w:rsid w:val="00B56B3B"/>
    <w:rsid w:val="00B609DE"/>
    <w:rsid w:val="00B61F0C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A28"/>
    <w:rsid w:val="00B97DCD"/>
    <w:rsid w:val="00BA3415"/>
    <w:rsid w:val="00BA4E35"/>
    <w:rsid w:val="00BB0976"/>
    <w:rsid w:val="00BB0AD0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6F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6D5A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5751D"/>
    <w:rsid w:val="00C60AA7"/>
    <w:rsid w:val="00C6290F"/>
    <w:rsid w:val="00C62A8E"/>
    <w:rsid w:val="00C63CC5"/>
    <w:rsid w:val="00C642A8"/>
    <w:rsid w:val="00C7076C"/>
    <w:rsid w:val="00C71853"/>
    <w:rsid w:val="00C7203F"/>
    <w:rsid w:val="00C722A5"/>
    <w:rsid w:val="00C73FE7"/>
    <w:rsid w:val="00C74BFA"/>
    <w:rsid w:val="00C7578C"/>
    <w:rsid w:val="00C76029"/>
    <w:rsid w:val="00C768C2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8E9"/>
    <w:rsid w:val="00CA0A71"/>
    <w:rsid w:val="00CA19C3"/>
    <w:rsid w:val="00CA1E36"/>
    <w:rsid w:val="00CA24A0"/>
    <w:rsid w:val="00CB0A48"/>
    <w:rsid w:val="00CB5336"/>
    <w:rsid w:val="00CB66EB"/>
    <w:rsid w:val="00CB74A6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66FF"/>
    <w:rsid w:val="00CD76D2"/>
    <w:rsid w:val="00CE0F98"/>
    <w:rsid w:val="00CE2166"/>
    <w:rsid w:val="00CE25FD"/>
    <w:rsid w:val="00CE3D25"/>
    <w:rsid w:val="00CE52FC"/>
    <w:rsid w:val="00CE6F7F"/>
    <w:rsid w:val="00CF0805"/>
    <w:rsid w:val="00CF21B3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B91"/>
    <w:rsid w:val="00D11E64"/>
    <w:rsid w:val="00D11F05"/>
    <w:rsid w:val="00D134FE"/>
    <w:rsid w:val="00D1424A"/>
    <w:rsid w:val="00D15D0F"/>
    <w:rsid w:val="00D17D01"/>
    <w:rsid w:val="00D203D7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249C"/>
    <w:rsid w:val="00D34C35"/>
    <w:rsid w:val="00D3770B"/>
    <w:rsid w:val="00D40813"/>
    <w:rsid w:val="00D40C40"/>
    <w:rsid w:val="00D40E66"/>
    <w:rsid w:val="00D42D28"/>
    <w:rsid w:val="00D43C40"/>
    <w:rsid w:val="00D46165"/>
    <w:rsid w:val="00D520A6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F47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3F35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B6D99"/>
    <w:rsid w:val="00DB7A03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E6BDB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0656D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00F3"/>
    <w:rsid w:val="00E71C80"/>
    <w:rsid w:val="00E72981"/>
    <w:rsid w:val="00E72E98"/>
    <w:rsid w:val="00E750DB"/>
    <w:rsid w:val="00E75642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78E4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08E1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68FC"/>
    <w:rsid w:val="00F071EA"/>
    <w:rsid w:val="00F076A0"/>
    <w:rsid w:val="00F079C8"/>
    <w:rsid w:val="00F07A92"/>
    <w:rsid w:val="00F10111"/>
    <w:rsid w:val="00F10B07"/>
    <w:rsid w:val="00F140E5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334B"/>
    <w:rsid w:val="00F35336"/>
    <w:rsid w:val="00F35DEC"/>
    <w:rsid w:val="00F36721"/>
    <w:rsid w:val="00F37102"/>
    <w:rsid w:val="00F4134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43E4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7B07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locked/>
    <w:rsid w:val="00326BF5"/>
  </w:style>
  <w:style w:type="paragraph" w:customStyle="1" w:styleId="Default">
    <w:name w:val="Default"/>
    <w:rsid w:val="00FE7B07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03356"/>
    <w:pPr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locked/>
    <w:rsid w:val="00326BF5"/>
  </w:style>
  <w:style w:type="paragraph" w:customStyle="1" w:styleId="Default">
    <w:name w:val="Default"/>
    <w:rsid w:val="00FE7B07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03356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kr-olomoucky.cz/vyuctovani-dotace-cl-406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81D7-2971-4C0E-8CA6-C3683605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3263</Words>
  <Characters>19252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7</cp:revision>
  <cp:lastPrinted>2018-04-03T11:24:00Z</cp:lastPrinted>
  <dcterms:created xsi:type="dcterms:W3CDTF">2018-09-05T10:27:00Z</dcterms:created>
  <dcterms:modified xsi:type="dcterms:W3CDTF">2018-09-10T14:14:00Z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