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41" w:rsidRDefault="00BF4141" w:rsidP="00BF4141">
      <w:pPr>
        <w:jc w:val="center"/>
        <w:rPr>
          <w:rFonts w:ascii="Arial" w:hAnsi="Arial" w:cs="Arial"/>
          <w:b/>
          <w:bCs/>
          <w:sz w:val="28"/>
          <w:szCs w:val="28"/>
          <w:u w:val="single"/>
        </w:rPr>
      </w:pPr>
      <w:r>
        <w:rPr>
          <w:rFonts w:ascii="Arial" w:hAnsi="Arial" w:cs="Arial"/>
          <w:b/>
          <w:bCs/>
          <w:sz w:val="28"/>
          <w:szCs w:val="28"/>
          <w:u w:val="single"/>
        </w:rPr>
        <w:t>Základní informace ke konkur</w:t>
      </w:r>
      <w:bookmarkStart w:id="0" w:name="_GoBack"/>
      <w:bookmarkEnd w:id="0"/>
      <w:r>
        <w:rPr>
          <w:rFonts w:ascii="Arial" w:hAnsi="Arial" w:cs="Arial"/>
          <w:b/>
          <w:bCs/>
          <w:sz w:val="28"/>
          <w:szCs w:val="28"/>
          <w:u w:val="single"/>
        </w:rPr>
        <w:t xml:space="preserve">zním řízením na obsazení pracovních míst ředitelů škol a školských zařízení zřizovaných </w:t>
      </w:r>
    </w:p>
    <w:p w:rsidR="00BF4141" w:rsidRDefault="00BF4141" w:rsidP="009038BF">
      <w:pPr>
        <w:spacing w:after="360"/>
        <w:jc w:val="center"/>
        <w:rPr>
          <w:rFonts w:ascii="Arial" w:hAnsi="Arial" w:cs="Arial"/>
        </w:rPr>
      </w:pPr>
      <w:r w:rsidRPr="00CF0B6F">
        <w:rPr>
          <w:rFonts w:ascii="Arial" w:hAnsi="Arial" w:cs="Arial"/>
        </w:rPr>
        <w:t>(dle vyhlášky č. 54/2005 Sb., o náležitostech konkur</w:t>
      </w:r>
      <w:r w:rsidR="00225181">
        <w:rPr>
          <w:rFonts w:ascii="Arial" w:hAnsi="Arial" w:cs="Arial"/>
        </w:rPr>
        <w:t>s</w:t>
      </w:r>
      <w:r w:rsidRPr="00CF0B6F">
        <w:rPr>
          <w:rFonts w:ascii="Arial" w:hAnsi="Arial" w:cs="Arial"/>
        </w:rPr>
        <w:t>ního řízení a konkur</w:t>
      </w:r>
      <w:r w:rsidR="00225181">
        <w:rPr>
          <w:rFonts w:ascii="Arial" w:hAnsi="Arial" w:cs="Arial"/>
        </w:rPr>
        <w:t>s</w:t>
      </w:r>
      <w:r w:rsidRPr="00CF0B6F">
        <w:rPr>
          <w:rFonts w:ascii="Arial" w:hAnsi="Arial" w:cs="Arial"/>
        </w:rPr>
        <w:t>ních komisí</w:t>
      </w:r>
      <w:r>
        <w:rPr>
          <w:rFonts w:ascii="Arial" w:hAnsi="Arial" w:cs="Arial"/>
        </w:rPr>
        <w:t>ch</w:t>
      </w:r>
      <w:r w:rsidRPr="00CF0B6F">
        <w:rPr>
          <w:rFonts w:ascii="Arial" w:hAnsi="Arial" w:cs="Arial"/>
        </w:rPr>
        <w:t>, která nabyla účinnosti dne 4. 2. 2005)</w:t>
      </w:r>
    </w:p>
    <w:p w:rsidR="00BF4141" w:rsidRDefault="00BF4141" w:rsidP="009038BF">
      <w:pPr>
        <w:numPr>
          <w:ilvl w:val="0"/>
          <w:numId w:val="1"/>
        </w:numPr>
        <w:spacing w:after="240"/>
        <w:ind w:left="714" w:hanging="357"/>
        <w:jc w:val="both"/>
        <w:rPr>
          <w:rFonts w:ascii="Arial" w:hAnsi="Arial" w:cs="Arial"/>
        </w:rPr>
      </w:pPr>
      <w:r>
        <w:rPr>
          <w:rFonts w:ascii="Arial" w:hAnsi="Arial" w:cs="Arial"/>
        </w:rPr>
        <w:t xml:space="preserve">Zřizovatel příslušné školy (školského zařízení), pro kterou se konkurz koná, odešle žádosti o delegování členů konkurzní komise na krajský úřad a Českou školní inspekci a sestaví a jmenuje konkurzní komisi </w:t>
      </w:r>
      <w:r w:rsidRPr="00054A74">
        <w:rPr>
          <w:rFonts w:ascii="Arial" w:hAnsi="Arial" w:cs="Arial"/>
          <w:u w:val="single"/>
        </w:rPr>
        <w:t>nejpozději 30 dní</w:t>
      </w:r>
      <w:r>
        <w:rPr>
          <w:rFonts w:ascii="Arial" w:hAnsi="Arial" w:cs="Arial"/>
        </w:rPr>
        <w:t xml:space="preserve"> před konáním konkurzního řízení. Pokud člen komise přestane svou funkci vykonávat, zřizovatel jej odvolá a jmenuje nového člena komise.</w:t>
      </w:r>
    </w:p>
    <w:p w:rsidR="00BF4141" w:rsidRDefault="00BF4141" w:rsidP="009038BF">
      <w:pPr>
        <w:numPr>
          <w:ilvl w:val="0"/>
          <w:numId w:val="1"/>
        </w:numPr>
        <w:spacing w:after="240"/>
        <w:ind w:left="714" w:hanging="357"/>
        <w:jc w:val="both"/>
        <w:rPr>
          <w:rFonts w:ascii="Arial" w:hAnsi="Arial" w:cs="Arial"/>
        </w:rPr>
      </w:pPr>
      <w:r>
        <w:rPr>
          <w:rFonts w:ascii="Arial" w:hAnsi="Arial" w:cs="Arial"/>
        </w:rPr>
        <w:t xml:space="preserve">Zřizovatel určí svého zaměstnance, který bude vykonávat funkci tajemníka. Tajemník organizačně a administrativně zabezpečuje jednání komise (tajemník není členem komise). </w:t>
      </w:r>
    </w:p>
    <w:p w:rsidR="00BF4141" w:rsidRDefault="00BF4141" w:rsidP="009038BF">
      <w:pPr>
        <w:numPr>
          <w:ilvl w:val="0"/>
          <w:numId w:val="1"/>
        </w:numPr>
        <w:spacing w:after="240"/>
        <w:ind w:left="714" w:hanging="357"/>
        <w:jc w:val="both"/>
        <w:rPr>
          <w:rFonts w:ascii="Arial" w:hAnsi="Arial" w:cs="Arial"/>
        </w:rPr>
      </w:pPr>
      <w:r>
        <w:rPr>
          <w:rFonts w:ascii="Arial" w:hAnsi="Arial" w:cs="Arial"/>
        </w:rPr>
        <w:t>Zřizovatel na úřední desce nebo jiným způsobem v místě obvyklým oznámí náležitosti vyhlášení konkurzu.</w:t>
      </w:r>
    </w:p>
    <w:p w:rsidR="00BF4141" w:rsidRDefault="00BF4141" w:rsidP="009038BF">
      <w:pPr>
        <w:numPr>
          <w:ilvl w:val="0"/>
          <w:numId w:val="2"/>
        </w:numPr>
        <w:spacing w:after="240"/>
        <w:ind w:left="714" w:hanging="357"/>
        <w:jc w:val="both"/>
        <w:rPr>
          <w:rFonts w:ascii="Arial" w:hAnsi="Arial" w:cs="Arial"/>
        </w:rPr>
      </w:pPr>
      <w:r>
        <w:rPr>
          <w:rFonts w:ascii="Arial" w:hAnsi="Arial" w:cs="Arial"/>
        </w:rPr>
        <w:t xml:space="preserve">Komise zahájí svou činnost bezodkladně po svém jmenování zřizovatelem. Jednání komise je neveřejné. Komise je schopna se usnášet, pokud je přítomno alespoň pět členů komise včetně předsedy. Komise posoudí, zda přihlášky vyhovují požadavkům konkurzního řízení a usnese se, zda budou uchazeči podrobeni znalostnímu testu (doba trvání nejvýše 60 minut) a navrhne zřizovateli vyřazení uchazečů, kteří nesplnili podmínky </w:t>
      </w:r>
      <w:r w:rsidRPr="00BD3798">
        <w:rPr>
          <w:rFonts w:ascii="Arial" w:hAnsi="Arial" w:cs="Arial"/>
        </w:rPr>
        <w:t>vyhlášeného kon</w:t>
      </w:r>
      <w:r>
        <w:rPr>
          <w:rFonts w:ascii="Arial" w:hAnsi="Arial" w:cs="Arial"/>
        </w:rPr>
        <w:t xml:space="preserve">kurzního řízení. </w:t>
      </w:r>
    </w:p>
    <w:p w:rsidR="00BF4141" w:rsidRDefault="00BF4141" w:rsidP="009038BF">
      <w:pPr>
        <w:numPr>
          <w:ilvl w:val="0"/>
          <w:numId w:val="1"/>
        </w:numPr>
        <w:spacing w:after="240"/>
        <w:ind w:left="714" w:hanging="357"/>
        <w:jc w:val="both"/>
        <w:rPr>
          <w:rFonts w:ascii="Arial" w:hAnsi="Arial" w:cs="Arial"/>
        </w:rPr>
      </w:pPr>
      <w:r>
        <w:rPr>
          <w:rFonts w:ascii="Arial" w:hAnsi="Arial" w:cs="Arial"/>
        </w:rPr>
        <w:t xml:space="preserve">Komise odešle doporučenou zásilkou s dodejkou na adresu uvedenou uchazečem </w:t>
      </w:r>
      <w:r w:rsidRPr="00622765">
        <w:rPr>
          <w:rFonts w:ascii="Arial" w:hAnsi="Arial" w:cs="Arial"/>
          <w:u w:val="single"/>
        </w:rPr>
        <w:t>nejpozději 14 dní</w:t>
      </w:r>
      <w:r>
        <w:rPr>
          <w:rFonts w:ascii="Arial" w:hAnsi="Arial" w:cs="Arial"/>
        </w:rPr>
        <w:t xml:space="preserve"> před dnem konání konkurzu pozvánku ke konkurzu, v níž je uvedeno místo, datum a hodina konání konkurzu.</w:t>
      </w:r>
    </w:p>
    <w:p w:rsidR="00BF4141" w:rsidRDefault="00BF4141" w:rsidP="00BF4141">
      <w:pPr>
        <w:numPr>
          <w:ilvl w:val="0"/>
          <w:numId w:val="1"/>
        </w:numPr>
        <w:jc w:val="both"/>
        <w:rPr>
          <w:rFonts w:ascii="Arial" w:hAnsi="Arial" w:cs="Arial"/>
        </w:rPr>
      </w:pPr>
      <w:r>
        <w:rPr>
          <w:rFonts w:ascii="Arial" w:hAnsi="Arial" w:cs="Arial"/>
        </w:rPr>
        <w:t>Konání konkurzu – řízeného rozhovoru (doba trvání 15 až 60 minut):</w:t>
      </w:r>
    </w:p>
    <w:p w:rsidR="00BF4141" w:rsidRDefault="00BF4141" w:rsidP="00BF4141">
      <w:pPr>
        <w:numPr>
          <w:ilvl w:val="0"/>
          <w:numId w:val="3"/>
        </w:numPr>
        <w:jc w:val="both"/>
        <w:rPr>
          <w:rFonts w:ascii="Arial" w:hAnsi="Arial" w:cs="Arial"/>
        </w:rPr>
      </w:pPr>
      <w:r>
        <w:rPr>
          <w:rFonts w:ascii="Arial" w:hAnsi="Arial" w:cs="Arial"/>
        </w:rPr>
        <w:t xml:space="preserve">hlasování o vhodnosti uchazečů konkurzu: </w:t>
      </w:r>
    </w:p>
    <w:p w:rsidR="00BF4141" w:rsidRDefault="00BF4141" w:rsidP="00BF4141">
      <w:pPr>
        <w:ind w:left="1068"/>
        <w:jc w:val="both"/>
        <w:rPr>
          <w:rFonts w:ascii="Arial" w:hAnsi="Arial" w:cs="Arial"/>
        </w:rPr>
      </w:pPr>
      <w:r>
        <w:rPr>
          <w:rFonts w:ascii="Arial" w:hAnsi="Arial" w:cs="Arial"/>
        </w:rPr>
        <w:t xml:space="preserve">(vhodným uchazečem je ten, který </w:t>
      </w:r>
      <w:proofErr w:type="gramStart"/>
      <w:r>
        <w:rPr>
          <w:rFonts w:ascii="Arial" w:hAnsi="Arial" w:cs="Arial"/>
        </w:rPr>
        <w:t>získal</w:t>
      </w:r>
      <w:proofErr w:type="gramEnd"/>
      <w:r>
        <w:rPr>
          <w:rFonts w:ascii="Arial" w:hAnsi="Arial" w:cs="Arial"/>
        </w:rPr>
        <w:t xml:space="preserve"> nadpoloviční počet kladných hlasů přítomných členů komise; v případě rovnosti hlasů </w:t>
      </w:r>
      <w:proofErr w:type="gramStart"/>
      <w:r>
        <w:rPr>
          <w:rFonts w:ascii="Arial" w:hAnsi="Arial" w:cs="Arial"/>
        </w:rPr>
        <w:t>rozhoduje</w:t>
      </w:r>
      <w:proofErr w:type="gramEnd"/>
      <w:r>
        <w:rPr>
          <w:rFonts w:ascii="Arial" w:hAnsi="Arial" w:cs="Arial"/>
        </w:rPr>
        <w:t xml:space="preserve"> hlas předsedy komise) </w:t>
      </w:r>
      <w:r>
        <w:rPr>
          <w:rFonts w:ascii="Arial" w:hAnsi="Arial" w:cs="Arial"/>
        </w:rPr>
        <w:tab/>
        <w:t xml:space="preserve">   </w:t>
      </w:r>
    </w:p>
    <w:p w:rsidR="00BF4141" w:rsidRDefault="00BF4141" w:rsidP="00BF4141">
      <w:pPr>
        <w:ind w:left="360" w:firstLine="708"/>
        <w:jc w:val="both"/>
        <w:rPr>
          <w:rFonts w:ascii="Arial" w:hAnsi="Arial" w:cs="Arial"/>
        </w:rPr>
      </w:pPr>
      <w:r>
        <w:rPr>
          <w:rFonts w:ascii="Arial" w:hAnsi="Arial" w:cs="Arial"/>
        </w:rPr>
        <w:t xml:space="preserve">hlasovací lístky konkurzní komise o vhodnosti uchazečů konkurzu: </w:t>
      </w:r>
    </w:p>
    <w:p w:rsidR="00BF4141" w:rsidRDefault="00BF4141" w:rsidP="00BF4141">
      <w:pPr>
        <w:numPr>
          <w:ilvl w:val="0"/>
          <w:numId w:val="4"/>
        </w:numPr>
        <w:jc w:val="both"/>
        <w:rPr>
          <w:rFonts w:ascii="Arial" w:hAnsi="Arial" w:cs="Arial"/>
        </w:rPr>
      </w:pPr>
      <w:r>
        <w:rPr>
          <w:rFonts w:ascii="Arial" w:hAnsi="Arial" w:cs="Arial"/>
        </w:rPr>
        <w:t>pro výkon funkce je vhodný jeden z uchazečů</w:t>
      </w:r>
    </w:p>
    <w:p w:rsidR="00BF4141" w:rsidRPr="00BD3798" w:rsidRDefault="00BF4141" w:rsidP="00BF4141">
      <w:pPr>
        <w:jc w:val="both"/>
        <w:rPr>
          <w:rFonts w:ascii="Arial" w:hAnsi="Arial" w:cs="Arial"/>
        </w:rPr>
      </w:pPr>
      <w:r w:rsidRPr="00BD3798">
        <w:rPr>
          <w:rFonts w:ascii="Arial" w:hAnsi="Arial" w:cs="Arial"/>
        </w:rPr>
        <w:t xml:space="preserve">                     (zápis o průběhu konkurzu na obsazení </w:t>
      </w:r>
      <w:r>
        <w:rPr>
          <w:rFonts w:ascii="Arial" w:hAnsi="Arial" w:cs="Arial"/>
        </w:rPr>
        <w:t>pracovního místa</w:t>
      </w:r>
      <w:r w:rsidRPr="00BD3798">
        <w:rPr>
          <w:rFonts w:ascii="Arial" w:hAnsi="Arial" w:cs="Arial"/>
        </w:rPr>
        <w:t xml:space="preserve"> ředitele</w:t>
      </w:r>
      <w:r>
        <w:rPr>
          <w:rFonts w:ascii="Arial" w:hAnsi="Arial" w:cs="Arial"/>
        </w:rPr>
        <w:t>)</w:t>
      </w:r>
    </w:p>
    <w:p w:rsidR="00BF4141" w:rsidRDefault="00BF4141" w:rsidP="00BF4141">
      <w:pPr>
        <w:ind w:left="372" w:firstLine="708"/>
        <w:jc w:val="both"/>
        <w:rPr>
          <w:rFonts w:ascii="Arial" w:hAnsi="Arial" w:cs="Arial"/>
        </w:rPr>
      </w:pPr>
      <w:r>
        <w:rPr>
          <w:rFonts w:ascii="Arial" w:hAnsi="Arial" w:cs="Arial"/>
        </w:rPr>
        <w:t xml:space="preserve">b) pro výkon funkce jsou vhodní dva nebo více uchazečů </w:t>
      </w:r>
    </w:p>
    <w:p w:rsidR="00BF4141" w:rsidRDefault="00BF4141" w:rsidP="00BF4141">
      <w:pPr>
        <w:ind w:left="1080" w:firstLine="330"/>
        <w:jc w:val="both"/>
        <w:rPr>
          <w:rFonts w:ascii="Arial" w:hAnsi="Arial" w:cs="Arial"/>
        </w:rPr>
      </w:pPr>
      <w:r>
        <w:rPr>
          <w:rFonts w:ascii="Arial" w:hAnsi="Arial" w:cs="Arial"/>
        </w:rPr>
        <w:t xml:space="preserve">- sestavení vlastního pořadí vhodných uchazečů konkurzu každým členem  </w:t>
      </w:r>
    </w:p>
    <w:p w:rsidR="00BF4141" w:rsidRDefault="00BF4141" w:rsidP="00BF4141">
      <w:pPr>
        <w:ind w:left="1590"/>
        <w:jc w:val="both"/>
        <w:rPr>
          <w:rFonts w:ascii="Arial" w:hAnsi="Arial" w:cs="Arial"/>
        </w:rPr>
      </w:pPr>
      <w:r>
        <w:rPr>
          <w:rFonts w:ascii="Arial" w:hAnsi="Arial" w:cs="Arial"/>
        </w:rPr>
        <w:t xml:space="preserve">komise od nejvhodnějšího po nejméně vhodného uchazeče a předání předsedovi komise </w:t>
      </w:r>
    </w:p>
    <w:p w:rsidR="00BF4141" w:rsidRDefault="00BF4141" w:rsidP="00BF4141">
      <w:pPr>
        <w:ind w:left="1416"/>
        <w:jc w:val="both"/>
        <w:rPr>
          <w:rFonts w:ascii="Arial" w:hAnsi="Arial" w:cs="Arial"/>
        </w:rPr>
      </w:pPr>
      <w:r>
        <w:rPr>
          <w:rFonts w:ascii="Arial" w:hAnsi="Arial" w:cs="Arial"/>
        </w:rPr>
        <w:t>- provedení celkového vyhodnocení konkurzu za účasti</w:t>
      </w:r>
      <w:r w:rsidR="00EF00F1">
        <w:rPr>
          <w:rFonts w:ascii="Arial" w:hAnsi="Arial" w:cs="Arial"/>
        </w:rPr>
        <w:t xml:space="preserve"> </w:t>
      </w:r>
      <w:r>
        <w:rPr>
          <w:rFonts w:ascii="Arial" w:hAnsi="Arial" w:cs="Arial"/>
        </w:rPr>
        <w:t xml:space="preserve">všech přítomných  </w:t>
      </w:r>
    </w:p>
    <w:p w:rsidR="00BF4141" w:rsidRDefault="00BF4141" w:rsidP="00BF4141">
      <w:pPr>
        <w:ind w:left="1416"/>
        <w:jc w:val="both"/>
        <w:rPr>
          <w:rFonts w:ascii="Arial" w:hAnsi="Arial" w:cs="Arial"/>
        </w:rPr>
      </w:pPr>
      <w:r>
        <w:rPr>
          <w:rFonts w:ascii="Arial" w:hAnsi="Arial" w:cs="Arial"/>
        </w:rPr>
        <w:t xml:space="preserve">  členů komise a určení výsledného pořadí vhodných uchazečů předsedou      </w:t>
      </w:r>
    </w:p>
    <w:p w:rsidR="00BF4141" w:rsidRDefault="00BF4141" w:rsidP="00BF4141">
      <w:pPr>
        <w:ind w:left="1416"/>
        <w:jc w:val="both"/>
        <w:rPr>
          <w:rFonts w:ascii="Arial" w:hAnsi="Arial" w:cs="Arial"/>
        </w:rPr>
      </w:pPr>
      <w:r>
        <w:rPr>
          <w:rFonts w:ascii="Arial" w:hAnsi="Arial" w:cs="Arial"/>
        </w:rPr>
        <w:t xml:space="preserve">   komise </w:t>
      </w:r>
    </w:p>
    <w:p w:rsidR="00BF4141" w:rsidRPr="00BD3798" w:rsidRDefault="00BF4141" w:rsidP="00BF4141">
      <w:pPr>
        <w:jc w:val="both"/>
        <w:rPr>
          <w:rFonts w:ascii="Arial" w:hAnsi="Arial" w:cs="Arial"/>
        </w:rPr>
      </w:pPr>
      <w:r w:rsidRPr="00BD3798">
        <w:rPr>
          <w:rFonts w:ascii="Arial" w:hAnsi="Arial" w:cs="Arial"/>
        </w:rPr>
        <w:t xml:space="preserve">      </w:t>
      </w:r>
      <w:r>
        <w:rPr>
          <w:rFonts w:ascii="Arial" w:hAnsi="Arial" w:cs="Arial"/>
        </w:rPr>
        <w:t xml:space="preserve">                </w:t>
      </w:r>
      <w:r w:rsidRPr="00BD3798">
        <w:rPr>
          <w:rFonts w:ascii="Arial" w:hAnsi="Arial" w:cs="Arial"/>
        </w:rPr>
        <w:t xml:space="preserve">(zápis o průběhu konkurzu na obsazení </w:t>
      </w:r>
      <w:r>
        <w:rPr>
          <w:rFonts w:ascii="Arial" w:hAnsi="Arial" w:cs="Arial"/>
        </w:rPr>
        <w:t>pracovního místa ředitele</w:t>
      </w:r>
      <w:r w:rsidRPr="00BD3798">
        <w:rPr>
          <w:rFonts w:ascii="Arial" w:hAnsi="Arial" w:cs="Arial"/>
        </w:rPr>
        <w:t xml:space="preserve">)    </w:t>
      </w:r>
    </w:p>
    <w:p w:rsidR="00BF4141" w:rsidRDefault="00BF4141" w:rsidP="009038BF">
      <w:pPr>
        <w:numPr>
          <w:ilvl w:val="0"/>
          <w:numId w:val="5"/>
        </w:numPr>
        <w:spacing w:after="240"/>
        <w:ind w:left="1066" w:hanging="357"/>
        <w:jc w:val="both"/>
        <w:rPr>
          <w:rFonts w:ascii="Arial" w:hAnsi="Arial" w:cs="Arial"/>
        </w:rPr>
      </w:pPr>
      <w:r>
        <w:rPr>
          <w:rFonts w:ascii="Arial" w:hAnsi="Arial" w:cs="Arial"/>
        </w:rPr>
        <w:t>vyhlášení výsledného pořadí přítomným uchazečům předsedou komise za přítomnosti členů komise (bez zbytečného odkladu)</w:t>
      </w:r>
    </w:p>
    <w:p w:rsidR="00BF4141" w:rsidRDefault="00BF4141" w:rsidP="00BF4141">
      <w:pPr>
        <w:numPr>
          <w:ilvl w:val="0"/>
          <w:numId w:val="1"/>
        </w:numPr>
        <w:jc w:val="both"/>
        <w:rPr>
          <w:rFonts w:ascii="Arial" w:hAnsi="Arial" w:cs="Arial"/>
        </w:rPr>
      </w:pPr>
      <w:r>
        <w:rPr>
          <w:rFonts w:ascii="Arial" w:hAnsi="Arial" w:cs="Arial"/>
        </w:rPr>
        <w:lastRenderedPageBreak/>
        <w:t xml:space="preserve">Písemné vyrozumění uchazečů konkurzu o výsledném pořadí, a to </w:t>
      </w:r>
      <w:r w:rsidRPr="00936CEB">
        <w:rPr>
          <w:rFonts w:ascii="Arial" w:hAnsi="Arial" w:cs="Arial"/>
          <w:u w:val="single"/>
        </w:rPr>
        <w:t>do 7 dnů</w:t>
      </w:r>
      <w:r>
        <w:rPr>
          <w:rFonts w:ascii="Arial" w:hAnsi="Arial" w:cs="Arial"/>
        </w:rPr>
        <w:t xml:space="preserve"> od vyhlášení výsledného pořadí uchazečů. Výsledné pořadí uchazečů má pro zřizovatele doporučující charakter.</w:t>
      </w:r>
    </w:p>
    <w:p w:rsidR="00BF4141" w:rsidRDefault="00BF4141" w:rsidP="00BF4141">
      <w:pPr>
        <w:numPr>
          <w:ilvl w:val="0"/>
          <w:numId w:val="1"/>
        </w:numPr>
        <w:jc w:val="both"/>
        <w:rPr>
          <w:rFonts w:ascii="Arial" w:hAnsi="Arial" w:cs="Arial"/>
        </w:rPr>
      </w:pPr>
      <w:r>
        <w:rPr>
          <w:rFonts w:ascii="Arial" w:hAnsi="Arial" w:cs="Arial"/>
        </w:rPr>
        <w:t xml:space="preserve">Předání zápisu zřizovateli předsedou komise bez zbytečného odkladu (zápis </w:t>
      </w:r>
      <w:proofErr w:type="gramStart"/>
      <w:r>
        <w:rPr>
          <w:rFonts w:ascii="Arial" w:hAnsi="Arial" w:cs="Arial"/>
        </w:rPr>
        <w:t>podepíší</w:t>
      </w:r>
      <w:proofErr w:type="gramEnd"/>
      <w:r>
        <w:rPr>
          <w:rFonts w:ascii="Arial" w:hAnsi="Arial" w:cs="Arial"/>
        </w:rPr>
        <w:t xml:space="preserve"> všichni členové komise přítomní u konkurzu; v případě odmítnutí podpisu zápisu členem komise se do zápisu </w:t>
      </w:r>
      <w:proofErr w:type="gramStart"/>
      <w:r>
        <w:rPr>
          <w:rFonts w:ascii="Arial" w:hAnsi="Arial" w:cs="Arial"/>
        </w:rPr>
        <w:t>uvede</w:t>
      </w:r>
      <w:proofErr w:type="gramEnd"/>
      <w:r>
        <w:rPr>
          <w:rFonts w:ascii="Arial" w:hAnsi="Arial" w:cs="Arial"/>
        </w:rPr>
        <w:t xml:space="preserve"> důvod odmítnutí).</w:t>
      </w:r>
    </w:p>
    <w:p w:rsidR="00E126FB" w:rsidRDefault="00E126FB"/>
    <w:sectPr w:rsidR="00E126FB" w:rsidSect="006E3BE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62" w:rsidRDefault="00930162" w:rsidP="00A4376B">
      <w:r>
        <w:separator/>
      </w:r>
    </w:p>
  </w:endnote>
  <w:endnote w:type="continuationSeparator" w:id="0">
    <w:p w:rsidR="00930162" w:rsidRDefault="00930162" w:rsidP="00A4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6B" w:rsidRDefault="00A4376B" w:rsidP="00A4376B">
    <w:pPr>
      <w:pStyle w:val="Zpat"/>
      <w:spacing w:line="204" w:lineRule="auto"/>
      <w:rPr>
        <w:rFonts w:ascii="Arial" w:hAnsi="Arial" w:cs="Arial"/>
        <w:sz w:val="20"/>
        <w:szCs w:val="20"/>
      </w:rPr>
    </w:pPr>
  </w:p>
  <w:p w:rsidR="00A4376B" w:rsidRPr="006753F8" w:rsidRDefault="00A4376B" w:rsidP="00A4376B">
    <w:pPr>
      <w:pStyle w:val="Zpat"/>
      <w:spacing w:line="204" w:lineRule="auto"/>
      <w:rPr>
        <w:rFonts w:ascii="Calibri" w:hAnsi="Calibri" w:cs="Calibri"/>
        <w:sz w:val="20"/>
        <w:szCs w:val="20"/>
      </w:rPr>
    </w:pPr>
    <w:r w:rsidRPr="006753F8">
      <w:rPr>
        <w:rFonts w:ascii="Calibri" w:hAnsi="Calibri" w:cs="Calibri"/>
        <w:sz w:val="20"/>
        <w:szCs w:val="20"/>
      </w:rPr>
      <w:t xml:space="preserve">Autor: </w:t>
    </w:r>
    <w:r w:rsidR="0025550F">
      <w:rPr>
        <w:rFonts w:ascii="Calibri" w:hAnsi="Calibri" w:cs="Calibri"/>
        <w:sz w:val="20"/>
        <w:szCs w:val="20"/>
      </w:rPr>
      <w:t>Mgr</w:t>
    </w:r>
    <w:r w:rsidRPr="006753F8">
      <w:rPr>
        <w:rFonts w:ascii="Calibri" w:hAnsi="Calibri" w:cs="Calibri"/>
        <w:sz w:val="20"/>
        <w:szCs w:val="20"/>
      </w:rPr>
      <w:t>. Šárka Vincourová</w:t>
    </w:r>
  </w:p>
  <w:p w:rsidR="00A4376B" w:rsidRPr="006753F8" w:rsidRDefault="0025550F" w:rsidP="00A4376B">
    <w:pPr>
      <w:pStyle w:val="Zpat"/>
      <w:spacing w:line="204" w:lineRule="auto"/>
      <w:rPr>
        <w:rFonts w:ascii="Calibri" w:hAnsi="Calibri" w:cs="Calibri"/>
        <w:sz w:val="20"/>
        <w:szCs w:val="20"/>
      </w:rPr>
    </w:pPr>
    <w:r>
      <w:rPr>
        <w:rFonts w:ascii="Calibri" w:hAnsi="Calibri" w:cs="Calibri"/>
        <w:sz w:val="20"/>
        <w:szCs w:val="20"/>
      </w:rPr>
      <w:t>Datum: 1</w:t>
    </w:r>
    <w:r w:rsidR="00225181">
      <w:rPr>
        <w:rFonts w:ascii="Calibri" w:hAnsi="Calibri" w:cs="Calibri"/>
        <w:sz w:val="20"/>
        <w:szCs w:val="20"/>
      </w:rPr>
      <w:t>8</w:t>
    </w:r>
    <w:r>
      <w:rPr>
        <w:rFonts w:ascii="Calibri" w:hAnsi="Calibri" w:cs="Calibri"/>
        <w:sz w:val="20"/>
        <w:szCs w:val="20"/>
      </w:rPr>
      <w:t xml:space="preserve">. </w:t>
    </w:r>
    <w:r w:rsidR="00225181">
      <w:rPr>
        <w:rFonts w:ascii="Calibri" w:hAnsi="Calibri" w:cs="Calibri"/>
        <w:sz w:val="20"/>
        <w:szCs w:val="20"/>
      </w:rPr>
      <w:t>10</w:t>
    </w:r>
    <w:r>
      <w:rPr>
        <w:rFonts w:ascii="Calibri" w:hAnsi="Calibri" w:cs="Calibri"/>
        <w:sz w:val="20"/>
        <w:szCs w:val="20"/>
      </w:rPr>
      <w:t>. 201</w:t>
    </w:r>
    <w:r w:rsidR="00225181">
      <w:rPr>
        <w:rFonts w:ascii="Calibri" w:hAnsi="Calibri" w:cs="Calibri"/>
        <w:sz w:val="20"/>
        <w:szCs w:val="20"/>
      </w:rPr>
      <w:t>6</w:t>
    </w:r>
  </w:p>
  <w:p w:rsidR="00A4376B" w:rsidRPr="006753F8" w:rsidRDefault="0025550F" w:rsidP="00A4376B">
    <w:pPr>
      <w:pStyle w:val="Zpat"/>
      <w:spacing w:line="204" w:lineRule="auto"/>
      <w:rPr>
        <w:rFonts w:ascii="Calibri" w:hAnsi="Calibri" w:cs="Calibri"/>
        <w:sz w:val="20"/>
        <w:szCs w:val="20"/>
      </w:rPr>
    </w:pPr>
    <w:r>
      <w:rPr>
        <w:rFonts w:ascii="Calibri" w:hAnsi="Calibri" w:cs="Calibri"/>
        <w:sz w:val="20"/>
        <w:szCs w:val="20"/>
      </w:rPr>
      <w:t>Kontaktní osoba: Mgr</w:t>
    </w:r>
    <w:r w:rsidR="00A4376B" w:rsidRPr="006753F8">
      <w:rPr>
        <w:rFonts w:ascii="Calibri" w:hAnsi="Calibri" w:cs="Calibri"/>
        <w:sz w:val="20"/>
        <w:szCs w:val="20"/>
      </w:rPr>
      <w:t xml:space="preserve">. </w:t>
    </w:r>
    <w:r>
      <w:rPr>
        <w:rFonts w:ascii="Calibri" w:hAnsi="Calibri" w:cs="Calibri"/>
        <w:sz w:val="20"/>
        <w:szCs w:val="20"/>
      </w:rPr>
      <w:t>Silvie Čanková</w:t>
    </w:r>
    <w:r w:rsidR="00A4376B" w:rsidRPr="006753F8">
      <w:rPr>
        <w:rFonts w:ascii="Calibri" w:hAnsi="Calibri" w:cs="Calibri"/>
        <w:sz w:val="20"/>
        <w:szCs w:val="20"/>
      </w:rPr>
      <w:t xml:space="preserve">, tel. </w:t>
    </w:r>
    <w:proofErr w:type="gramStart"/>
    <w:r w:rsidR="00A4376B" w:rsidRPr="006753F8">
      <w:rPr>
        <w:rFonts w:ascii="Calibri" w:hAnsi="Calibri" w:cs="Calibri"/>
        <w:sz w:val="20"/>
        <w:szCs w:val="20"/>
      </w:rPr>
      <w:t>585 508 55</w:t>
    </w:r>
    <w:r>
      <w:rPr>
        <w:rFonts w:ascii="Calibri" w:hAnsi="Calibri" w:cs="Calibri"/>
        <w:sz w:val="20"/>
        <w:szCs w:val="20"/>
      </w:rPr>
      <w:t>5</w:t>
    </w:r>
    <w:r w:rsidR="00A4376B" w:rsidRPr="006753F8">
      <w:rPr>
        <w:rFonts w:ascii="Calibri" w:hAnsi="Calibri" w:cs="Calibri"/>
        <w:sz w:val="20"/>
        <w:szCs w:val="20"/>
      </w:rPr>
      <w:t xml:space="preserve">, </w:t>
    </w:r>
    <w:hyperlink r:id="rId1" w:history="1">
      <w:r w:rsidRPr="008D27C8">
        <w:rPr>
          <w:rStyle w:val="Hypertextovodkaz"/>
          <w:rFonts w:ascii="Calibri" w:hAnsi="Calibri" w:cs="Calibri"/>
          <w:sz w:val="20"/>
          <w:szCs w:val="20"/>
        </w:rPr>
        <w:t>s.cankova@kr-olomoucky</w:t>
      </w:r>
      <w:proofErr w:type="gramEnd"/>
      <w:r w:rsidRPr="008D27C8">
        <w:rPr>
          <w:rStyle w:val="Hypertextovodkaz"/>
          <w:rFonts w:ascii="Calibri" w:hAnsi="Calibri" w:cs="Calibri"/>
          <w:sz w:val="20"/>
          <w:szCs w:val="20"/>
        </w:rPr>
        <w:t>.cz</w:t>
      </w:r>
    </w:hyperlink>
  </w:p>
  <w:p w:rsidR="00A4376B" w:rsidRDefault="00A437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62" w:rsidRDefault="00930162" w:rsidP="00A4376B">
      <w:r>
        <w:separator/>
      </w:r>
    </w:p>
  </w:footnote>
  <w:footnote w:type="continuationSeparator" w:id="0">
    <w:p w:rsidR="00930162" w:rsidRDefault="00930162" w:rsidP="00A4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373C"/>
    <w:multiLevelType w:val="hybridMultilevel"/>
    <w:tmpl w:val="6B7AB4FA"/>
    <w:lvl w:ilvl="0" w:tplc="0405000B">
      <w:start w:val="1"/>
      <w:numFmt w:val="bullet"/>
      <w:lvlText w:val=""/>
      <w:lvlJc w:val="left"/>
      <w:pPr>
        <w:tabs>
          <w:tab w:val="num" w:pos="720"/>
        </w:tabs>
        <w:ind w:left="720" w:hanging="360"/>
      </w:pPr>
      <w:rPr>
        <w:rFonts w:ascii="Wingdings" w:hAnsi="Wingdings" w:hint="default"/>
      </w:rPr>
    </w:lvl>
    <w:lvl w:ilvl="1" w:tplc="ECC4B27C">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F6343"/>
    <w:multiLevelType w:val="hybridMultilevel"/>
    <w:tmpl w:val="B2284E36"/>
    <w:lvl w:ilvl="0" w:tplc="04050001">
      <w:start w:val="1"/>
      <w:numFmt w:val="bullet"/>
      <w:lvlText w:val=""/>
      <w:lvlJc w:val="left"/>
      <w:pPr>
        <w:tabs>
          <w:tab w:val="num" w:pos="1068"/>
        </w:tabs>
        <w:ind w:left="1068" w:hanging="360"/>
      </w:pPr>
      <w:rPr>
        <w:rFonts w:ascii="Symbol" w:hAnsi="Symbol" w:hint="default"/>
      </w:rPr>
    </w:lvl>
    <w:lvl w:ilvl="1" w:tplc="ECC4B27C">
      <w:start w:val="5"/>
      <w:numFmt w:val="bullet"/>
      <w:lvlText w:val="-"/>
      <w:lvlJc w:val="left"/>
      <w:pPr>
        <w:tabs>
          <w:tab w:val="num" w:pos="1788"/>
        </w:tabs>
        <w:ind w:left="1788" w:hanging="360"/>
      </w:pPr>
      <w:rPr>
        <w:rFonts w:ascii="Arial" w:eastAsia="Times New Roman" w:hAnsi="Arial"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D2D484F"/>
    <w:multiLevelType w:val="hybridMultilevel"/>
    <w:tmpl w:val="74F686A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C22CFA"/>
    <w:multiLevelType w:val="hybridMultilevel"/>
    <w:tmpl w:val="53B6F122"/>
    <w:lvl w:ilvl="0" w:tplc="D58A8DA4">
      <w:start w:val="1"/>
      <w:numFmt w:val="lowerLetter"/>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4" w15:restartNumberingAfterBreak="0">
    <w:nsid w:val="671D7DD0"/>
    <w:multiLevelType w:val="hybridMultilevel"/>
    <w:tmpl w:val="F67A311A"/>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EE"/>
    <w:rsid w:val="001710ED"/>
    <w:rsid w:val="00197AC3"/>
    <w:rsid w:val="001E753B"/>
    <w:rsid w:val="00225181"/>
    <w:rsid w:val="0025550F"/>
    <w:rsid w:val="002D45C6"/>
    <w:rsid w:val="0030512C"/>
    <w:rsid w:val="00423F11"/>
    <w:rsid w:val="0055716E"/>
    <w:rsid w:val="006753F8"/>
    <w:rsid w:val="006E3BEE"/>
    <w:rsid w:val="007F4F0E"/>
    <w:rsid w:val="0086209A"/>
    <w:rsid w:val="009038BF"/>
    <w:rsid w:val="00930162"/>
    <w:rsid w:val="00A4376B"/>
    <w:rsid w:val="00A77A30"/>
    <w:rsid w:val="00AE4DDB"/>
    <w:rsid w:val="00B50CAE"/>
    <w:rsid w:val="00B92EF6"/>
    <w:rsid w:val="00BF4141"/>
    <w:rsid w:val="00E011C1"/>
    <w:rsid w:val="00E126FB"/>
    <w:rsid w:val="00E803B1"/>
    <w:rsid w:val="00EA3510"/>
    <w:rsid w:val="00EF00F1"/>
    <w:rsid w:val="00F50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546629-2D92-4770-BADE-B241F99B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414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E803B1"/>
    <w:rPr>
      <w:rFonts w:ascii="Arial" w:hAnsi="Arial"/>
      <w:sz w:val="32"/>
    </w:rPr>
  </w:style>
  <w:style w:type="paragraph" w:styleId="Obsah2">
    <w:name w:val="toc 2"/>
    <w:basedOn w:val="Normln"/>
    <w:next w:val="Normln"/>
    <w:autoRedefine/>
    <w:semiHidden/>
    <w:rsid w:val="00E803B1"/>
    <w:pPr>
      <w:ind w:left="240"/>
    </w:pPr>
    <w:rPr>
      <w:rFonts w:ascii="Arial" w:hAnsi="Arial"/>
      <w:sz w:val="28"/>
    </w:rPr>
  </w:style>
  <w:style w:type="paragraph" w:styleId="Zhlav">
    <w:name w:val="header"/>
    <w:basedOn w:val="Normln"/>
    <w:link w:val="ZhlavChar"/>
    <w:rsid w:val="00A4376B"/>
    <w:pPr>
      <w:tabs>
        <w:tab w:val="center" w:pos="4536"/>
        <w:tab w:val="right" w:pos="9072"/>
      </w:tabs>
    </w:pPr>
  </w:style>
  <w:style w:type="character" w:customStyle="1" w:styleId="ZhlavChar">
    <w:name w:val="Záhlaví Char"/>
    <w:link w:val="Zhlav"/>
    <w:rsid w:val="00A4376B"/>
    <w:rPr>
      <w:sz w:val="24"/>
      <w:szCs w:val="24"/>
    </w:rPr>
  </w:style>
  <w:style w:type="paragraph" w:styleId="Zpat">
    <w:name w:val="footer"/>
    <w:basedOn w:val="Normln"/>
    <w:link w:val="ZpatChar"/>
    <w:rsid w:val="00A4376B"/>
    <w:pPr>
      <w:tabs>
        <w:tab w:val="center" w:pos="4536"/>
        <w:tab w:val="right" w:pos="9072"/>
      </w:tabs>
    </w:pPr>
  </w:style>
  <w:style w:type="character" w:customStyle="1" w:styleId="ZpatChar">
    <w:name w:val="Zápatí Char"/>
    <w:link w:val="Zpat"/>
    <w:rsid w:val="00A4376B"/>
    <w:rPr>
      <w:sz w:val="24"/>
      <w:szCs w:val="24"/>
    </w:rPr>
  </w:style>
  <w:style w:type="character" w:styleId="Hypertextovodkaz">
    <w:name w:val="Hyperlink"/>
    <w:rsid w:val="00A4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ankova@kr-olomou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912E-620D-4470-BBCB-09087F1F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2536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2960</CharactersWithSpaces>
  <SharedDoc>false</SharedDoc>
  <HLinks>
    <vt:vector size="6" baseType="variant">
      <vt:variant>
        <vt:i4>2031676</vt:i4>
      </vt:variant>
      <vt:variant>
        <vt:i4>0</vt:i4>
      </vt:variant>
      <vt:variant>
        <vt:i4>0</vt:i4>
      </vt:variant>
      <vt:variant>
        <vt:i4>5</vt:i4>
      </vt:variant>
      <vt:variant>
        <vt:lpwstr>mailto:s.cankova@kr-olomoucky.cz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vincourova</dc:creator>
  <cp:lastModifiedBy>Kaňák Petr</cp:lastModifiedBy>
  <cp:revision>2</cp:revision>
  <dcterms:created xsi:type="dcterms:W3CDTF">2016-10-25T06:19:00Z</dcterms:created>
  <dcterms:modified xsi:type="dcterms:W3CDTF">2016-10-25T06:19:00Z</dcterms:modified>
</cp:coreProperties>
</file>