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7F6FAC7C" w14:textId="77777777" w:rsidR="007F7754" w:rsidRPr="009701E1" w:rsidRDefault="007F7754" w:rsidP="007F775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A391345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7AA53294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E9242FD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C20BB0D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43AD3">
        <w:rPr>
          <w:rFonts w:ascii="Arial" w:hAnsi="Arial" w:cs="Arial"/>
          <w:sz w:val="24"/>
          <w:szCs w:val="24"/>
          <w:lang w:eastAsia="ar-SA"/>
        </w:rPr>
        <w:t>Ladislavem Oklešťkem, hejtmanem</w:t>
      </w:r>
    </w:p>
    <w:p w14:paraId="4EB4C514" w14:textId="77777777" w:rsidR="007F7754" w:rsidRPr="00E43AD3" w:rsidRDefault="007F7754" w:rsidP="007F7754">
      <w:pPr>
        <w:suppressAutoHyphens/>
        <w:spacing w:after="60"/>
        <w:rPr>
          <w:rFonts w:ascii="Arial" w:hAnsi="Arial" w:cs="Arial"/>
          <w:sz w:val="24"/>
          <w:szCs w:val="24"/>
          <w:lang w:eastAsia="ar-SA"/>
        </w:rPr>
      </w:pPr>
      <w:r w:rsidRPr="00E43AD3"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14:paraId="07F96490" w14:textId="77777777" w:rsidR="007F7754" w:rsidRPr="00E43AD3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43AD3"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 w:rsidRPr="00E43AD3"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 w:rsidRPr="00E43AD3">
        <w:rPr>
          <w:rFonts w:ascii="Arial" w:hAnsi="Arial" w:cs="Arial"/>
          <w:sz w:val="24"/>
          <w:szCs w:val="24"/>
          <w:lang w:eastAsia="ar-SA"/>
        </w:rPr>
        <w:t>: 27-4228120277/0100</w:t>
      </w:r>
      <w:r w:rsidRPr="00E4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593A90E" w14:textId="77777777" w:rsidR="007F7754" w:rsidRPr="009701E1" w:rsidRDefault="007F7754" w:rsidP="007F775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CC92F2B" w14:textId="77777777" w:rsidR="007F7754" w:rsidRPr="009701E1" w:rsidRDefault="007F7754" w:rsidP="007F775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D233720" w14:textId="77777777" w:rsidR="007F7754" w:rsidRPr="00927F1D" w:rsidRDefault="007F7754" w:rsidP="007F7754">
      <w:pPr>
        <w:spacing w:after="6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Opatovice</w:t>
      </w:r>
    </w:p>
    <w:p w14:paraId="6B068A6F" w14:textId="77777777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  <w:t>Hlavní 170, 753 56 Opatovice</w:t>
      </w:r>
    </w:p>
    <w:p w14:paraId="74F9ACEC" w14:textId="77777777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  <w:t>00301655</w:t>
      </w:r>
    </w:p>
    <w:p w14:paraId="296BC974" w14:textId="77777777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27F1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  <w:t>CZ00301655</w:t>
      </w:r>
    </w:p>
    <w:p w14:paraId="271C3A63" w14:textId="77777777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  <w:t>Ing. Dagmar Navrátilovou, starostkou</w:t>
      </w:r>
    </w:p>
    <w:p w14:paraId="00F8BA3E" w14:textId="77777777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927F1D">
        <w:rPr>
          <w:rFonts w:ascii="Arial" w:hAnsi="Arial" w:cs="Arial"/>
          <w:sz w:val="24"/>
          <w:szCs w:val="24"/>
          <w:lang w:eastAsia="ar-SA"/>
        </w:rPr>
        <w:t>Komerční banka, a. s.</w:t>
      </w:r>
    </w:p>
    <w:p w14:paraId="610D7A91" w14:textId="77777777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927F1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927F1D">
        <w:rPr>
          <w:rFonts w:ascii="Arial" w:eastAsia="Times New Roman" w:hAnsi="Arial" w:cs="Arial"/>
          <w:sz w:val="24"/>
          <w:szCs w:val="24"/>
          <w:lang w:eastAsia="cs-CZ"/>
        </w:rPr>
        <w:t>: 3625831/0100</w:t>
      </w:r>
    </w:p>
    <w:p w14:paraId="5D2406A9" w14:textId="77777777" w:rsidR="007F7754" w:rsidRPr="00E43AD3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43AD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43AD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43AD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DFA968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1.000.000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jedenmilion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27F1D">
        <w:rPr>
          <w:rFonts w:ascii="Arial" w:eastAsia="Times New Roman" w:hAnsi="Arial" w:cs="Arial"/>
          <w:sz w:val="24"/>
          <w:szCs w:val="24"/>
          <w:lang w:eastAsia="cs-CZ"/>
        </w:rPr>
        <w:t>runčeských</w:t>
      </w:r>
      <w:proofErr w:type="spellEnd"/>
      <w:r w:rsidR="006C5BC4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0979C5" w:rsidRPr="00927F1D">
        <w:rPr>
          <w:rFonts w:ascii="Arial" w:hAnsi="Arial" w:cs="Arial"/>
          <w:sz w:val="24"/>
          <w:szCs w:val="24"/>
        </w:rPr>
        <w:t xml:space="preserve"> </w:t>
      </w:r>
      <w:r w:rsidR="000979C5" w:rsidRPr="00927F1D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201</w:t>
      </w:r>
      <w:r w:rsidR="008D69BA" w:rsidRPr="00927F1D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krizového řízení</w:t>
      </w:r>
      <w:r w:rsidR="000979C5" w:rsidRPr="00927F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77E0815" w:rsidR="009A3DA5" w:rsidRPr="00927F1D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927F1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27F1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="00F73535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rekonstrukci požární zbrojnice  v obci Opatovice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57B9136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22ADD7D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F7754" w:rsidRPr="00927F1D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UZ/XX/XX2019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</w:t>
      </w:r>
      <w:r w:rsidR="008D69B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59F7DA33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F775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7F77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výdaje spojené s rekonstrukcí požární zbrojnice  v obci Opatovice. </w:t>
      </w:r>
      <w:r w:rsidR="00B542C6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252D01A" w14:textId="77777777" w:rsidR="007F7754" w:rsidRPr="00927F1D" w:rsidRDefault="007F7754" w:rsidP="007F775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oprávněn dotaci použít na stanovený účel pouze v případě, 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br/>
        <w:t>že rekonstrukce požární zbrojnice  v obci Opatovice je současně realizována z dotačního programu Ministerstva vnitra České republiky „Dotace pro jednotky SDH obcí“ v roce 2018.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27F1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27F1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 případě, že dojde k registraci příjemce k DPH a příjemce při registraci podle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911170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5FAD0B6F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32370775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31. 12. 2019</w:t>
      </w:r>
      <w:r w:rsidR="007F775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574CBFA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F7754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42584415" w14:textId="77777777" w:rsidR="00AD2545" w:rsidRPr="00AD2545" w:rsidRDefault="00723ADD" w:rsidP="00723ADD">
      <w:pPr>
        <w:spacing w:after="6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Celkové předpokládané uznatelné výdaje na účel uvedený v čl. I odst. 2 a 4 této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smlouvy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činí </w:t>
      </w:r>
      <w:r w:rsidR="00C43C20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6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C43C20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187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.</w:t>
      </w:r>
      <w:r w:rsidR="00C43C20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090,00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Kč (slovy: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proofErr w:type="spellStart"/>
      <w:r w:rsidR="00927F1D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šestmilionůjednostoosmdesátsedmtisícdevadesát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korunčeských</w:t>
      </w:r>
      <w:proofErr w:type="spellEnd"/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).</w:t>
      </w:r>
    </w:p>
    <w:p w14:paraId="68E377FD" w14:textId="2258598D" w:rsidR="00723ADD" w:rsidRPr="00AD2545" w:rsidRDefault="00723ADD" w:rsidP="00723ADD">
      <w:pPr>
        <w:spacing w:after="6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Příjemce je povinen na tento účel vynaložit nejméně </w:t>
      </w:r>
      <w:r w:rsid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84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v rámci vyúčtování dotace vrátit poskytovateli část dotace tak, aby výše dotace odpovídala nejvýše </w:t>
      </w:r>
      <w:r w:rsid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16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%</w:t>
      </w:r>
      <w:r w:rsid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celkových skutečně vynaložených uznatelných výdajů na účel dle čl. I odst. 2 a 4 této smlouvy.</w:t>
      </w:r>
    </w:p>
    <w:p w14:paraId="5BB56109" w14:textId="77777777" w:rsidR="007F7754" w:rsidRPr="00927F1D" w:rsidRDefault="007F7754" w:rsidP="007F7754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Uznatelné výdaje z vlastních zdrojů dle tohoto ustanovení je příjemce povinen vynaložit nejpozději ve stejném termínu (lhůtě), jaký je v tomto čl. II odst. 2 stanoven pro použití dotace. </w:t>
      </w:r>
    </w:p>
    <w:p w14:paraId="58587FC4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Vlastními zdroji se pro účely této smlouvy rozumí příjmy příjemce získané vlastní činností, přijaté na základě vlastních aktivit příjemce apod.</w:t>
      </w:r>
    </w:p>
    <w:p w14:paraId="562A78D0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Vlastními zdroji nejsou prostředky z příspěvků a dotací přijatých žadatelem od státu, jiných územních samosprávných celků, příspěvky a finanční dary na konkrétní účel, na nějž se poskytuje dotace dle této smlouvy. </w:t>
      </w:r>
    </w:p>
    <w:p w14:paraId="3669B202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 se pro účely této smlouvy rozumí výdaje, které příjemce vynaložil v souladu s konkrétním účelem poskytnutí dotace dle čl. I odst. 2 a 4 a čl. II odst. 1 této smlouvy v termínu (lhůtě) stanové v tomto čl. II odst. 2. Podmínky uznatelnosti musí splňovat i výdaje týkající se spoluúčasti příjemce dle tohoto čl. II odst. 2.</w:t>
      </w:r>
    </w:p>
    <w:p w14:paraId="0FDEC687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 se pro účely této smlouvy rozumí celkové uznatelné výdaje, které žadatel skutečně vynaložil na realizaci své akce.</w:t>
      </w:r>
    </w:p>
    <w:p w14:paraId="359643BA" w14:textId="77777777" w:rsidR="00723ADD" w:rsidRPr="00927F1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své akce a uvedl je v žádosti o poskytnutí dotace.</w:t>
      </w:r>
    </w:p>
    <w:p w14:paraId="60B0FBA7" w14:textId="77777777" w:rsidR="00723ADD" w:rsidRPr="00927F1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akce.</w:t>
      </w:r>
    </w:p>
    <w:p w14:paraId="00B321A5" w14:textId="77777777" w:rsidR="00723ADD" w:rsidRPr="00927F1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731E6099" w14:textId="15105B4F" w:rsidR="00723ADD" w:rsidRPr="007F7754" w:rsidRDefault="00723ADD" w:rsidP="00723AD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927F1D">
        <w:rPr>
          <w:rFonts w:ascii="Arial" w:hAnsi="Arial" w:cs="Arial"/>
          <w:sz w:val="24"/>
          <w:szCs w:val="24"/>
        </w:rPr>
        <w:t xml:space="preserve">příjmy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FCFF1E9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C8B21FA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9730D" w:rsidRPr="00927F1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F7754" w:rsidRPr="003B329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https://www.olkraj.cz/vyuctovani-prispevku-dotace-cl-3802.html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 soupisu jsou pravdivé a úplné. Za příjem se pro účely této smlouvy považují veškeré finanční prostředky, které příjemce obdržel v souvislosti s realizací akce, zejména dotace od státu a jiných územních samosprávných celků, příspěvky, finanční dary apod.</w:t>
      </w:r>
    </w:p>
    <w:p w14:paraId="2FDE39D2" w14:textId="20A3229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27F1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27F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55CF8133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27F1D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D72486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C478178" w14:textId="77777777" w:rsidR="009C4DD6" w:rsidRPr="00927F1D" w:rsidRDefault="009C4DD6" w:rsidP="009C4DD6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listinné formě musí obsahovat 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popis využití dotace, popis užití loga Olomouckého kraje s odkazem na jeho umístění na webových stránkách příjemce a kopii rozhodnutí Ministerstva vnitra České republiky o poskytnutí dotace z dotačního programu Ministerstva vnitra České republiky „Dotace pro jednotky SDH obcí“ v roce 2018.</w:t>
      </w:r>
    </w:p>
    <w:p w14:paraId="5E3EDA4B" w14:textId="77777777" w:rsidR="009C4DD6" w:rsidRPr="00927F1D" w:rsidRDefault="009C4DD6" w:rsidP="009C4DD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fotodokumentaci propagace Olomouckého kraje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</w:t>
      </w:r>
      <w:r w:rsidRPr="00927F1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140D5D2" w14:textId="13ECA350" w:rsidR="009C4DD6" w:rsidRPr="00927F1D" w:rsidRDefault="00723ADD" w:rsidP="009C4DD6">
      <w:pPr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4DD6" w:rsidRPr="00927F1D">
        <w:rPr>
          <w:rFonts w:ascii="Arial" w:eastAsia="Times New Roman" w:hAnsi="Arial" w:cs="Arial"/>
          <w:sz w:val="24"/>
          <w:szCs w:val="24"/>
          <w:lang w:eastAsia="cs-CZ"/>
        </w:rPr>
        <w:t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</w:t>
      </w:r>
    </w:p>
    <w:p w14:paraId="5F57C2DD" w14:textId="0F5D40DD" w:rsidR="009C4DD6" w:rsidRPr="00927F1D" w:rsidRDefault="009C4DD6" w:rsidP="009C4DD6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V případě nesplnění podmínky uvedené v čl. II odst. 1 této smlouvy, tj., že rekonstrukce požární zbrojnice bude současně realizována z dotačního programu Ministerstva vnitra České republiky „Dotace pro jednotky SDH obcí“ v roce 2018, vrátí příjemce na účet poskytovatele celou dotaci, a to nejpozději do 15 dnů ode dne předložení vyúčtování poskytovateli.</w:t>
      </w:r>
    </w:p>
    <w:p w14:paraId="09E8B7B8" w14:textId="77777777" w:rsidR="009C4DD6" w:rsidRPr="00927F1D" w:rsidRDefault="009C4DD6" w:rsidP="009C4DD6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V případě dodatečné povinnosti příjemce vrátit celou dotaci z dotačního programu Ministerstva vnitra České republiky „Dotace pro jednotky SDH obcí“ v roce 2018, je příjemce povinen vrátit celou dotaci dle této smlouvy na účet poskytovatele nejpozději do 15 dnů ode dne doručení výzvy poskytovatele k jejímu vrácení.</w:t>
      </w:r>
    </w:p>
    <w:p w14:paraId="758E3118" w14:textId="27F97CFE" w:rsidR="00A9730D" w:rsidRPr="009C4DD6" w:rsidRDefault="00723ADD" w:rsidP="009C4DD6">
      <w:pPr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C43C2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927F1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27F1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9C4DD6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93CE541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případě, že je příjemce dle této smlouvy povinen vrátit dotaci nebo její část, vrátí příjemce dotaci nebo její část na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9C4DD6" w:rsidRPr="00927F1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927F1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C4DD6" w:rsidRPr="00927F1D">
        <w:rPr>
          <w:rFonts w:ascii="Arial" w:hAnsi="Arial" w:cs="Arial"/>
          <w:sz w:val="24"/>
          <w:szCs w:val="24"/>
        </w:rPr>
        <w:t>27/4228320287/0100</w:t>
      </w:r>
      <w:r w:rsidR="00D40813" w:rsidRPr="00927F1D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27F1D">
        <w:rPr>
          <w:rFonts w:ascii="Arial" w:hAnsi="Arial" w:cs="Arial"/>
          <w:sz w:val="24"/>
          <w:szCs w:val="24"/>
        </w:rPr>
        <w:t xml:space="preserve"> </w:t>
      </w:r>
    </w:p>
    <w:p w14:paraId="3C925913" w14:textId="1F5376B6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</w:t>
      </w:r>
      <w:r w:rsidR="00753381">
        <w:rPr>
          <w:rFonts w:ascii="Arial" w:eastAsia="Times New Roman" w:hAnsi="Arial" w:cs="Arial"/>
          <w:sz w:val="24"/>
          <w:szCs w:val="24"/>
          <w:lang w:eastAsia="cs-CZ"/>
        </w:rPr>
        <w:t xml:space="preserve">se schválením prodloužení termínu použití dotace, které obdržel od Ministerstva vnitra na základě žádosti podané příjemcem,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změnami adresy sídla, bankovního spojení, jakož i jinými změnami, které mohou podstatně ovlivnit způsob jeho finančního hospodaření a náplň jeho aktivit ve vztahu k poskytnuté dotaci. </w:t>
      </w:r>
    </w:p>
    <w:p w14:paraId="55BDF311" w14:textId="649EC9E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ou-li zřízeny) po dobu </w:t>
      </w:r>
      <w:r w:rsidR="009C4DD6" w:rsidRPr="00927F1D">
        <w:rPr>
          <w:rFonts w:ascii="Arial" w:eastAsia="Times New Roman" w:hAnsi="Arial" w:cs="Arial"/>
          <w:sz w:val="24"/>
          <w:szCs w:val="24"/>
          <w:lang w:eastAsia="cs-CZ"/>
        </w:rPr>
        <w:t>1 roku od nabytí účinnosti této smlouvy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</w:t>
      </w:r>
      <w:r w:rsidR="00753381">
        <w:rPr>
          <w:rFonts w:ascii="Arial" w:eastAsia="Times New Roman" w:hAnsi="Arial" w:cs="Arial"/>
          <w:sz w:val="24"/>
          <w:szCs w:val="24"/>
          <w:lang w:eastAsia="cs-CZ"/>
        </w:rPr>
        <w:t xml:space="preserve">označit propagační materiály příjemce, vztahující se k účelu dotace, logem poskytovatele,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2938A1" w:rsidRPr="00927F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5B3A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bude vždy uvedena informace, že </w:t>
      </w:r>
      <w:r w:rsidR="0031285D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  <w:r w:rsidR="002938A1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Tento panel s logem a informací, že poskytovatel akci finančně podpořil, bude umístěn v místě realizace akce po celou dobu její realizace.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5A2603" w14:textId="77777777" w:rsidR="00960EF3" w:rsidRPr="005F0780" w:rsidRDefault="00960EF3" w:rsidP="00960EF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5770E86D" w14:textId="16D6BA78" w:rsidR="00960EF3" w:rsidRPr="005F0780" w:rsidRDefault="00164C23" w:rsidP="00960EF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01D93F2" w14:textId="77777777" w:rsidR="00AA49B4" w:rsidRDefault="00AA49B4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page"/>
      </w:r>
    </w:p>
    <w:p w14:paraId="3C92591B" w14:textId="5C2059B0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74D92836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FDE6D99" w14:textId="77777777" w:rsidR="00927F1D" w:rsidRDefault="005B6375" w:rsidP="00927F1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2A3D3A5" w:rsidR="00B96E96" w:rsidRPr="00927F1D" w:rsidRDefault="00762871" w:rsidP="00927F1D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927F1D">
        <w:rPr>
          <w:rFonts w:ascii="Arial" w:hAnsi="Arial" w:cs="Arial"/>
          <w:sz w:val="24"/>
          <w:szCs w:val="24"/>
          <w:lang w:eastAsia="cs-CZ"/>
        </w:rPr>
        <w:t xml:space="preserve">bývá </w:t>
      </w:r>
      <w:r w:rsidR="00753381">
        <w:rPr>
          <w:rFonts w:ascii="Arial" w:hAnsi="Arial" w:cs="Arial"/>
          <w:sz w:val="24"/>
          <w:szCs w:val="24"/>
          <w:lang w:eastAsia="cs-CZ"/>
        </w:rPr>
        <w:t xml:space="preserve">platnosti a </w:t>
      </w:r>
      <w:r w:rsidR="00DF45DD" w:rsidRPr="00927F1D">
        <w:rPr>
          <w:rFonts w:ascii="Arial" w:hAnsi="Arial" w:cs="Arial"/>
          <w:sz w:val="24"/>
          <w:szCs w:val="24"/>
          <w:lang w:eastAsia="cs-CZ"/>
        </w:rPr>
        <w:t xml:space="preserve">účinnosti dnem </w:t>
      </w:r>
      <w:r w:rsidR="00753381">
        <w:rPr>
          <w:rFonts w:ascii="Arial" w:hAnsi="Arial" w:cs="Arial"/>
          <w:sz w:val="24"/>
          <w:szCs w:val="24"/>
          <w:lang w:eastAsia="cs-CZ"/>
        </w:rPr>
        <w:t>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10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1325556D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938A1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38A1" w:rsidRPr="002938A1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UZ/XX/XX/2019</w:t>
      </w:r>
      <w:r w:rsidR="002938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2938A1" w:rsidRPr="00927F1D">
        <w:rPr>
          <w:rFonts w:ascii="Arial" w:eastAsia="Times New Roman" w:hAnsi="Arial" w:cs="Arial"/>
          <w:sz w:val="24"/>
          <w:szCs w:val="24"/>
          <w:lang w:eastAsia="cs-CZ"/>
        </w:rPr>
        <w:t>29. 4. 2019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38E33" w14:textId="48EA35D7" w:rsidR="00771E3B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>Zastupitelstva obce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 ………… č. ………… ze dne …………</w:t>
      </w:r>
    </w:p>
    <w:p w14:paraId="3C925923" w14:textId="506C39F9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</w:t>
      </w:r>
      <w:r w:rsidR="002938A1" w:rsidRPr="00E43AD3">
        <w:rPr>
          <w:rFonts w:ascii="Arial" w:eastAsia="Times New Roman" w:hAnsi="Arial" w:cs="Arial"/>
          <w:sz w:val="24"/>
          <w:szCs w:val="24"/>
          <w:lang w:eastAsia="cs-CZ"/>
        </w:rPr>
        <w:t>je sepsána ve třech vyhotoveních, z nichž příjemce obdrží jedno vyhotovení a poskytovatel obdrží dvě vyhotovení.</w:t>
      </w:r>
    </w:p>
    <w:p w14:paraId="3C925924" w14:textId="3EE89C0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1093BAE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1835D63B" w:rsidR="009A3DA5" w:rsidRPr="002938A1" w:rsidRDefault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38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Okleštěk,</w:t>
            </w:r>
          </w:p>
          <w:p w14:paraId="64684E61" w14:textId="0E7502D6" w:rsidR="002938A1" w:rsidRPr="002938A1" w:rsidRDefault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38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65EE7" w14:textId="77777777" w:rsidR="002938A1" w:rsidRDefault="002938A1" w:rsidP="002938A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3A3BE34" w14:textId="5C9157E5" w:rsidR="002938A1" w:rsidRPr="002938A1" w:rsidRDefault="002938A1" w:rsidP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Dagmar Navrátilová</w:t>
            </w:r>
            <w:r w:rsidRPr="002938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3C92592E" w14:textId="2482A419" w:rsidR="009A3DA5" w:rsidRDefault="002938A1" w:rsidP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starostka</w:t>
            </w:r>
          </w:p>
        </w:tc>
      </w:tr>
    </w:tbl>
    <w:p w14:paraId="7063F5ED" w14:textId="0F9ABEDB" w:rsidR="00FE3DFD" w:rsidRDefault="00FE3DFD" w:rsidP="002938A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Sect="00A74058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FDA64" w14:textId="77777777" w:rsidR="00D71872" w:rsidRDefault="00D71872" w:rsidP="00D40C40">
      <w:r>
        <w:separator/>
      </w:r>
    </w:p>
  </w:endnote>
  <w:endnote w:type="continuationSeparator" w:id="0">
    <w:p w14:paraId="685C7C0C" w14:textId="77777777" w:rsidR="00D71872" w:rsidRDefault="00D7187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A5E64" w14:textId="1AE06C96" w:rsidR="00A74058" w:rsidRPr="00A3539E" w:rsidRDefault="007460C9" w:rsidP="00A74058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74058">
      <w:rPr>
        <w:rFonts w:ascii="Arial" w:hAnsi="Arial" w:cs="Arial"/>
        <w:i/>
        <w:iCs/>
        <w:sz w:val="20"/>
        <w:szCs w:val="20"/>
      </w:rPr>
      <w:t xml:space="preserve"> </w:t>
    </w:r>
    <w:r w:rsidR="00A7405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A74058">
      <w:rPr>
        <w:rFonts w:ascii="Arial" w:hAnsi="Arial" w:cs="Arial"/>
        <w:i/>
        <w:iCs/>
        <w:sz w:val="20"/>
        <w:szCs w:val="20"/>
      </w:rPr>
      <w:t>. 4. 2019</w:t>
    </w:r>
    <w:r w:rsidR="00A74058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A74058" w:rsidRPr="00A3539E">
      <w:rPr>
        <w:rFonts w:ascii="Arial" w:hAnsi="Arial" w:cs="Arial"/>
        <w:i/>
        <w:iCs/>
        <w:sz w:val="20"/>
        <w:szCs w:val="20"/>
      </w:rPr>
      <w:tab/>
    </w:r>
    <w:r w:rsidR="00A74058" w:rsidRPr="00A3539E">
      <w:rPr>
        <w:rFonts w:ascii="Arial" w:hAnsi="Arial" w:cs="Arial"/>
        <w:i/>
        <w:iCs/>
        <w:sz w:val="20"/>
        <w:szCs w:val="20"/>
      </w:rPr>
      <w:tab/>
    </w:r>
    <w:r w:rsidR="00A74058">
      <w:rPr>
        <w:rFonts w:ascii="Arial" w:hAnsi="Arial" w:cs="Arial"/>
        <w:i/>
        <w:iCs/>
        <w:sz w:val="20"/>
        <w:szCs w:val="20"/>
      </w:rPr>
      <w:tab/>
    </w:r>
    <w:r w:rsidR="00A74058">
      <w:rPr>
        <w:rFonts w:ascii="Arial" w:hAnsi="Arial" w:cs="Arial"/>
        <w:i/>
        <w:iCs/>
        <w:sz w:val="20"/>
        <w:szCs w:val="20"/>
      </w:rPr>
      <w:tab/>
    </w:r>
    <w:r w:rsidR="00A74058" w:rsidRPr="007460C9">
      <w:rPr>
        <w:rFonts w:ascii="Arial" w:hAnsi="Arial" w:cs="Arial"/>
        <w:i/>
        <w:iCs/>
        <w:sz w:val="20"/>
        <w:szCs w:val="20"/>
      </w:rPr>
      <w:t xml:space="preserve">Strana </w:t>
    </w:r>
    <w:r w:rsidR="00A74058" w:rsidRPr="007460C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74058" w:rsidRPr="007460C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74058" w:rsidRPr="007460C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23C64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A74058" w:rsidRPr="007460C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74058" w:rsidRPr="007460C9">
      <w:rPr>
        <w:rStyle w:val="slostrnky"/>
        <w:rFonts w:ascii="Arial" w:hAnsi="Arial" w:cs="Arial"/>
        <w:i/>
        <w:iCs/>
        <w:sz w:val="20"/>
        <w:szCs w:val="20"/>
      </w:rPr>
      <w:t xml:space="preserve"> (celkem 1</w:t>
    </w:r>
    <w:r>
      <w:rPr>
        <w:rStyle w:val="slostrnky"/>
        <w:rFonts w:ascii="Arial" w:hAnsi="Arial" w:cs="Arial"/>
        <w:i/>
        <w:iCs/>
        <w:sz w:val="20"/>
        <w:szCs w:val="20"/>
      </w:rPr>
      <w:t>1</w:t>
    </w:r>
    <w:r w:rsidR="00A74058" w:rsidRPr="007460C9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F2A3E12" w14:textId="25DE67A8" w:rsidR="009C4DD6" w:rsidRDefault="00123C64" w:rsidP="00A7405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50.2</w:t>
    </w:r>
    <w:r w:rsidR="00A74058">
      <w:rPr>
        <w:rFonts w:ascii="Arial" w:hAnsi="Arial" w:cs="Arial"/>
        <w:i/>
        <w:iCs/>
        <w:sz w:val="20"/>
        <w:szCs w:val="20"/>
      </w:rPr>
      <w:t>.</w:t>
    </w:r>
    <w:r w:rsidR="00A74058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A74058" w:rsidRPr="005C78DB">
      <w:rPr>
        <w:rFonts w:ascii="Arial" w:hAnsi="Arial" w:cs="Arial"/>
        <w:i/>
        <w:iCs/>
        <w:sz w:val="20"/>
        <w:szCs w:val="20"/>
      </w:rPr>
      <w:t>Žádosti o poskytnutí individuálních dotací v oblasti krizového řízení</w:t>
    </w:r>
    <w:r w:rsidR="00A74058">
      <w:rPr>
        <w:rFonts w:ascii="Arial" w:hAnsi="Arial" w:cs="Arial"/>
        <w:i/>
        <w:iCs/>
        <w:sz w:val="20"/>
        <w:szCs w:val="20"/>
      </w:rPr>
      <w:t xml:space="preserve"> – požární zbrojnice</w:t>
    </w:r>
  </w:p>
  <w:p w14:paraId="37BA5330" w14:textId="2566530A" w:rsidR="009C4DD6" w:rsidRPr="004F3E26" w:rsidRDefault="00A74058" w:rsidP="004F3E2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1 - </w:t>
    </w:r>
    <w:r w:rsidRPr="00A74058">
      <w:rPr>
        <w:rFonts w:ascii="Arial" w:hAnsi="Arial" w:cs="Arial"/>
        <w:i/>
        <w:iCs/>
        <w:sz w:val="20"/>
        <w:szCs w:val="20"/>
      </w:rPr>
      <w:t xml:space="preserve">Veřejnoprávní smlouva o poskytnutí dotace obci </w:t>
    </w:r>
    <w:r w:rsidR="004F3E26">
      <w:rPr>
        <w:rFonts w:ascii="Arial" w:hAnsi="Arial" w:cs="Arial"/>
        <w:i/>
        <w:iCs/>
        <w:sz w:val="20"/>
        <w:szCs w:val="20"/>
      </w:rPr>
      <w:t>Opatovice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9C4DD6" w:rsidRDefault="009C4D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9C4DD6" w:rsidRPr="00CA24A0" w:rsidRDefault="009C4DD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4CBA" w14:textId="77777777" w:rsidR="00D71872" w:rsidRDefault="00D71872" w:rsidP="00D40C40">
      <w:r>
        <w:separator/>
      </w:r>
    </w:p>
  </w:footnote>
  <w:footnote w:type="continuationSeparator" w:id="0">
    <w:p w14:paraId="6C7CC4FD" w14:textId="77777777" w:rsidR="00D71872" w:rsidRDefault="00D7187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289B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3C6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1CD8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3C64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2E2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38A1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3E26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D4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00B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460C9"/>
    <w:rsid w:val="007500B1"/>
    <w:rsid w:val="0075047A"/>
    <w:rsid w:val="00751BA1"/>
    <w:rsid w:val="0075231C"/>
    <w:rsid w:val="00753381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18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7F7754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4C5C"/>
    <w:rsid w:val="00925F1B"/>
    <w:rsid w:val="009264AC"/>
    <w:rsid w:val="00927F1D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4DD6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4058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9B4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2545"/>
    <w:rsid w:val="00AD3B56"/>
    <w:rsid w:val="00AD46AF"/>
    <w:rsid w:val="00AE18C4"/>
    <w:rsid w:val="00AE30DE"/>
    <w:rsid w:val="00AE3DBD"/>
    <w:rsid w:val="00AE7CD0"/>
    <w:rsid w:val="00AF161F"/>
    <w:rsid w:val="00AF27F6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3C2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20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1872"/>
    <w:rsid w:val="00D71BA2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21A8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774C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7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7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lkraj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lkraj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B1AB-81CA-46AE-8785-8852C0C6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3032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Calábková Lucie</cp:lastModifiedBy>
  <cp:revision>2</cp:revision>
  <cp:lastPrinted>2019-04-09T05:54:00Z</cp:lastPrinted>
  <dcterms:created xsi:type="dcterms:W3CDTF">2019-04-15T08:50:00Z</dcterms:created>
  <dcterms:modified xsi:type="dcterms:W3CDTF">2019-04-15T08:50:00Z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