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D171DB" w:rsidRDefault="00D171DB" w:rsidP="00D171DB">
      <w:pPr>
        <w:pStyle w:val="Zkladntextodsazendek"/>
        <w:spacing w:after="0"/>
        <w:ind w:left="0"/>
      </w:pPr>
    </w:p>
    <w:p w:rsidR="009F081B" w:rsidRDefault="009F081B" w:rsidP="009F081B">
      <w:pPr>
        <w:pStyle w:val="Zkladntextodsazendek"/>
        <w:ind w:left="0"/>
      </w:pPr>
      <w:r>
        <w:t xml:space="preserve">Olomoucký kraj obdržel dotace na předfinancované projekty a byly provedeny následující splátky revolvingového úvěru: </w:t>
      </w:r>
    </w:p>
    <w:p w:rsidR="009F081B" w:rsidRDefault="009F081B" w:rsidP="009F081B">
      <w:pPr>
        <w:pStyle w:val="Zkladntextodsazendek"/>
        <w:ind w:left="0"/>
      </w:pPr>
    </w:p>
    <w:p w:rsidR="009F081B" w:rsidRPr="002A138E" w:rsidRDefault="009F081B" w:rsidP="009F081B">
      <w:pPr>
        <w:pStyle w:val="Zkladntextodsazendek"/>
        <w:numPr>
          <w:ilvl w:val="0"/>
          <w:numId w:val="6"/>
        </w:numPr>
        <w:rPr>
          <w:u w:val="single"/>
        </w:rPr>
      </w:pPr>
      <w:r>
        <w:rPr>
          <w:u w:val="single"/>
        </w:rPr>
        <w:t>13</w:t>
      </w:r>
      <w:r w:rsidRPr="002A138E">
        <w:rPr>
          <w:u w:val="single"/>
        </w:rPr>
        <w:t>. splátka</w:t>
      </w:r>
    </w:p>
    <w:p w:rsidR="00D171DB" w:rsidRDefault="00D171DB" w:rsidP="00D171DB">
      <w:pPr>
        <w:pStyle w:val="Zkladntextodsazendek"/>
        <w:numPr>
          <w:ilvl w:val="0"/>
          <w:numId w:val="5"/>
        </w:numPr>
        <w:spacing w:after="0"/>
      </w:pPr>
      <w:r w:rsidRPr="007A1095">
        <w:rPr>
          <w:b/>
        </w:rPr>
        <w:t>Celková rekonstrukce zastaralých laboratoří chemických, fyzikálních a biologických, včetně nového vybavení</w:t>
      </w:r>
      <w:r>
        <w:rPr>
          <w:b/>
        </w:rPr>
        <w:t xml:space="preserve"> </w:t>
      </w:r>
      <w:r>
        <w:t>ve výši 9 109 869,51 Kč. Celá částka připadá na splátku revolvingového úvěru.</w:t>
      </w:r>
    </w:p>
    <w:p w:rsidR="00D171DB" w:rsidRDefault="00D171DB" w:rsidP="00D171DB">
      <w:pPr>
        <w:pStyle w:val="Zkladntextodsazendek"/>
        <w:numPr>
          <w:ilvl w:val="0"/>
          <w:numId w:val="5"/>
        </w:numPr>
        <w:spacing w:after="0"/>
      </w:pPr>
      <w:r w:rsidRPr="007A1095">
        <w:rPr>
          <w:b/>
        </w:rPr>
        <w:t>Modernizace školních dílen jako centrum odborné přípravy - stavební část (Sigmundova střední škola strojírenská, Lutín)</w:t>
      </w:r>
      <w:r>
        <w:rPr>
          <w:b/>
        </w:rPr>
        <w:t xml:space="preserve"> </w:t>
      </w:r>
      <w:r>
        <w:t>ve výši 23 562 987,30 Kč. Na splátku revolvingového úvěru připadá částka ve výši 23 239 650,78 Kč, zbylá část ve výši 323 336,52 Kč b</w:t>
      </w:r>
      <w:r w:rsidR="00453892">
        <w:t>yla</w:t>
      </w:r>
      <w:r>
        <w:t xml:space="preserve"> zapojena do rezervy Olomouckého kraje na investice.</w:t>
      </w:r>
    </w:p>
    <w:p w:rsidR="00D171DB" w:rsidRDefault="00D171DB" w:rsidP="00D171DB">
      <w:pPr>
        <w:pStyle w:val="Zkladntextodsazendek"/>
        <w:numPr>
          <w:ilvl w:val="0"/>
          <w:numId w:val="5"/>
        </w:numPr>
        <w:spacing w:after="0"/>
      </w:pPr>
      <w:r w:rsidRPr="004B1D54">
        <w:rPr>
          <w:b/>
        </w:rPr>
        <w:t>Pořízení vybavení pro odborné učebny - modernizace CNC zařízení a 3D zařízení včetně SW, rekonstrukce nové učebny programovatelných automatů, modernizace konektivity školy ve vazbě na odborné předměty</w:t>
      </w:r>
      <w:r>
        <w:t xml:space="preserve"> ve výši 2 049 230,16 Kč. Celá částka připadá na splátku revolvingového úvěru.</w:t>
      </w:r>
    </w:p>
    <w:p w:rsidR="00D171DB" w:rsidRDefault="00D171DB" w:rsidP="00D171DB">
      <w:pPr>
        <w:pStyle w:val="Zkladntextodsazendek"/>
        <w:numPr>
          <w:ilvl w:val="0"/>
          <w:numId w:val="5"/>
        </w:numPr>
        <w:spacing w:after="0"/>
      </w:pPr>
      <w:r w:rsidRPr="004B1D54">
        <w:t>Gymnázium Jana Blahoslava a Střední pedagogická škola, Denisova 3, Přerov</w:t>
      </w:r>
      <w:r>
        <w:t xml:space="preserve"> obdržela dotaci na </w:t>
      </w:r>
      <w:r w:rsidRPr="00B42BDC">
        <w:t>projekt</w:t>
      </w:r>
      <w:r w:rsidRPr="000634B4">
        <w:rPr>
          <w:b/>
        </w:rPr>
        <w:t xml:space="preserve"> </w:t>
      </w:r>
      <w:r w:rsidRPr="004B1D54">
        <w:rPr>
          <w:b/>
        </w:rPr>
        <w:t>Gymnázium Jana Blahoslava a Střední pedagogická škola Přerov - vybudování chemické laboratoře, dvou jazykových učeben, vybudování fyzikální učebny a konektivity školy</w:t>
      </w:r>
      <w:r>
        <w:t xml:space="preserve"> ve výši 4 226 011,12 Kč.</w:t>
      </w:r>
      <w:r w:rsidRPr="004A475D">
        <w:t xml:space="preserve"> </w:t>
      </w:r>
      <w:r>
        <w:t>Na splátku revolvingového úvěru připadá částka ve výši 1 891 027,37 Kč, částka ve výši 2 3</w:t>
      </w:r>
      <w:r w:rsidR="00F97F4A">
        <w:t>24</w:t>
      </w:r>
      <w:r>
        <w:t> </w:t>
      </w:r>
      <w:r w:rsidR="00F97F4A">
        <w:t>243</w:t>
      </w:r>
      <w:r>
        <w:t>,</w:t>
      </w:r>
      <w:r w:rsidR="00F97F4A">
        <w:t>23</w:t>
      </w:r>
      <w:r>
        <w:t xml:space="preserve"> Kč b</w:t>
      </w:r>
      <w:r w:rsidR="00453892">
        <w:t>yla</w:t>
      </w:r>
      <w:r>
        <w:t xml:space="preserve"> zapojena do rezervy Olomouckého kraje na investice</w:t>
      </w:r>
      <w:r w:rsidR="00F97F4A">
        <w:t xml:space="preserve"> a částka ve výši 10 740,52 b</w:t>
      </w:r>
      <w:r w:rsidR="00453892">
        <w:t>yla</w:t>
      </w:r>
      <w:r w:rsidR="00F97F4A">
        <w:t xml:space="preserve"> ponechána příspěvkové organizaci</w:t>
      </w:r>
      <w:r>
        <w:t>. V Radě Olomouckého kraje dne 18. 3. 2019 b</w:t>
      </w:r>
      <w:r w:rsidR="00453892">
        <w:t>yl</w:t>
      </w:r>
      <w:r>
        <w:t xml:space="preserve"> příspěvkové organizaci na základě rozpočtové změny v materiálu </w:t>
      </w:r>
      <w:r w:rsidR="00340ED0">
        <w:t>15</w:t>
      </w:r>
      <w:r>
        <w:t>.</w:t>
      </w:r>
      <w:r w:rsidR="00340ED0">
        <w:t>1</w:t>
      </w:r>
      <w:r>
        <w:t>. - Rozpočet Olomouckého kraje 2019 – rozpočtové změny poskytnuta dotace. Současně b</w:t>
      </w:r>
      <w:r w:rsidR="00453892">
        <w:t>yl</w:t>
      </w:r>
      <w:r>
        <w:t xml:space="preserve"> nařízen odvod z fondu investic ve výši poskytnutého investičního příspěvku na předfinancování a odvod z provozních prostředků na předfinancování neinvestiční části projektu v materiálu Odboru podpory řízení příspěvkových organizací </w:t>
      </w:r>
      <w:proofErr w:type="gramStart"/>
      <w:r w:rsidR="00340ED0">
        <w:t>9</w:t>
      </w:r>
      <w:r>
        <w:t>.</w:t>
      </w:r>
      <w:r w:rsidR="00340ED0">
        <w:t>2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453892">
        <w:t>yla</w:t>
      </w:r>
      <w:r>
        <w:t xml:space="preserve"> provedena Odborem ekonomickým splátka revolvingového úvěru.</w:t>
      </w:r>
    </w:p>
    <w:p w:rsidR="00D171DB" w:rsidRDefault="00D171DB" w:rsidP="00D171DB">
      <w:pPr>
        <w:pStyle w:val="Zkladntextodsazendek"/>
        <w:numPr>
          <w:ilvl w:val="0"/>
          <w:numId w:val="5"/>
        </w:numPr>
        <w:spacing w:after="0"/>
      </w:pPr>
      <w:r w:rsidRPr="00B6032F">
        <w:t>Střední odborná škola obchodu a služeb, Štursova 14, Olomouc</w:t>
      </w:r>
      <w:r>
        <w:t xml:space="preserve"> obdržela dotaci na </w:t>
      </w:r>
      <w:r w:rsidRPr="00B42BDC">
        <w:t>projekt</w:t>
      </w:r>
      <w:r w:rsidRPr="000634B4">
        <w:rPr>
          <w:b/>
        </w:rPr>
        <w:t xml:space="preserve"> </w:t>
      </w:r>
      <w:r w:rsidRPr="009C0224">
        <w:rPr>
          <w:b/>
        </w:rPr>
        <w:t>Modernizace cukrářského praktického pracoviště a zajištění bezbariérovosti školy</w:t>
      </w:r>
      <w:r>
        <w:t xml:space="preserve"> ve výši 3 318 887,05 Kč.</w:t>
      </w:r>
      <w:r w:rsidRPr="004A475D">
        <w:t xml:space="preserve"> </w:t>
      </w:r>
      <w:r>
        <w:t>Na splátku revolvingového úvěru připadá částka ve výši 2</w:t>
      </w:r>
      <w:r w:rsidR="00F97F4A">
        <w:t> 564 326,50</w:t>
      </w:r>
      <w:r>
        <w:t xml:space="preserve"> Kč, částka ve výši </w:t>
      </w:r>
      <w:r w:rsidR="00F97F4A">
        <w:t xml:space="preserve">704 160,58 </w:t>
      </w:r>
      <w:r>
        <w:t>Kč b</w:t>
      </w:r>
      <w:r w:rsidR="00453892">
        <w:t>yla</w:t>
      </w:r>
      <w:r>
        <w:t xml:space="preserve"> zapojena do rezervy Olomouckého kraje na investice</w:t>
      </w:r>
      <w:r w:rsidR="00F97F4A">
        <w:t xml:space="preserve"> a částka ve výši 50 399,97 b</w:t>
      </w:r>
      <w:r w:rsidR="00453892">
        <w:t>yla</w:t>
      </w:r>
      <w:r w:rsidR="00F97F4A">
        <w:t xml:space="preserve"> ponechána příspěvkové organizaci</w:t>
      </w:r>
      <w:r>
        <w:t>. V Radě Olomouckého kraje dne</w:t>
      </w:r>
      <w:r w:rsidR="00453892">
        <w:t xml:space="preserve"> </w:t>
      </w:r>
      <w:r>
        <w:t>18. 3. 2019 b</w:t>
      </w:r>
      <w:r w:rsidR="00453892">
        <w:t>yl</w:t>
      </w:r>
      <w:r w:rsidR="00E05FAF">
        <w:t>a</w:t>
      </w:r>
      <w:r>
        <w:t xml:space="preserve"> příspěvkové organizaci na základě rozpočtové změny v materiálu </w:t>
      </w:r>
      <w:r w:rsidR="00340ED0">
        <w:t>15</w:t>
      </w:r>
      <w:r>
        <w:t>.</w:t>
      </w:r>
      <w:r w:rsidR="00340ED0">
        <w:t>1</w:t>
      </w:r>
      <w:r>
        <w:t>. - Rozpočet Olomouckého kraje 2019 – rozpočtové změny poskytnuta dotace. Současně b</w:t>
      </w:r>
      <w:r w:rsidR="00453892">
        <w:t>yl</w:t>
      </w:r>
      <w:r>
        <w:t xml:space="preserve"> nařízen odvod z fondu investic ve výši poskytnutého investičního příspěvku na předfinancování a odvod z provozních prostředků na předfinancování neinvestiční části projektu v materiálu Odboru podpory řízení příspěvkových organizací </w:t>
      </w:r>
      <w:proofErr w:type="gramStart"/>
      <w:r w:rsidR="00340ED0">
        <w:t>9</w:t>
      </w:r>
      <w:r>
        <w:t>.</w:t>
      </w:r>
      <w:r w:rsidR="00340ED0">
        <w:t>2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 xml:space="preserve">a národních </w:t>
      </w:r>
      <w:r w:rsidRPr="000634B4">
        <w:rPr>
          <w:rFonts w:cs="Arial"/>
          <w:szCs w:val="28"/>
        </w:rPr>
        <w:lastRenderedPageBreak/>
        <w:t>fondů. N</w:t>
      </w:r>
      <w:r>
        <w:t>ásledně b</w:t>
      </w:r>
      <w:r w:rsidR="00453892">
        <w:t>yla</w:t>
      </w:r>
      <w:r>
        <w:t xml:space="preserve"> provedena Odborem ekonomickým splátka revolvingového úvěru.</w:t>
      </w:r>
    </w:p>
    <w:p w:rsidR="00F97F4A" w:rsidRDefault="00F97F4A" w:rsidP="00F97F4A">
      <w:pPr>
        <w:pStyle w:val="Zkladntextodsazendek"/>
        <w:spacing w:after="0"/>
      </w:pPr>
    </w:p>
    <w:p w:rsidR="00D171DB" w:rsidRDefault="00D171DB" w:rsidP="00D171DB">
      <w:pPr>
        <w:pStyle w:val="Zkladntextodsazendek"/>
        <w:numPr>
          <w:ilvl w:val="0"/>
          <w:numId w:val="5"/>
        </w:numPr>
      </w:pPr>
      <w:r>
        <w:t xml:space="preserve">Správa silnic Olomouckého kraje (dále jen SSOK) obdržela dotace na </w:t>
      </w:r>
      <w:r w:rsidRPr="00B42BDC">
        <w:t>projekt</w:t>
      </w:r>
      <w:r w:rsidRPr="00D72602">
        <w:rPr>
          <w:b/>
        </w:rPr>
        <w:t xml:space="preserve"> </w:t>
      </w:r>
      <w:r w:rsidRPr="00CE08D2">
        <w:rPr>
          <w:b/>
        </w:rPr>
        <w:t>II/444 Medlov - průtah</w:t>
      </w:r>
      <w:r>
        <w:t xml:space="preserve"> ve výši 31 032 181,67 Kč</w:t>
      </w:r>
      <w:r w:rsidR="002E59E6">
        <w:t xml:space="preserve">. </w:t>
      </w:r>
      <w:r>
        <w:t>V Radě Olomouckého kraje dne 18. 3. 2019 b</w:t>
      </w:r>
      <w:r w:rsidR="00453892">
        <w:t>yl</w:t>
      </w:r>
      <w:r w:rsidR="00E05FAF">
        <w:t>a</w:t>
      </w:r>
      <w:bookmarkStart w:id="0" w:name="_GoBack"/>
      <w:bookmarkEnd w:id="0"/>
      <w:r>
        <w:t xml:space="preserve"> SSOK na základě rozpočtové změny v materiálu </w:t>
      </w:r>
      <w:r w:rsidR="00340ED0">
        <w:t>15</w:t>
      </w:r>
      <w:r>
        <w:t>.</w:t>
      </w:r>
      <w:r w:rsidR="00340ED0">
        <w:t>1</w:t>
      </w:r>
      <w:r>
        <w:t>. - Rozpočet Olomouckého kraje 2019 – rozpočtové změny poskytnuta dotace a současně b</w:t>
      </w:r>
      <w:r w:rsidR="00453892">
        <w:t>yl</w:t>
      </w:r>
      <w:r>
        <w:t xml:space="preserve"> nařízen odvod z fondu investic v materiálu Odboru dopravy a silničního hospodářství </w:t>
      </w:r>
      <w:r w:rsidR="00340ED0">
        <w:t>4</w:t>
      </w:r>
      <w:r>
        <w:t>.</w:t>
      </w:r>
      <w:r w:rsidR="00340ED0">
        <w:t>1</w:t>
      </w:r>
      <w:r>
        <w:t xml:space="preserve">. - </w:t>
      </w:r>
      <w:r w:rsidRPr="00D72602">
        <w:rPr>
          <w:rFonts w:cs="Arial"/>
          <w:szCs w:val="28"/>
        </w:rPr>
        <w:t>Finanční záležitosti příspěvkové organizace SSOK. Odvod b</w:t>
      </w:r>
      <w:r w:rsidR="00453892">
        <w:rPr>
          <w:rFonts w:cs="Arial"/>
          <w:szCs w:val="28"/>
        </w:rPr>
        <w:t>yl</w:t>
      </w:r>
      <w:r w:rsidRPr="00D72602">
        <w:rPr>
          <w:rFonts w:cs="Arial"/>
          <w:szCs w:val="28"/>
        </w:rPr>
        <w:t xml:space="preserve"> nařízen ve výši nesplaceného revolvingového úvěru Olomouckého kraje tj. u projektu </w:t>
      </w:r>
      <w:r w:rsidRPr="00CE08D2">
        <w:rPr>
          <w:b/>
        </w:rPr>
        <w:t>II/444 Medlov - průtah</w:t>
      </w:r>
      <w:r>
        <w:t xml:space="preserve"> ve výši 1 776 558,39 Kč. Zbylá část dotace b</w:t>
      </w:r>
      <w:r w:rsidR="00453892">
        <w:t>yla</w:t>
      </w:r>
      <w:r>
        <w:t xml:space="preserve"> ponechána příspěvkové organizaci na splacení revolvingového úvěru SSOK u Komerční banky. </w:t>
      </w:r>
      <w:r w:rsidRPr="00D72602">
        <w:rPr>
          <w:rFonts w:cs="Arial"/>
          <w:szCs w:val="28"/>
        </w:rPr>
        <w:t>N</w:t>
      </w:r>
      <w:r>
        <w:t>ásledně b</w:t>
      </w:r>
      <w:r w:rsidR="00453892">
        <w:t>yla</w:t>
      </w:r>
      <w:r>
        <w:t xml:space="preserve"> provedena Odborem ekonomickým splátka revolvingového úvěru.</w:t>
      </w:r>
    </w:p>
    <w:p w:rsidR="00D171DB" w:rsidRDefault="00D171DB" w:rsidP="00D171DB">
      <w:pPr>
        <w:pStyle w:val="Zkladntextodsazendek"/>
        <w:spacing w:after="0"/>
        <w:ind w:left="0"/>
      </w:pPr>
    </w:p>
    <w:p w:rsidR="009F081B" w:rsidRPr="002A138E" w:rsidRDefault="009F081B" w:rsidP="009F081B">
      <w:pPr>
        <w:pStyle w:val="Zkladntextodsazendek"/>
        <w:numPr>
          <w:ilvl w:val="0"/>
          <w:numId w:val="6"/>
        </w:numPr>
        <w:rPr>
          <w:u w:val="single"/>
        </w:rPr>
      </w:pPr>
      <w:r>
        <w:rPr>
          <w:u w:val="single"/>
        </w:rPr>
        <w:t>14</w:t>
      </w:r>
      <w:r w:rsidRPr="002A138E">
        <w:rPr>
          <w:u w:val="single"/>
        </w:rPr>
        <w:t>. splátka</w:t>
      </w:r>
    </w:p>
    <w:p w:rsidR="009F081B" w:rsidRDefault="009F081B" w:rsidP="009F081B">
      <w:pPr>
        <w:pStyle w:val="Zkladntextodsazendek"/>
        <w:numPr>
          <w:ilvl w:val="0"/>
          <w:numId w:val="8"/>
        </w:numPr>
        <w:spacing w:after="0"/>
      </w:pPr>
      <w:r w:rsidRPr="00D346C6">
        <w:rPr>
          <w:b/>
        </w:rPr>
        <w:t>Pořízení nových technologií pro odbornou výuku a vytvoření fyzikálně-chemické učebny a laboratoře na SŠTZ Mohelnice</w:t>
      </w:r>
      <w:r w:rsidRPr="0012176E">
        <w:rPr>
          <w:b/>
        </w:rPr>
        <w:t xml:space="preserve"> </w:t>
      </w:r>
      <w:r>
        <w:t>ve výši 5 053 634,93 Kč. Na splátku revolvingového úvěru připadá částka ve výši 4 146 693,80 Kč, zbylá část ve výši 906 941,13 Kč b</w:t>
      </w:r>
      <w:r w:rsidR="00453892">
        <w:t>yla</w:t>
      </w:r>
      <w:r>
        <w:t xml:space="preserve"> zapojena do rezervy Olomouckého kraje na investice.</w:t>
      </w:r>
    </w:p>
    <w:p w:rsidR="009F081B" w:rsidRDefault="009F081B" w:rsidP="009F081B">
      <w:pPr>
        <w:pStyle w:val="Zkladntextodsazendek"/>
        <w:numPr>
          <w:ilvl w:val="0"/>
          <w:numId w:val="8"/>
        </w:numPr>
        <w:spacing w:after="0"/>
      </w:pPr>
      <w:r w:rsidRPr="00037B26">
        <w:rPr>
          <w:b/>
        </w:rPr>
        <w:t>Nákup CNC dřevoobráběcího centra</w:t>
      </w:r>
      <w:r>
        <w:rPr>
          <w:b/>
        </w:rPr>
        <w:t xml:space="preserve"> </w:t>
      </w:r>
      <w:r>
        <w:t>ve výši 2 247 696,00 Kč. Na splátku revolvingového úvěru připadá částka ve výši 2 176 911,00 Kč, zbylá část ve výši 70 785,00 Kč b</w:t>
      </w:r>
      <w:r w:rsidR="00453892">
        <w:t>yla</w:t>
      </w:r>
      <w:r>
        <w:t xml:space="preserve"> zapojena do rezervy Olomouckého kraje na investice.</w:t>
      </w:r>
    </w:p>
    <w:p w:rsidR="009F081B" w:rsidRDefault="009F081B" w:rsidP="009F081B">
      <w:pPr>
        <w:pStyle w:val="Zkladntextodsazendek"/>
        <w:numPr>
          <w:ilvl w:val="0"/>
          <w:numId w:val="8"/>
        </w:numPr>
        <w:spacing w:after="0"/>
      </w:pPr>
      <w:r>
        <w:t xml:space="preserve">Gymnázium, Šternberk, Horní náměstí 5 obdrželo dotaci na projekt </w:t>
      </w:r>
      <w:r w:rsidRPr="00F259DA">
        <w:rPr>
          <w:b/>
        </w:rPr>
        <w:t>Rekonstrukce laboratoří biologie a chemie včetně odborných učeben biologie a chemie</w:t>
      </w:r>
      <w:r>
        <w:rPr>
          <w:b/>
        </w:rPr>
        <w:t xml:space="preserve"> </w:t>
      </w:r>
      <w:r>
        <w:t>ve výši 2 842 597,79 Kč. Na splátku revolvingového úvěru připadá částka ve výši 2 335 150,96 Kč, částka ve výši 460 704,42 Kč b</w:t>
      </w:r>
      <w:r w:rsidR="00453892">
        <w:t>yla</w:t>
      </w:r>
      <w:r>
        <w:t xml:space="preserve"> zapojena do rezervy Olomouckého kraje na investice a částka ve výši 46 742,41 Kč b</w:t>
      </w:r>
      <w:r w:rsidR="00453892">
        <w:t>yla</w:t>
      </w:r>
      <w:r>
        <w:t xml:space="preserve"> ponechána příspěvkové organizaci. V Radě Olomouckého kraje dne 1. 4. 2019 b</w:t>
      </w:r>
      <w:r w:rsidR="00453892">
        <w:t>yla</w:t>
      </w:r>
      <w:r>
        <w:t xml:space="preserve"> příspěvkové organizaci na základě rozpočtové změny v materiálu 15.1. - Rozpočet Olomouckého kraje 2019 – rozpočtové změny poskytnuta dotace. Současně b</w:t>
      </w:r>
      <w:r w:rsidR="00453892">
        <w:t>yl</w:t>
      </w:r>
      <w:r>
        <w:t xml:space="preserve"> nařízen odvod z fondu investic ve výši poskytnutého investičního příspěvku na předfinancování a odvod z provozních prostředků na předfinancování neinvestiční části projektu v materiálu Odboru podpory řízení příspěvkových organizací </w:t>
      </w:r>
      <w:proofErr w:type="gramStart"/>
      <w:r>
        <w:t>8.3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bude provedena Odborem ekonomickým splátka revolvingového úvěru.</w:t>
      </w:r>
    </w:p>
    <w:p w:rsidR="009F081B" w:rsidRDefault="009F081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453892" w:rsidRDefault="00453892" w:rsidP="00D171DB">
      <w:pPr>
        <w:pStyle w:val="Zkladntextodsazendek"/>
        <w:ind w:left="0"/>
        <w:rPr>
          <w:b/>
        </w:rPr>
      </w:pPr>
    </w:p>
    <w:p w:rsidR="00D171DB" w:rsidRDefault="009F081B" w:rsidP="00D171DB">
      <w:pPr>
        <w:pStyle w:val="Zkladntextodsazendek"/>
        <w:ind w:left="0"/>
      </w:pPr>
      <w:r>
        <w:rPr>
          <w:b/>
        </w:rPr>
        <w:t xml:space="preserve">Rada Olomouckého kraje schválila 13. splátku revolvingového úvěru ve </w:t>
      </w:r>
      <w:r w:rsidRPr="008255B9">
        <w:rPr>
          <w:b/>
        </w:rPr>
        <w:t>výši</w:t>
      </w:r>
      <w:r>
        <w:rPr>
          <w:b/>
        </w:rPr>
        <w:t xml:space="preserve"> 40 630 662,71</w:t>
      </w:r>
      <w:r w:rsidRPr="008255B9">
        <w:rPr>
          <w:b/>
        </w:rPr>
        <w:t xml:space="preserve"> </w:t>
      </w:r>
      <w:r>
        <w:rPr>
          <w:b/>
        </w:rPr>
        <w:t xml:space="preserve">Kč dne 18. 3. 2019 (číslo usnesení </w:t>
      </w:r>
      <w:r w:rsidRPr="009F081B">
        <w:rPr>
          <w:b/>
        </w:rPr>
        <w:t>UR/61/70/2019</w:t>
      </w:r>
      <w:r>
        <w:rPr>
          <w:b/>
        </w:rPr>
        <w:t xml:space="preserve">) a 14. splátku revolvingového úvěru ve </w:t>
      </w:r>
      <w:r w:rsidRPr="008255B9">
        <w:rPr>
          <w:b/>
        </w:rPr>
        <w:t>výši</w:t>
      </w:r>
      <w:r>
        <w:rPr>
          <w:b/>
        </w:rPr>
        <w:t xml:space="preserve"> 8 658 755,76 Kč dne 1. 4. 2019 (číslo usnesení </w:t>
      </w:r>
      <w:r w:rsidR="00453892">
        <w:rPr>
          <w:b/>
        </w:rPr>
        <w:t>UR/62/68</w:t>
      </w:r>
      <w:r w:rsidRPr="009F081B">
        <w:rPr>
          <w:b/>
        </w:rPr>
        <w:t>/2019</w:t>
      </w:r>
      <w:r>
        <w:rPr>
          <w:b/>
        </w:rPr>
        <w:t>).</w:t>
      </w:r>
      <w:r w:rsidRPr="008255B9">
        <w:rPr>
          <w:b/>
        </w:rPr>
        <w:t xml:space="preserve">    </w:t>
      </w: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453892" w:rsidRDefault="00453892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3D1D66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3 - </w:t>
      </w:r>
      <w:r w:rsidR="00BD3367">
        <w:rPr>
          <w:rFonts w:ascii="Arial" w:hAnsi="Arial" w:cs="Arial"/>
          <w:sz w:val="24"/>
          <w:szCs w:val="24"/>
        </w:rPr>
        <w:t>5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F081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20A2C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D3367">
      <w:rPr>
        <w:rStyle w:val="slostrnky"/>
        <w:rFonts w:ascii="Arial" w:hAnsi="Arial" w:cs="Arial"/>
        <w:i/>
        <w:iCs/>
      </w:rPr>
      <w:t>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E7C4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 w:rsidR="009F081B"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D61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6135"/>
    <w:multiLevelType w:val="hybridMultilevel"/>
    <w:tmpl w:val="02D2798C"/>
    <w:lvl w:ilvl="0" w:tplc="DADCD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70AB9"/>
    <w:multiLevelType w:val="hybridMultilevel"/>
    <w:tmpl w:val="FB742EFA"/>
    <w:lvl w:ilvl="0" w:tplc="DADCD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14053"/>
    <w:rsid w:val="00314F25"/>
    <w:rsid w:val="00316AF1"/>
    <w:rsid w:val="003229E9"/>
    <w:rsid w:val="00337820"/>
    <w:rsid w:val="00340ED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1D66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3892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1F1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8028FB"/>
    <w:rsid w:val="00804693"/>
    <w:rsid w:val="00810A5C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A5F48"/>
    <w:rsid w:val="009D4F20"/>
    <w:rsid w:val="009E20CF"/>
    <w:rsid w:val="009E5479"/>
    <w:rsid w:val="009E7A8D"/>
    <w:rsid w:val="009F081B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171DB"/>
    <w:rsid w:val="00D20A2C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05FAF"/>
    <w:rsid w:val="00E146F1"/>
    <w:rsid w:val="00E16B50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70C5"/>
    <w:rsid w:val="00F82A2C"/>
    <w:rsid w:val="00F97F4A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6C574FB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</cp:revision>
  <cp:lastPrinted>2019-04-03T05:40:00Z</cp:lastPrinted>
  <dcterms:created xsi:type="dcterms:W3CDTF">2019-03-06T11:05:00Z</dcterms:created>
  <dcterms:modified xsi:type="dcterms:W3CDTF">2019-04-03T06:14:00Z</dcterms:modified>
</cp:coreProperties>
</file>