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CF1B76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Záchou, DiS., náměstkem hejtmana na základě pověření 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h</w:t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>ejtmana ze dne 30. 10. 2020</w:t>
      </w:r>
    </w:p>
    <w:p w14:paraId="6F420F65" w14:textId="6467A47F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ED46C39" w:rsidR="00E62519" w:rsidRPr="00E62519" w:rsidRDefault="00F27FE7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37EEF1A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43D1B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114A52F4" w14:textId="68E5DE6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6B5D02A6" w14:textId="124F1CF0" w:rsidR="00E62519" w:rsidRPr="00E62519" w:rsidRDefault="00E62519" w:rsidP="00F27FE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Ing. Hanou Mazochovou, náměstkyní primátora na základě usnesení Rady města Přerova č. 2909/79/6/2022 ze dne 17. 2. 2022</w:t>
      </w:r>
    </w:p>
    <w:p w14:paraId="0B9D7F3C" w14:textId="0B16D024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F06E19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60DB0"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>39 500 000</w:t>
      </w:r>
      <w:r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třicet devět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012B6" w:rsidRPr="002012B6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85CBFD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2012B6" w:rsidRPr="002012B6"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III. etapa“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3355196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898070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068653B3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012B6" w:rsidRPr="00543E66">
        <w:rPr>
          <w:rFonts w:ascii="Arial" w:eastAsia="Times New Roman" w:hAnsi="Arial" w:cs="Arial"/>
          <w:sz w:val="24"/>
          <w:szCs w:val="24"/>
          <w:lang w:eastAsia="cs-CZ"/>
        </w:rPr>
        <w:t>UZ/xx/xx/2022</w:t>
      </w:r>
      <w:bookmarkStart w:id="0" w:name="_GoBack"/>
      <w:bookmarkEnd w:id="0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8749517" w:rsidR="009A3DA5" w:rsidRPr="00D7458D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113015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na realizaci přeložky vedení VN, rekonstrukci chodníků, parkovacích ploch a VO, cyklostezky Přerov – Dluhonice kolem Prechezy</w:t>
      </w:r>
      <w:r w:rsidR="00CF4F69">
        <w:rPr>
          <w:rFonts w:ascii="Arial" w:eastAsia="Times New Roman" w:hAnsi="Arial" w:cs="Arial"/>
          <w:b/>
          <w:sz w:val="24"/>
          <w:szCs w:val="24"/>
          <w:lang w:eastAsia="cs-CZ"/>
        </w:rPr>
        <w:t>, včetně zajištění technických dozorů a koordinátorů BOZP při jejich realizaci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E3E70C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4A2A8EC2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D7458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6C669C7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2. 2022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87B6AA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7458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161C1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256334E5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31. 3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73E5F" w14:textId="15AE3F0E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D7458D">
        <w:rPr>
          <w:rFonts w:ascii="Arial" w:eastAsia="Times New Roman" w:hAnsi="Arial" w:cs="Arial"/>
          <w:sz w:val="24"/>
          <w:szCs w:val="24"/>
          <w:lang w:eastAsia="cs-CZ"/>
        </w:rPr>
        <w:t>který je zveřejněn v systému RAP.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BFFF61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0B800A5E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6E789C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dotace. 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</w:t>
      </w:r>
      <w:r w:rsidR="002D02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 vč. printscreenu webových stránek nebo sociálních sítí s logem Olomouckého.</w:t>
      </w:r>
    </w:p>
    <w:p w14:paraId="758E3118" w14:textId="1B08EEA8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57A0632F" w14:textId="0B91544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56A53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FE710B">
        <w:rPr>
          <w:rFonts w:ascii="Arial" w:hAnsi="Arial" w:cs="Arial"/>
          <w:sz w:val="24"/>
          <w:szCs w:val="24"/>
        </w:rPr>
        <w:t xml:space="preserve"> na základě vystavené faktury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93F847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2FE50DC" w14:textId="77777777" w:rsidR="00FE710B" w:rsidRPr="00455D51" w:rsidRDefault="009A3DA5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E710B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5170E49C" w14:textId="77777777" w:rsidR="00FE710B" w:rsidRPr="00455D51" w:rsidRDefault="00FE710B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nepřevádět majetek pořízený nebo zhodnocený z dotace, nebo jeho části, po dobu minimálně 10 let od poskytnutí dotace na jinou osobu nebo jej nezatížit věcnými právy třetích osob, včetně zástavního práva bez předchozího písemného souhlasu poskytovatele (schválení a uzavření dodatku ke Smlouvě),</w:t>
      </w:r>
    </w:p>
    <w:p w14:paraId="57AF1CAB" w14:textId="3CE2656D" w:rsidR="00163897" w:rsidRPr="001429D2" w:rsidRDefault="00FE710B" w:rsidP="00FE710B">
      <w:pPr>
        <w:spacing w:after="120"/>
        <w:ind w:left="993" w:hanging="426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   nepronajmout majetek pořízený z dotace, nebo jeho části, jiné osobě.</w:t>
      </w:r>
    </w:p>
    <w:p w14:paraId="55BDF311" w14:textId="04B1F1F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A65E6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v kalendářním roce, kdy byla dotace poskytnuta, a následující dva kalendářní roky po roce, ve kterém byla dotace poskytnuta.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</w:t>
      </w:r>
      <w:r w:rsidR="0091030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celou 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>dobu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31285D"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  <w:r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204DF494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614E84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44AA754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FE71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28C2F0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B33AC9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FE710B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4B9F900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FE710B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57E2E72" w:rsidR="00B96E96" w:rsidRPr="00FE710B" w:rsidRDefault="00B96E96" w:rsidP="00FE710B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FE710B"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FE710B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FE710B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FE710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DAB09F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. UZ/xx/xx/2022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27. 6. 2022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3148ABE8" w14:textId="7A3A56C6" w:rsidR="00764FE9" w:rsidRDefault="00764FE9" w:rsidP="00764FE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F55487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202AA81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0AD1F62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60BBBB06" w:rsidR="00823917" w:rsidRPr="00764FE9" w:rsidRDefault="00764FE9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543E66">
      <w:headerReference w:type="default" r:id="rId9"/>
      <w:footerReference w:type="default" r:id="rId10"/>
      <w:footerReference w:type="first" r:id="rId11"/>
      <w:pgSz w:w="11906" w:h="16838"/>
      <w:pgMar w:top="1134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8365" w14:textId="77777777" w:rsidR="00B87DD0" w:rsidRDefault="00B87DD0" w:rsidP="00D40C40">
      <w:r>
        <w:separator/>
      </w:r>
    </w:p>
  </w:endnote>
  <w:endnote w:type="continuationSeparator" w:id="0">
    <w:p w14:paraId="2E8E2E28" w14:textId="77777777" w:rsidR="00B87DD0" w:rsidRDefault="00B87DD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1BAF" w14:textId="1BACB989" w:rsidR="006A3462" w:rsidRPr="00764FE9" w:rsidRDefault="00543E66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 w:rsidR="00CF4F69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7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6</w:t>
    </w:r>
    <w:r w:rsidR="006A3462" w:rsidRPr="00764FE9">
      <w:rPr>
        <w:rFonts w:ascii="Arial" w:hAnsi="Arial" w:cs="Arial"/>
        <w:i/>
        <w:sz w:val="18"/>
        <w:szCs w:val="18"/>
      </w:rPr>
      <w:t xml:space="preserve">. 2022  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9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F85F7F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5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6AFEE2C9" w14:textId="63676F77" w:rsidR="006A3462" w:rsidRPr="00764FE9" w:rsidRDefault="00543E66" w:rsidP="006A3462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10</w:t>
    </w:r>
    <w:r w:rsidR="006A3462" w:rsidRPr="00764FE9">
      <w:rPr>
        <w:rFonts w:ascii="Arial" w:hAnsi="Arial" w:cs="Arial"/>
        <w:i/>
        <w:sz w:val="18"/>
        <w:szCs w:val="18"/>
      </w:rPr>
      <w:t>. – Žádost o poskytnutí individuální dotace v oblasti dopravy – statutární město Přerov</w:t>
    </w:r>
  </w:p>
  <w:p w14:paraId="7AE94712" w14:textId="7F642A18" w:rsidR="006A3462" w:rsidRPr="00764FE9" w:rsidRDefault="006A3462" w:rsidP="006A3462">
    <w:pPr>
      <w:pStyle w:val="Zpat"/>
      <w:rPr>
        <w:rFonts w:ascii="Arial" w:hAnsi="Arial" w:cs="Arial"/>
        <w:i/>
        <w:sz w:val="18"/>
        <w:szCs w:val="18"/>
      </w:rPr>
    </w:pPr>
    <w:r w:rsidRPr="00764FE9">
      <w:rPr>
        <w:rFonts w:ascii="Arial" w:hAnsi="Arial" w:cs="Arial"/>
        <w:i/>
        <w:sz w:val="18"/>
        <w:szCs w:val="18"/>
      </w:rPr>
      <w:t>Usnesení-příloha č. 1: Smlouva o poskytnutí dotace se statutárním městem Přerov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D1ED" w14:textId="77777777" w:rsidR="00B87DD0" w:rsidRDefault="00B87DD0" w:rsidP="00D40C40">
      <w:r>
        <w:separator/>
      </w:r>
    </w:p>
  </w:footnote>
  <w:footnote w:type="continuationSeparator" w:id="0">
    <w:p w14:paraId="11017722" w14:textId="77777777" w:rsidR="00B87DD0" w:rsidRDefault="00B87DD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99E6" w14:textId="5E2D512F" w:rsidR="00C42BD8" w:rsidRDefault="00C42BD8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132B1ADF" w14:textId="0044CE57" w:rsidR="006A3462" w:rsidRPr="006A3462" w:rsidRDefault="00764FE9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3E66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FA40-3A77-485F-9559-7A6C9961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2022-04-22T08:05:00Z</cp:lastPrinted>
  <dcterms:created xsi:type="dcterms:W3CDTF">2022-06-10T05:12:00Z</dcterms:created>
  <dcterms:modified xsi:type="dcterms:W3CDTF">2022-06-10T05:12:00Z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