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AC" w:rsidRDefault="00474DD2" w:rsidP="00AA58D9">
      <w:pPr>
        <w:pStyle w:val="Nzev1"/>
      </w:pPr>
      <w:r w:rsidRPr="003620A9">
        <w:rPr>
          <w:noProof/>
          <w:lang w:eastAsia="cs-CZ"/>
        </w:rPr>
        <w:drawing>
          <wp:anchor distT="0" distB="0" distL="114300" distR="114300" simplePos="0" relativeHeight="251659264" behindDoc="0" locked="0" layoutInCell="1" allowOverlap="1" wp14:anchorId="189C8CE6" wp14:editId="48D6175D">
            <wp:simplePos x="0" y="0"/>
            <wp:positionH relativeFrom="column">
              <wp:posOffset>-675723</wp:posOffset>
            </wp:positionH>
            <wp:positionV relativeFrom="page">
              <wp:posOffset>279234</wp:posOffset>
            </wp:positionV>
            <wp:extent cx="2699385" cy="805815"/>
            <wp:effectExtent l="0" t="0" r="571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K.emf"/>
                    <pic:cNvPicPr/>
                  </pic:nvPicPr>
                  <pic:blipFill>
                    <a:blip r:embed="rId8">
                      <a:extLst>
                        <a:ext uri="{28A0092B-C50C-407E-A947-70E740481C1C}">
                          <a14:useLocalDpi xmlns:a14="http://schemas.microsoft.com/office/drawing/2010/main" val="0"/>
                        </a:ext>
                      </a:extLst>
                    </a:blip>
                    <a:stretch>
                      <a:fillRect/>
                    </a:stretch>
                  </pic:blipFill>
                  <pic:spPr>
                    <a:xfrm>
                      <a:off x="0" y="0"/>
                      <a:ext cx="2699385" cy="805815"/>
                    </a:xfrm>
                    <a:prstGeom prst="rect">
                      <a:avLst/>
                    </a:prstGeom>
                  </pic:spPr>
                </pic:pic>
              </a:graphicData>
            </a:graphic>
            <wp14:sizeRelH relativeFrom="margin">
              <wp14:pctWidth>0</wp14:pctWidth>
            </wp14:sizeRelH>
            <wp14:sizeRelV relativeFrom="margin">
              <wp14:pctHeight>0</wp14:pctHeight>
            </wp14:sizeRelV>
          </wp:anchor>
        </w:drawing>
      </w:r>
      <w:r w:rsidR="009B6504">
        <w:t>Pověření poskytováním služeb obecného hospodářského zájmu</w:t>
      </w:r>
      <w:r w:rsidR="005257B1">
        <w:t xml:space="preserve"> </w:t>
      </w:r>
    </w:p>
    <w:p w:rsidR="00506833" w:rsidRDefault="00F72DAC" w:rsidP="005257B1">
      <w:pPr>
        <w:jc w:val="center"/>
      </w:pPr>
      <w:r>
        <w:pict w14:anchorId="584B3362">
          <v:rect id="_x0000_i1027" style="width:0;height:1.5pt" o:hralign="center" o:bullet="t" o:hrstd="t" o:hr="t" fillcolor="#a0a0a0" stroked="f"/>
        </w:pict>
      </w:r>
    </w:p>
    <w:p w:rsidR="0092156B" w:rsidRPr="00B7426E" w:rsidRDefault="00B076FD" w:rsidP="00B7426E">
      <w:pPr>
        <w:pStyle w:val="Nzev2"/>
      </w:pPr>
      <w:r w:rsidRPr="00B7426E">
        <w:t xml:space="preserve"> METODIKA PRO </w:t>
      </w:r>
      <w:r w:rsidR="0092156B" w:rsidRPr="00B7426E">
        <w:t xml:space="preserve">ZPŮSOB </w:t>
      </w:r>
      <w:r w:rsidR="00AC6FD2" w:rsidRPr="00B7426E">
        <w:t>A PROCES POVĚŘOVÁNÍ</w:t>
      </w:r>
    </w:p>
    <w:p w:rsidR="00E13395" w:rsidRPr="00A57670" w:rsidRDefault="00E13395" w:rsidP="00AA58D9">
      <w:pPr>
        <w:pStyle w:val="Text"/>
      </w:pPr>
    </w:p>
    <w:p w:rsidR="0091202A" w:rsidRPr="00A57670" w:rsidRDefault="0091202A" w:rsidP="00AA58D9">
      <w:pPr>
        <w:pStyle w:val="Text"/>
      </w:pPr>
    </w:p>
    <w:p w:rsidR="00534470" w:rsidRPr="00A57670" w:rsidRDefault="00534470" w:rsidP="00AA58D9">
      <w:pPr>
        <w:pStyle w:val="Text"/>
      </w:pPr>
    </w:p>
    <w:p w:rsidR="00534470" w:rsidRPr="00A57670" w:rsidRDefault="00534470" w:rsidP="00AA58D9">
      <w:pPr>
        <w:pStyle w:val="Text"/>
      </w:pPr>
    </w:p>
    <w:p w:rsidR="00534470" w:rsidRPr="00A57670" w:rsidRDefault="00534470" w:rsidP="00AA58D9">
      <w:pPr>
        <w:pStyle w:val="Text"/>
      </w:pPr>
    </w:p>
    <w:p w:rsidR="00534470" w:rsidRPr="00A57670" w:rsidRDefault="00534470" w:rsidP="00AA58D9">
      <w:pPr>
        <w:pStyle w:val="Text"/>
      </w:pPr>
    </w:p>
    <w:p w:rsidR="00B16B25" w:rsidRPr="00A57670" w:rsidRDefault="00B16B25" w:rsidP="00AA58D9">
      <w:pPr>
        <w:pStyle w:val="Text"/>
      </w:pPr>
    </w:p>
    <w:p w:rsidR="00B16B25" w:rsidRPr="00A57670" w:rsidRDefault="00B16B25" w:rsidP="00AA58D9">
      <w:pPr>
        <w:pStyle w:val="Text"/>
      </w:pPr>
    </w:p>
    <w:p w:rsidR="00B16B25" w:rsidRPr="00A57670" w:rsidRDefault="00B16B25" w:rsidP="00AA58D9">
      <w:pPr>
        <w:pStyle w:val="Text"/>
      </w:pPr>
    </w:p>
    <w:p w:rsidR="00B16B25" w:rsidRPr="00A57670" w:rsidRDefault="00B16B25" w:rsidP="00AA58D9">
      <w:pPr>
        <w:pStyle w:val="Text"/>
      </w:pPr>
    </w:p>
    <w:p w:rsidR="00173732" w:rsidRPr="00A57670" w:rsidRDefault="00173732" w:rsidP="00AA58D9">
      <w:pPr>
        <w:pStyle w:val="Text"/>
      </w:pPr>
    </w:p>
    <w:p w:rsidR="0091202A" w:rsidRPr="00A57670" w:rsidRDefault="0091202A" w:rsidP="00AA58D9">
      <w:pPr>
        <w:pStyle w:val="Text"/>
      </w:pPr>
    </w:p>
    <w:p w:rsidR="00A57670" w:rsidRPr="00A57670" w:rsidRDefault="00A57670" w:rsidP="00AA58D9">
      <w:pPr>
        <w:pStyle w:val="Text"/>
      </w:pPr>
    </w:p>
    <w:tbl>
      <w:tblPr>
        <w:tblStyle w:val="Mkatabulky1"/>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93"/>
      </w:tblGrid>
      <w:tr w:rsidR="00534470" w:rsidRPr="00A57670" w:rsidTr="0033546A">
        <w:trPr>
          <w:trHeight w:val="567"/>
          <w:jc w:val="center"/>
        </w:trPr>
        <w:tc>
          <w:tcPr>
            <w:tcW w:w="3256" w:type="dxa"/>
          </w:tcPr>
          <w:p w:rsidR="00534470" w:rsidRPr="00A57670" w:rsidRDefault="00534470" w:rsidP="00AA58D9">
            <w:pPr>
              <w:rPr>
                <w:rFonts w:eastAsia="Calibri"/>
              </w:rPr>
            </w:pPr>
            <w:r w:rsidRPr="00A57670">
              <w:rPr>
                <w:lang w:eastAsia="cs-CZ"/>
              </w:rPr>
              <w:t>Věcně příslušný odbor:</w:t>
            </w:r>
          </w:p>
        </w:tc>
        <w:tc>
          <w:tcPr>
            <w:tcW w:w="6293" w:type="dxa"/>
          </w:tcPr>
          <w:p w:rsidR="00534470" w:rsidRPr="00A57670" w:rsidRDefault="00534470" w:rsidP="00AA58D9">
            <w:pPr>
              <w:rPr>
                <w:rFonts w:eastAsia="Calibri"/>
              </w:rPr>
            </w:pPr>
            <w:r w:rsidRPr="00A57670">
              <w:rPr>
                <w:lang w:eastAsia="cs-CZ"/>
              </w:rPr>
              <w:t>Odbor sociálních věcí Krajského úřadu Olomouckého kraje</w:t>
            </w:r>
          </w:p>
        </w:tc>
      </w:tr>
      <w:tr w:rsidR="00534470" w:rsidRPr="00A57670" w:rsidTr="0033546A">
        <w:trPr>
          <w:trHeight w:val="567"/>
          <w:jc w:val="center"/>
        </w:trPr>
        <w:tc>
          <w:tcPr>
            <w:tcW w:w="3256" w:type="dxa"/>
          </w:tcPr>
          <w:p w:rsidR="00534470" w:rsidRPr="00A57670" w:rsidRDefault="00534470" w:rsidP="00AA58D9">
            <w:pPr>
              <w:rPr>
                <w:rFonts w:eastAsia="Calibri"/>
              </w:rPr>
            </w:pPr>
            <w:r w:rsidRPr="00A57670">
              <w:rPr>
                <w:lang w:eastAsia="cs-CZ"/>
              </w:rPr>
              <w:t>Kontakt:</w:t>
            </w:r>
          </w:p>
        </w:tc>
        <w:tc>
          <w:tcPr>
            <w:tcW w:w="6293" w:type="dxa"/>
          </w:tcPr>
          <w:p w:rsidR="00534470" w:rsidRPr="00A57670" w:rsidRDefault="00534470" w:rsidP="00AA58D9">
            <w:pPr>
              <w:rPr>
                <w:lang w:eastAsia="cs-CZ"/>
              </w:rPr>
            </w:pPr>
            <w:r w:rsidRPr="00A57670">
              <w:rPr>
                <w:lang w:eastAsia="cs-CZ"/>
              </w:rPr>
              <w:t>Jeremenkova 1211/40 b, 779 00 Olomouc - Hodolany</w:t>
            </w:r>
          </w:p>
          <w:p w:rsidR="00534470" w:rsidRPr="00A57670" w:rsidRDefault="00534470" w:rsidP="00AA58D9">
            <w:pPr>
              <w:rPr>
                <w:rFonts w:eastAsia="Calibri"/>
              </w:rPr>
            </w:pPr>
            <w:r w:rsidRPr="00A57670">
              <w:rPr>
                <w:lang w:eastAsia="cs-CZ"/>
              </w:rPr>
              <w:t>Sekretariát odboru tel.: 585 508 219</w:t>
            </w:r>
          </w:p>
        </w:tc>
      </w:tr>
      <w:tr w:rsidR="00534470" w:rsidRPr="00A57670" w:rsidTr="0033546A">
        <w:trPr>
          <w:trHeight w:val="567"/>
          <w:jc w:val="center"/>
        </w:trPr>
        <w:tc>
          <w:tcPr>
            <w:tcW w:w="3256" w:type="dxa"/>
          </w:tcPr>
          <w:p w:rsidR="00534470" w:rsidRPr="00A57670" w:rsidRDefault="00534470" w:rsidP="00AA58D9">
            <w:pPr>
              <w:rPr>
                <w:rFonts w:eastAsia="Calibri"/>
              </w:rPr>
            </w:pPr>
            <w:r w:rsidRPr="00A57670">
              <w:rPr>
                <w:lang w:eastAsia="cs-CZ"/>
              </w:rPr>
              <w:t>Schváleno:</w:t>
            </w:r>
          </w:p>
        </w:tc>
        <w:tc>
          <w:tcPr>
            <w:tcW w:w="6293" w:type="dxa"/>
          </w:tcPr>
          <w:p w:rsidR="00534470" w:rsidRPr="00A57670" w:rsidRDefault="00534470" w:rsidP="00AA58D9">
            <w:pPr>
              <w:pStyle w:val="Text"/>
              <w:rPr>
                <w:rFonts w:eastAsia="Calibri"/>
              </w:rPr>
            </w:pPr>
            <w:r w:rsidRPr="00A57670">
              <w:t xml:space="preserve">Usnesením Zastupitelstva Olomouckého kraje </w:t>
            </w:r>
            <w:r w:rsidRPr="00A57670">
              <w:br/>
              <w:t>č. UZ/</w:t>
            </w:r>
            <w:r w:rsidR="006A719F" w:rsidRPr="00A57670">
              <w:t>X</w:t>
            </w:r>
            <w:r w:rsidRPr="00A57670">
              <w:t>/</w:t>
            </w:r>
            <w:r w:rsidR="006A719F" w:rsidRPr="00A57670">
              <w:t>XX</w:t>
            </w:r>
            <w:r w:rsidRPr="00A57670">
              <w:t>/202</w:t>
            </w:r>
            <w:r w:rsidR="006A719F" w:rsidRPr="00A57670">
              <w:t>2</w:t>
            </w:r>
            <w:r w:rsidRPr="00A57670">
              <w:t xml:space="preserve"> ze dne 2</w:t>
            </w:r>
            <w:r w:rsidR="006A719F" w:rsidRPr="00A57670">
              <w:t>6</w:t>
            </w:r>
            <w:r w:rsidR="00E026A7">
              <w:t xml:space="preserve">. </w:t>
            </w:r>
            <w:r w:rsidRPr="00A57670">
              <w:t>9.</w:t>
            </w:r>
            <w:r w:rsidR="00E026A7">
              <w:t xml:space="preserve"> </w:t>
            </w:r>
            <w:bookmarkStart w:id="0" w:name="_GoBack"/>
            <w:bookmarkEnd w:id="0"/>
            <w:r w:rsidRPr="00A57670">
              <w:t>202</w:t>
            </w:r>
            <w:r w:rsidR="006A719F" w:rsidRPr="00A57670">
              <w:t>2</w:t>
            </w:r>
            <w:r w:rsidRPr="00A57670">
              <w:t xml:space="preserve"> </w:t>
            </w:r>
          </w:p>
        </w:tc>
      </w:tr>
      <w:tr w:rsidR="00534470" w:rsidRPr="00A57670" w:rsidTr="0033546A">
        <w:trPr>
          <w:trHeight w:val="567"/>
          <w:jc w:val="center"/>
        </w:trPr>
        <w:tc>
          <w:tcPr>
            <w:tcW w:w="3256" w:type="dxa"/>
          </w:tcPr>
          <w:p w:rsidR="00534470" w:rsidRPr="00A57670" w:rsidRDefault="00E026A7" w:rsidP="00AA58D9">
            <w:pPr>
              <w:rPr>
                <w:rFonts w:eastAsia="Calibri"/>
              </w:rPr>
            </w:pPr>
            <w:r>
              <w:rPr>
                <w:lang w:eastAsia="cs-CZ"/>
              </w:rPr>
              <w:t>Účinnost od</w:t>
            </w:r>
            <w:r w:rsidR="00534470" w:rsidRPr="00A57670">
              <w:rPr>
                <w:lang w:eastAsia="cs-CZ"/>
              </w:rPr>
              <w:t>:</w:t>
            </w:r>
          </w:p>
        </w:tc>
        <w:tc>
          <w:tcPr>
            <w:tcW w:w="6293" w:type="dxa"/>
          </w:tcPr>
          <w:p w:rsidR="00534470" w:rsidRPr="00A57670" w:rsidRDefault="00534470" w:rsidP="00AA58D9"/>
        </w:tc>
      </w:tr>
    </w:tbl>
    <w:p w:rsidR="00FE75F7" w:rsidRPr="00A57670" w:rsidRDefault="00FE75F7" w:rsidP="00AA58D9"/>
    <w:p w:rsidR="009B6504" w:rsidRDefault="009B6504" w:rsidP="00AA58D9">
      <w:pPr>
        <w:pStyle w:val="Nadpis5"/>
      </w:pPr>
    </w:p>
    <w:p w:rsidR="005F788A" w:rsidRPr="00A57670" w:rsidRDefault="001F593F" w:rsidP="00AA58D9">
      <w:pPr>
        <w:pStyle w:val="Nadpis5"/>
      </w:pPr>
      <w:r w:rsidRPr="00A57670">
        <w:lastRenderedPageBreak/>
        <w:t>Obsah:</w:t>
      </w:r>
    </w:p>
    <w:p w:rsidR="008C45DB" w:rsidRDefault="0033546A">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r>
        <w:rPr>
          <w:b w:val="0"/>
          <w:sz w:val="18"/>
          <w:szCs w:val="18"/>
        </w:rPr>
        <w:fldChar w:fldCharType="begin"/>
      </w:r>
      <w:r>
        <w:rPr>
          <w:b w:val="0"/>
          <w:sz w:val="18"/>
          <w:szCs w:val="18"/>
        </w:rPr>
        <w:instrText xml:space="preserve"> TOC \o "1-4" \u </w:instrText>
      </w:r>
      <w:r>
        <w:rPr>
          <w:b w:val="0"/>
          <w:sz w:val="18"/>
          <w:szCs w:val="18"/>
        </w:rPr>
        <w:fldChar w:fldCharType="separate"/>
      </w:r>
      <w:r w:rsidR="008C45DB" w:rsidRPr="00753ABD">
        <w:rPr>
          <w:bCs w:val="0"/>
          <w:noProof/>
          <w:color w:val="000000"/>
          <w14:scene3d>
            <w14:camera w14:prst="orthographicFront"/>
            <w14:lightRig w14:rig="threePt" w14:dir="t">
              <w14:rot w14:lat="0" w14:lon="0" w14:rev="0"/>
            </w14:lightRig>
          </w14:scene3d>
        </w:rPr>
        <w:t>ČLÁNEK 1.</w:t>
      </w:r>
      <w:r w:rsidR="008C45DB">
        <w:rPr>
          <w:rFonts w:asciiTheme="minorHAnsi" w:eastAsiaTheme="minorEastAsia" w:hAnsiTheme="minorHAnsi" w:cstheme="minorBidi"/>
          <w:b w:val="0"/>
          <w:bCs w:val="0"/>
          <w:caps w:val="0"/>
          <w:noProof/>
          <w:sz w:val="22"/>
          <w:szCs w:val="22"/>
          <w:lang w:eastAsia="cs-CZ"/>
        </w:rPr>
        <w:tab/>
      </w:r>
      <w:r w:rsidR="008C45DB">
        <w:rPr>
          <w:noProof/>
        </w:rPr>
        <w:t>Účel a právní rámec Metodiky</w:t>
      </w:r>
      <w:r w:rsidR="008C45DB">
        <w:rPr>
          <w:noProof/>
        </w:rPr>
        <w:tab/>
      </w:r>
      <w:r w:rsidR="008C45DB">
        <w:rPr>
          <w:noProof/>
        </w:rPr>
        <w:fldChar w:fldCharType="begin"/>
      </w:r>
      <w:r w:rsidR="008C45DB">
        <w:rPr>
          <w:noProof/>
        </w:rPr>
        <w:instrText xml:space="preserve"> PAGEREF _Toc113362979 \h </w:instrText>
      </w:r>
      <w:r w:rsidR="008C45DB">
        <w:rPr>
          <w:noProof/>
        </w:rPr>
      </w:r>
      <w:r w:rsidR="008C45DB">
        <w:rPr>
          <w:noProof/>
        </w:rPr>
        <w:fldChar w:fldCharType="separate"/>
      </w:r>
      <w:r w:rsidR="008C45DB">
        <w:rPr>
          <w:noProof/>
        </w:rPr>
        <w:t>3</w:t>
      </w:r>
      <w:r w:rsidR="008C45DB">
        <w:rPr>
          <w:noProof/>
        </w:rPr>
        <w:fldChar w:fldCharType="end"/>
      </w:r>
    </w:p>
    <w:p w:rsidR="008C45DB" w:rsidRDefault="008C45DB">
      <w:pPr>
        <w:pStyle w:val="Obsah1"/>
        <w:tabs>
          <w:tab w:val="left" w:pos="1440"/>
          <w:tab w:val="right" w:leader="dot" w:pos="9062"/>
        </w:tabs>
        <w:rPr>
          <w:rFonts w:asciiTheme="minorHAnsi" w:eastAsiaTheme="minorEastAsia" w:hAnsiTheme="minorHAnsi" w:cstheme="minorBidi"/>
          <w:b w:val="0"/>
          <w:bCs w:val="0"/>
          <w:caps w:val="0"/>
          <w:noProof/>
          <w:sz w:val="22"/>
          <w:szCs w:val="22"/>
          <w:lang w:eastAsia="cs-CZ"/>
        </w:rPr>
      </w:pPr>
      <w:r w:rsidRPr="00753ABD">
        <w:rPr>
          <w:bCs w:val="0"/>
          <w:noProof/>
          <w:color w:val="000000"/>
          <w14:scene3d>
            <w14:camera w14:prst="orthographicFront"/>
            <w14:lightRig w14:rig="threePt" w14:dir="t">
              <w14:rot w14:lat="0" w14:lon="0" w14:rev="0"/>
            </w14:lightRig>
          </w14:scene3d>
        </w:rPr>
        <w:t>ČLÁNEK 2.</w:t>
      </w:r>
      <w:r>
        <w:rPr>
          <w:rFonts w:asciiTheme="minorHAnsi" w:eastAsiaTheme="minorEastAsia" w:hAnsiTheme="minorHAnsi" w:cstheme="minorBidi"/>
          <w:b w:val="0"/>
          <w:bCs w:val="0"/>
          <w:caps w:val="0"/>
          <w:noProof/>
          <w:sz w:val="22"/>
          <w:szCs w:val="22"/>
          <w:lang w:eastAsia="cs-CZ"/>
        </w:rPr>
        <w:tab/>
      </w:r>
      <w:r>
        <w:rPr>
          <w:noProof/>
        </w:rPr>
        <w:t>Pověření poskytováním služby obecného hospodářského zájmu</w:t>
      </w:r>
      <w:r>
        <w:rPr>
          <w:noProof/>
        </w:rPr>
        <w:tab/>
      </w:r>
      <w:r>
        <w:rPr>
          <w:noProof/>
        </w:rPr>
        <w:fldChar w:fldCharType="begin"/>
      </w:r>
      <w:r>
        <w:rPr>
          <w:noProof/>
        </w:rPr>
        <w:instrText xml:space="preserve"> PAGEREF _Toc113362980 \h </w:instrText>
      </w:r>
      <w:r>
        <w:rPr>
          <w:noProof/>
        </w:rPr>
      </w:r>
      <w:r>
        <w:rPr>
          <w:noProof/>
        </w:rPr>
        <w:fldChar w:fldCharType="separate"/>
      </w:r>
      <w:r>
        <w:rPr>
          <w:noProof/>
        </w:rPr>
        <w:t>3</w:t>
      </w:r>
      <w:r>
        <w:rPr>
          <w:noProof/>
        </w:rPr>
        <w:fldChar w:fldCharType="end"/>
      </w:r>
    </w:p>
    <w:p w:rsidR="008C45DB" w:rsidRDefault="008C45DB">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2.1</w:t>
      </w:r>
      <w:r>
        <w:rPr>
          <w:rFonts w:asciiTheme="minorHAnsi" w:eastAsiaTheme="minorEastAsia" w:hAnsiTheme="minorHAnsi" w:cstheme="minorBidi"/>
          <w:smallCaps w:val="0"/>
          <w:noProof/>
          <w:sz w:val="22"/>
          <w:szCs w:val="22"/>
          <w:lang w:eastAsia="cs-CZ"/>
        </w:rPr>
        <w:tab/>
      </w:r>
      <w:r>
        <w:rPr>
          <w:noProof/>
        </w:rPr>
        <w:t>Pověření poskytováním SOHZ u služeb zařazených do Sítě</w:t>
      </w:r>
      <w:r>
        <w:rPr>
          <w:noProof/>
        </w:rPr>
        <w:tab/>
      </w:r>
      <w:r>
        <w:rPr>
          <w:noProof/>
        </w:rPr>
        <w:fldChar w:fldCharType="begin"/>
      </w:r>
      <w:r>
        <w:rPr>
          <w:noProof/>
        </w:rPr>
        <w:instrText xml:space="preserve"> PAGEREF _Toc113362981 \h </w:instrText>
      </w:r>
      <w:r>
        <w:rPr>
          <w:noProof/>
        </w:rPr>
      </w:r>
      <w:r>
        <w:rPr>
          <w:noProof/>
        </w:rPr>
        <w:fldChar w:fldCharType="separate"/>
      </w:r>
      <w:r>
        <w:rPr>
          <w:noProof/>
        </w:rPr>
        <w:t>3</w:t>
      </w:r>
      <w:r>
        <w:rPr>
          <w:noProof/>
        </w:rPr>
        <w:fldChar w:fldCharType="end"/>
      </w:r>
    </w:p>
    <w:p w:rsidR="008C45DB" w:rsidRDefault="008C45DB">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r>
        <w:rPr>
          <w:noProof/>
        </w:rPr>
        <w:t>2.1.1</w:t>
      </w:r>
      <w:r>
        <w:rPr>
          <w:rFonts w:asciiTheme="minorHAnsi" w:eastAsiaTheme="minorEastAsia" w:hAnsiTheme="minorHAnsi" w:cstheme="minorBidi"/>
          <w:i w:val="0"/>
          <w:iCs w:val="0"/>
          <w:noProof/>
          <w:sz w:val="22"/>
          <w:szCs w:val="22"/>
          <w:lang w:eastAsia="cs-CZ"/>
        </w:rPr>
        <w:tab/>
      </w:r>
      <w:r>
        <w:rPr>
          <w:noProof/>
        </w:rPr>
        <w:t>Popis kompenzačního mechanismu a parametrů pro výpočet vyrovnávací platby</w:t>
      </w:r>
      <w:r>
        <w:rPr>
          <w:noProof/>
        </w:rPr>
        <w:tab/>
      </w:r>
      <w:r>
        <w:rPr>
          <w:noProof/>
        </w:rPr>
        <w:fldChar w:fldCharType="begin"/>
      </w:r>
      <w:r>
        <w:rPr>
          <w:noProof/>
        </w:rPr>
        <w:instrText xml:space="preserve"> PAGEREF _Toc113362982 \h </w:instrText>
      </w:r>
      <w:r>
        <w:rPr>
          <w:noProof/>
        </w:rPr>
      </w:r>
      <w:r>
        <w:rPr>
          <w:noProof/>
        </w:rPr>
        <w:fldChar w:fldCharType="separate"/>
      </w:r>
      <w:r>
        <w:rPr>
          <w:noProof/>
        </w:rPr>
        <w:t>4</w:t>
      </w:r>
      <w:r>
        <w:rPr>
          <w:noProof/>
        </w:rPr>
        <w:fldChar w:fldCharType="end"/>
      </w:r>
    </w:p>
    <w:p w:rsidR="008C45DB" w:rsidRDefault="008C45DB">
      <w:pPr>
        <w:pStyle w:val="Obsah3"/>
        <w:tabs>
          <w:tab w:val="left" w:pos="1200"/>
          <w:tab w:val="right" w:leader="dot" w:pos="9062"/>
        </w:tabs>
        <w:rPr>
          <w:rFonts w:asciiTheme="minorHAnsi" w:eastAsiaTheme="minorEastAsia" w:hAnsiTheme="minorHAnsi" w:cstheme="minorBidi"/>
          <w:i w:val="0"/>
          <w:iCs w:val="0"/>
          <w:noProof/>
          <w:sz w:val="22"/>
          <w:szCs w:val="22"/>
          <w:lang w:eastAsia="cs-CZ"/>
        </w:rPr>
      </w:pPr>
      <w:r>
        <w:rPr>
          <w:noProof/>
        </w:rPr>
        <w:t>2.1.2</w:t>
      </w:r>
      <w:r>
        <w:rPr>
          <w:rFonts w:asciiTheme="minorHAnsi" w:eastAsiaTheme="minorEastAsia" w:hAnsiTheme="minorHAnsi" w:cstheme="minorBidi"/>
          <w:i w:val="0"/>
          <w:iCs w:val="0"/>
          <w:noProof/>
          <w:sz w:val="22"/>
          <w:szCs w:val="22"/>
          <w:lang w:eastAsia="cs-CZ"/>
        </w:rPr>
        <w:tab/>
      </w:r>
      <w:r>
        <w:rPr>
          <w:noProof/>
        </w:rPr>
        <w:t>Přezkoumání vyrovnávací platby a kontrola</w:t>
      </w:r>
      <w:r>
        <w:rPr>
          <w:noProof/>
        </w:rPr>
        <w:tab/>
      </w:r>
      <w:r>
        <w:rPr>
          <w:noProof/>
        </w:rPr>
        <w:fldChar w:fldCharType="begin"/>
      </w:r>
      <w:r>
        <w:rPr>
          <w:noProof/>
        </w:rPr>
        <w:instrText xml:space="preserve"> PAGEREF _Toc113362983 \h </w:instrText>
      </w:r>
      <w:r>
        <w:rPr>
          <w:noProof/>
        </w:rPr>
      </w:r>
      <w:r>
        <w:rPr>
          <w:noProof/>
        </w:rPr>
        <w:fldChar w:fldCharType="separate"/>
      </w:r>
      <w:r>
        <w:rPr>
          <w:noProof/>
        </w:rPr>
        <w:t>5</w:t>
      </w:r>
      <w:r>
        <w:rPr>
          <w:noProof/>
        </w:rPr>
        <w:fldChar w:fldCharType="end"/>
      </w:r>
    </w:p>
    <w:p w:rsidR="008C45DB" w:rsidRDefault="008C45DB">
      <w:pPr>
        <w:pStyle w:val="Obsah2"/>
        <w:tabs>
          <w:tab w:val="left" w:pos="960"/>
          <w:tab w:val="right" w:leader="dot" w:pos="9062"/>
        </w:tabs>
        <w:rPr>
          <w:rFonts w:asciiTheme="minorHAnsi" w:eastAsiaTheme="minorEastAsia" w:hAnsiTheme="minorHAnsi" w:cstheme="minorBidi"/>
          <w:smallCaps w:val="0"/>
          <w:noProof/>
          <w:sz w:val="22"/>
          <w:szCs w:val="22"/>
          <w:lang w:eastAsia="cs-CZ"/>
        </w:rPr>
      </w:pPr>
      <w:r>
        <w:rPr>
          <w:noProof/>
        </w:rPr>
        <w:t>2.2</w:t>
      </w:r>
      <w:r>
        <w:rPr>
          <w:rFonts w:asciiTheme="minorHAnsi" w:eastAsiaTheme="minorEastAsia" w:hAnsiTheme="minorHAnsi" w:cstheme="minorBidi"/>
          <w:smallCaps w:val="0"/>
          <w:noProof/>
          <w:sz w:val="22"/>
          <w:szCs w:val="22"/>
          <w:lang w:eastAsia="cs-CZ"/>
        </w:rPr>
        <w:tab/>
      </w:r>
      <w:r>
        <w:rPr>
          <w:noProof/>
        </w:rPr>
        <w:t>Pověření poskytováním SOHZ u služeb nezařazených do Sítě</w:t>
      </w:r>
      <w:r>
        <w:rPr>
          <w:noProof/>
        </w:rPr>
        <w:tab/>
      </w:r>
      <w:r>
        <w:rPr>
          <w:noProof/>
        </w:rPr>
        <w:fldChar w:fldCharType="begin"/>
      </w:r>
      <w:r>
        <w:rPr>
          <w:noProof/>
        </w:rPr>
        <w:instrText xml:space="preserve"> PAGEREF _Toc113362984 \h </w:instrText>
      </w:r>
      <w:r>
        <w:rPr>
          <w:noProof/>
        </w:rPr>
      </w:r>
      <w:r>
        <w:rPr>
          <w:noProof/>
        </w:rPr>
        <w:fldChar w:fldCharType="separate"/>
      </w:r>
      <w:r>
        <w:rPr>
          <w:noProof/>
        </w:rPr>
        <w:t>6</w:t>
      </w:r>
      <w:r>
        <w:rPr>
          <w:noProof/>
        </w:rPr>
        <w:fldChar w:fldCharType="end"/>
      </w:r>
    </w:p>
    <w:p w:rsidR="008C45DB" w:rsidRDefault="008C45DB">
      <w:pPr>
        <w:pStyle w:val="Obsah4"/>
        <w:tabs>
          <w:tab w:val="right" w:leader="dot" w:pos="9062"/>
        </w:tabs>
        <w:rPr>
          <w:rFonts w:asciiTheme="minorHAnsi" w:eastAsiaTheme="minorEastAsia" w:hAnsiTheme="minorHAnsi" w:cstheme="minorBidi"/>
          <w:noProof/>
          <w:sz w:val="22"/>
          <w:szCs w:val="22"/>
          <w:lang w:eastAsia="cs-CZ"/>
        </w:rPr>
      </w:pPr>
      <w:r>
        <w:rPr>
          <w:noProof/>
        </w:rPr>
        <w:t>Přílohy:</w:t>
      </w:r>
      <w:r>
        <w:rPr>
          <w:noProof/>
        </w:rPr>
        <w:tab/>
      </w:r>
      <w:r>
        <w:rPr>
          <w:noProof/>
        </w:rPr>
        <w:fldChar w:fldCharType="begin"/>
      </w:r>
      <w:r>
        <w:rPr>
          <w:noProof/>
        </w:rPr>
        <w:instrText xml:space="preserve"> PAGEREF _Toc113362985 \h </w:instrText>
      </w:r>
      <w:r>
        <w:rPr>
          <w:noProof/>
        </w:rPr>
      </w:r>
      <w:r>
        <w:rPr>
          <w:noProof/>
        </w:rPr>
        <w:fldChar w:fldCharType="separate"/>
      </w:r>
      <w:r>
        <w:rPr>
          <w:noProof/>
        </w:rPr>
        <w:t>7</w:t>
      </w:r>
      <w:r>
        <w:rPr>
          <w:noProof/>
        </w:rPr>
        <w:fldChar w:fldCharType="end"/>
      </w:r>
    </w:p>
    <w:p w:rsidR="007B5F9D" w:rsidRDefault="0033546A" w:rsidP="00AA58D9">
      <w:pPr>
        <w:rPr>
          <w:rFonts w:cstheme="minorHAnsi"/>
          <w:b/>
          <w:sz w:val="18"/>
          <w:szCs w:val="18"/>
        </w:rPr>
      </w:pPr>
      <w:r>
        <w:rPr>
          <w:rFonts w:cstheme="minorHAnsi"/>
          <w:b/>
          <w:sz w:val="18"/>
          <w:szCs w:val="18"/>
        </w:rPr>
        <w:fldChar w:fldCharType="end"/>
      </w:r>
    </w:p>
    <w:p w:rsidR="007B5F9D" w:rsidRDefault="007B5F9D" w:rsidP="00AA58D9">
      <w:pPr>
        <w:rPr>
          <w:rFonts w:cstheme="minorHAnsi"/>
          <w:b/>
          <w:sz w:val="18"/>
          <w:szCs w:val="18"/>
        </w:rPr>
      </w:pPr>
    </w:p>
    <w:p w:rsidR="007B5F9D" w:rsidRDefault="007B5F9D">
      <w:pPr>
        <w:spacing w:before="0" w:after="200"/>
        <w:jc w:val="left"/>
        <w:rPr>
          <w:b/>
          <w:i/>
          <w:sz w:val="28"/>
        </w:rPr>
      </w:pPr>
      <w:r>
        <w:br w:type="page"/>
      </w:r>
    </w:p>
    <w:p w:rsidR="007B5F9D" w:rsidRPr="00A57670" w:rsidRDefault="007B5F9D" w:rsidP="007B5F9D">
      <w:pPr>
        <w:pStyle w:val="Nadpis5"/>
      </w:pPr>
      <w:r>
        <w:lastRenderedPageBreak/>
        <w:t xml:space="preserve">Vybrané </w:t>
      </w:r>
      <w:r w:rsidRPr="00A57670">
        <w:t>zkratky:</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7098"/>
      </w:tblGrid>
      <w:tr w:rsidR="007B5F9D" w:rsidRPr="00A57670" w:rsidTr="00EC0630">
        <w:trPr>
          <w:trHeight w:val="227"/>
        </w:trPr>
        <w:tc>
          <w:tcPr>
            <w:tcW w:w="1088" w:type="pct"/>
          </w:tcPr>
          <w:p w:rsidR="007B5F9D" w:rsidRPr="00A57670" w:rsidRDefault="007B5F9D" w:rsidP="00EC0630">
            <w:pPr>
              <w:pStyle w:val="Tabulkazkratky"/>
            </w:pPr>
            <w:r>
              <w:t>Podnik</w:t>
            </w:r>
          </w:p>
        </w:tc>
        <w:tc>
          <w:tcPr>
            <w:tcW w:w="3912" w:type="pct"/>
          </w:tcPr>
          <w:p w:rsidR="007B5F9D" w:rsidRPr="00A57670" w:rsidRDefault="007B5F9D" w:rsidP="00EC0630">
            <w:pPr>
              <w:pStyle w:val="Tabulkazkratky"/>
            </w:pPr>
            <w:r>
              <w:t>Poskytovatel sociálních služeb, případně subjekt, který má záměr sociální služby poskytovat</w:t>
            </w:r>
          </w:p>
        </w:tc>
      </w:tr>
      <w:tr w:rsidR="007B5F9D" w:rsidRPr="00A57670" w:rsidTr="00EC0630">
        <w:trPr>
          <w:trHeight w:val="227"/>
        </w:trPr>
        <w:tc>
          <w:tcPr>
            <w:tcW w:w="1088" w:type="pct"/>
          </w:tcPr>
          <w:p w:rsidR="007B5F9D" w:rsidRPr="00A57670" w:rsidRDefault="00F63116" w:rsidP="00EC0630">
            <w:pPr>
              <w:pStyle w:val="Tabulkazkratky"/>
            </w:pPr>
            <w:r>
              <w:t>Síť</w:t>
            </w:r>
          </w:p>
        </w:tc>
        <w:tc>
          <w:tcPr>
            <w:tcW w:w="3912" w:type="pct"/>
          </w:tcPr>
          <w:p w:rsidR="007B5F9D" w:rsidRPr="00A57670" w:rsidRDefault="0014254D" w:rsidP="00EC0630">
            <w:pPr>
              <w:pStyle w:val="Tabulkazkratky"/>
            </w:pPr>
            <w:r>
              <w:t>Síť</w:t>
            </w:r>
            <w:r w:rsidR="007B5F9D">
              <w:t xml:space="preserve"> sociálních služeb Olomouckého kraje</w:t>
            </w:r>
          </w:p>
        </w:tc>
      </w:tr>
      <w:tr w:rsidR="007B5F9D" w:rsidRPr="00A57670" w:rsidTr="00EC0630">
        <w:trPr>
          <w:trHeight w:val="227"/>
        </w:trPr>
        <w:tc>
          <w:tcPr>
            <w:tcW w:w="1088" w:type="pct"/>
          </w:tcPr>
          <w:p w:rsidR="007B5F9D" w:rsidRPr="00A57670" w:rsidRDefault="007B5F9D" w:rsidP="00EC0630">
            <w:pPr>
              <w:pStyle w:val="Tabulkazkratky"/>
            </w:pPr>
            <w:r>
              <w:t>SOHZ</w:t>
            </w:r>
          </w:p>
        </w:tc>
        <w:tc>
          <w:tcPr>
            <w:tcW w:w="3912" w:type="pct"/>
          </w:tcPr>
          <w:p w:rsidR="007B5F9D" w:rsidRPr="00A57670" w:rsidRDefault="007B5F9D" w:rsidP="00EC0630">
            <w:pPr>
              <w:pStyle w:val="Tabulkazkratky"/>
            </w:pPr>
            <w:r>
              <w:t>Služby obecného hospodářského zájmu</w:t>
            </w:r>
          </w:p>
        </w:tc>
      </w:tr>
      <w:tr w:rsidR="00EF1F07" w:rsidRPr="00A57670" w:rsidTr="00EC0630">
        <w:trPr>
          <w:trHeight w:val="227"/>
        </w:trPr>
        <w:tc>
          <w:tcPr>
            <w:tcW w:w="1088" w:type="pct"/>
          </w:tcPr>
          <w:p w:rsidR="00EF1F07" w:rsidRDefault="00EF1F07" w:rsidP="00EC0630">
            <w:pPr>
              <w:pStyle w:val="Tabulkazkratky"/>
            </w:pPr>
            <w:r>
              <w:t>Pověřovatel</w:t>
            </w:r>
          </w:p>
        </w:tc>
        <w:tc>
          <w:tcPr>
            <w:tcW w:w="3912" w:type="pct"/>
          </w:tcPr>
          <w:p w:rsidR="00EF1F07" w:rsidRDefault="00EF1F07" w:rsidP="00EC0630">
            <w:pPr>
              <w:pStyle w:val="Tabulkazkratky"/>
            </w:pPr>
            <w:r>
              <w:t>Olomoucký kraj</w:t>
            </w:r>
          </w:p>
        </w:tc>
      </w:tr>
    </w:tbl>
    <w:p w:rsidR="007B5F9D" w:rsidRPr="00A57670" w:rsidRDefault="007B5F9D" w:rsidP="007B5F9D"/>
    <w:p w:rsidR="00773F2F" w:rsidRPr="00A57670" w:rsidRDefault="00E77C3F" w:rsidP="00AA58D9">
      <w:pPr>
        <w:sectPr w:rsidR="00773F2F" w:rsidRPr="00A57670" w:rsidSect="00EF6A66">
          <w:footerReference w:type="default" r:id="rId9"/>
          <w:pgSz w:w="11906" w:h="16838"/>
          <w:pgMar w:top="1417" w:right="1417" w:bottom="1134" w:left="1417" w:header="708" w:footer="708" w:gutter="0"/>
          <w:pgNumType w:start="1"/>
          <w:cols w:space="708"/>
          <w:docGrid w:linePitch="360"/>
        </w:sectPr>
      </w:pPr>
      <w:r w:rsidRPr="00A57670">
        <w:br w:type="page"/>
      </w:r>
    </w:p>
    <w:p w:rsidR="000A7ADB" w:rsidRDefault="008238E5" w:rsidP="000A7ADB">
      <w:pPr>
        <w:pStyle w:val="Nadpis1"/>
      </w:pPr>
      <w:bookmarkStart w:id="1" w:name="_Toc113362979"/>
      <w:bookmarkStart w:id="2" w:name="bookmark1"/>
      <w:r>
        <w:lastRenderedPageBreak/>
        <w:t>Účel a právní rámec</w:t>
      </w:r>
      <w:r w:rsidR="006E699C">
        <w:t xml:space="preserve"> </w:t>
      </w:r>
      <w:r w:rsidR="00F63116">
        <w:t>Metodiky</w:t>
      </w:r>
      <w:bookmarkEnd w:id="1"/>
    </w:p>
    <w:p w:rsidR="007B5F9D" w:rsidRDefault="000A7ADB" w:rsidP="007B5F9D">
      <w:r>
        <w:t xml:space="preserve">Účelem </w:t>
      </w:r>
      <w:r w:rsidR="00F63116">
        <w:t>Metodiky</w:t>
      </w:r>
      <w:r w:rsidR="007B5F9D">
        <w:t xml:space="preserve"> pro způsob a proces pověřování poskytováním služeb obecného hospodářského zájmu (dále jen „</w:t>
      </w:r>
      <w:r w:rsidR="00506833">
        <w:t>M</w:t>
      </w:r>
      <w:r w:rsidR="0014254D">
        <w:t>etodika</w:t>
      </w:r>
      <w:r w:rsidR="007B5F9D">
        <w:t xml:space="preserve">“) </w:t>
      </w:r>
      <w:r>
        <w:t xml:space="preserve">je definovat </w:t>
      </w:r>
      <w:r w:rsidR="00AC6FD2">
        <w:t>p</w:t>
      </w:r>
      <w:r w:rsidR="0092156B" w:rsidRPr="00A57670">
        <w:t>o</w:t>
      </w:r>
      <w:r w:rsidR="0092156B">
        <w:t xml:space="preserve">stup Olomouckého kraje </w:t>
      </w:r>
      <w:r w:rsidR="008238E5">
        <w:t xml:space="preserve">(dále také „pověřovatel“) </w:t>
      </w:r>
      <w:r w:rsidR="00AC6FD2">
        <w:t xml:space="preserve">v oblasti pověřování </w:t>
      </w:r>
      <w:r w:rsidR="0092156B">
        <w:t>poskytováním </w:t>
      </w:r>
      <w:r w:rsidR="0092156B" w:rsidRPr="00A57670">
        <w:t xml:space="preserve">služby obecného hospodářského zájmu </w:t>
      </w:r>
      <w:r w:rsidR="00AC6FD2">
        <w:t xml:space="preserve">(dále jen „SOHZ“) </w:t>
      </w:r>
      <w:r w:rsidR="00B076FD">
        <w:t>podniků</w:t>
      </w:r>
      <w:r w:rsidR="007B5F9D">
        <w:t xml:space="preserve"> </w:t>
      </w:r>
    </w:p>
    <w:p w:rsidR="00220E5A" w:rsidRDefault="008238E5" w:rsidP="007B5F9D">
      <w:pPr>
        <w:pStyle w:val="slovn"/>
      </w:pPr>
      <w:r>
        <w:t xml:space="preserve">poskytujících </w:t>
      </w:r>
      <w:r w:rsidR="00AC6FD2">
        <w:t xml:space="preserve">sociální služby zařazené </w:t>
      </w:r>
      <w:r w:rsidR="0092156B">
        <w:t xml:space="preserve">do </w:t>
      </w:r>
      <w:r w:rsidR="00F63116">
        <w:t>Sítě</w:t>
      </w:r>
      <w:r w:rsidR="00220E5A">
        <w:t xml:space="preserve"> sociálních služeb Olomouckého kraje (dále jen „</w:t>
      </w:r>
      <w:r w:rsidR="0014254D">
        <w:t>Síť</w:t>
      </w:r>
      <w:r w:rsidR="00220E5A">
        <w:t>);</w:t>
      </w:r>
    </w:p>
    <w:p w:rsidR="000A7ADB" w:rsidRDefault="008238E5" w:rsidP="00E55E3D">
      <w:pPr>
        <w:pStyle w:val="slovn"/>
      </w:pPr>
      <w:r>
        <w:t xml:space="preserve">poskytujících </w:t>
      </w:r>
      <w:r w:rsidR="00AC6FD2">
        <w:t xml:space="preserve">sociální služby nezařazené do </w:t>
      </w:r>
      <w:r w:rsidR="00F63116">
        <w:t>Sítě</w:t>
      </w:r>
      <w:r w:rsidR="0014254D">
        <w:t xml:space="preserve"> </w:t>
      </w:r>
      <w:r>
        <w:t>(případně se záměrem poskytování sociálních služeb),</w:t>
      </w:r>
    </w:p>
    <w:p w:rsidR="00AC6FD2" w:rsidRPr="00A57670" w:rsidRDefault="008238E5" w:rsidP="008238E5">
      <w:pPr>
        <w:pStyle w:val="slovn"/>
        <w:numPr>
          <w:ilvl w:val="0"/>
          <w:numId w:val="0"/>
        </w:numPr>
      </w:pPr>
      <w:r w:rsidRPr="00A57670">
        <w:t>v souladu s Rozhodnutím Evropské komise č. 2012/21/EU ze dne 20.</w:t>
      </w:r>
      <w:r w:rsidR="00506833">
        <w:t xml:space="preserve"> </w:t>
      </w:r>
      <w:r w:rsidRPr="00A57670">
        <w:t>12.</w:t>
      </w:r>
      <w:r w:rsidR="00506833">
        <w:t xml:space="preserve"> </w:t>
      </w:r>
      <w:r w:rsidRPr="00A57670">
        <w:t>2011 o použití čl. 106 odst. 2 Smlouvy o fungování Evropské unie</w:t>
      </w:r>
      <w:r w:rsidR="00506833">
        <w:t xml:space="preserve"> </w:t>
      </w:r>
      <w:r w:rsidR="00506833" w:rsidRPr="00054B1A">
        <w:t>na státní podporu ve formě vyrovnávací platby za závazek veřejné služby poskytované určitým podnikům pověřeným poskytováním služeb obecného hospodářského zájmu</w:t>
      </w:r>
      <w:r>
        <w:t>.</w:t>
      </w:r>
    </w:p>
    <w:p w:rsidR="008238E5" w:rsidRPr="00A57670" w:rsidRDefault="008238E5" w:rsidP="008238E5">
      <w:pPr>
        <w:pStyle w:val="Nadpis1"/>
      </w:pPr>
      <w:bookmarkStart w:id="3" w:name="_Toc113362980"/>
      <w:r w:rsidRPr="00A57670">
        <w:t>Pověření poskytováním služby obecného hospodářského zájmu</w:t>
      </w:r>
      <w:bookmarkEnd w:id="3"/>
      <w:r w:rsidRPr="00A57670">
        <w:t xml:space="preserve"> </w:t>
      </w:r>
    </w:p>
    <w:p w:rsidR="00C20EF7" w:rsidRPr="00A57670" w:rsidRDefault="00C20EF7" w:rsidP="00AA58D9">
      <w:pPr>
        <w:pStyle w:val="Nadpis2"/>
      </w:pPr>
      <w:bookmarkStart w:id="4" w:name="_Toc113362981"/>
      <w:r w:rsidRPr="00A57670">
        <w:t xml:space="preserve">Pověření poskytováním </w:t>
      </w:r>
      <w:r w:rsidR="009806CF">
        <w:t xml:space="preserve">SOHZ u služeb zařazených do </w:t>
      </w:r>
      <w:r w:rsidR="00F63116">
        <w:t>Sítě</w:t>
      </w:r>
      <w:bookmarkEnd w:id="4"/>
    </w:p>
    <w:p w:rsidR="00C20EF7" w:rsidRPr="00A57670" w:rsidRDefault="009806CF" w:rsidP="009F02A4">
      <w:pPr>
        <w:pStyle w:val="slovn"/>
        <w:numPr>
          <w:ilvl w:val="1"/>
          <w:numId w:val="6"/>
        </w:numPr>
      </w:pPr>
      <w:r>
        <w:t>P</w:t>
      </w:r>
      <w:r w:rsidR="00C20EF7" w:rsidRPr="00A57670">
        <w:t>ověřovatel</w:t>
      </w:r>
      <w:r>
        <w:t xml:space="preserve"> </w:t>
      </w:r>
      <w:r w:rsidR="00C20EF7" w:rsidRPr="00A57670">
        <w:t xml:space="preserve">pověřuje poskytováním </w:t>
      </w:r>
      <w:r>
        <w:t>SOHZ</w:t>
      </w:r>
      <w:r w:rsidR="00C20EF7" w:rsidRPr="00A57670">
        <w:t xml:space="preserve">, poskytovatele sociálních služeb, kteří poskytují sociální služby zařazené do </w:t>
      </w:r>
      <w:r w:rsidR="00F63116">
        <w:t>Sítě</w:t>
      </w:r>
      <w:r w:rsidR="0014254D">
        <w:t xml:space="preserve"> </w:t>
      </w:r>
      <w:r w:rsidR="00C20EF7" w:rsidRPr="00A57670">
        <w:t xml:space="preserve">(podniky), a to i v případě, kdy na zajištění sociální služby není poskytována dotace Olomouckým krajem, ani nejsou hrazeny </w:t>
      </w:r>
      <w:r w:rsidR="00C20EF7" w:rsidRPr="00B076FD">
        <w:t>prostřednictvím veřejných zakázek</w:t>
      </w:r>
      <w:r w:rsidR="00B076FD">
        <w:t xml:space="preserve"> Olomouckého kraje </w:t>
      </w:r>
      <w:r w:rsidR="00C20EF7" w:rsidRPr="00A57670">
        <w:t>(dále „Pověření“).</w:t>
      </w:r>
    </w:p>
    <w:p w:rsidR="00C20EF7" w:rsidRPr="00A57670" w:rsidRDefault="00C20EF7" w:rsidP="009F02A4">
      <w:pPr>
        <w:pStyle w:val="slovn"/>
      </w:pPr>
      <w:r w:rsidRPr="00A57670">
        <w:t>Pověřením podniku se pověřovatel nezavazuje k poskytnutí finančních prostředků za závazek veřejné služby ze svého rozpočtu.</w:t>
      </w:r>
    </w:p>
    <w:p w:rsidR="00C20EF7" w:rsidRPr="00A57670" w:rsidRDefault="00C20EF7" w:rsidP="009F02A4">
      <w:pPr>
        <w:pStyle w:val="slovn"/>
      </w:pPr>
      <w:r w:rsidRPr="00A57670">
        <w:t xml:space="preserve">Přijetím Pověření se podnik zavazuje poskytovat sociální služby v Olomouckém kraji </w:t>
      </w:r>
      <w:r w:rsidR="008E0A65" w:rsidRPr="00A57670">
        <w:t xml:space="preserve">nejméně </w:t>
      </w:r>
      <w:r w:rsidRPr="00A57670">
        <w:t>v rozsahu uvedeném v </w:t>
      </w:r>
      <w:r w:rsidR="00E514D1">
        <w:t>Síti</w:t>
      </w:r>
      <w:r w:rsidRPr="00A57670">
        <w:t>.</w:t>
      </w:r>
    </w:p>
    <w:p w:rsidR="00C20EF7" w:rsidRDefault="00C20EF7" w:rsidP="009F02A4">
      <w:pPr>
        <w:pStyle w:val="slovn"/>
      </w:pPr>
      <w:r w:rsidRPr="00A57670">
        <w:t>V případě nepřijetí Pověření</w:t>
      </w:r>
      <w:r w:rsidR="00CC5480">
        <w:t xml:space="preserve"> </w:t>
      </w:r>
      <w:r w:rsidRPr="00A57670">
        <w:t>ze strany podniku není možné financování zajištění sociální služby dotací poskytnutou Olomouckým krajem ani prostřednictvím veřejných zakázek.</w:t>
      </w:r>
    </w:p>
    <w:p w:rsidR="006C7A64" w:rsidRPr="006C7A64" w:rsidRDefault="006C7A64" w:rsidP="006C7A64">
      <w:pPr>
        <w:pStyle w:val="slovn"/>
      </w:pPr>
      <w:r w:rsidRPr="006C7A64">
        <w:t>Pověření zaniká:</w:t>
      </w:r>
    </w:p>
    <w:p w:rsidR="006C7A64" w:rsidRPr="00DA76F4" w:rsidRDefault="006C7A64" w:rsidP="00B749BB">
      <w:pPr>
        <w:pStyle w:val="slovn2"/>
      </w:pPr>
      <w:r w:rsidRPr="00DA76F4">
        <w:t>uplynutím doby, na kterou je podnik pověřen poskytováním SOHZ,</w:t>
      </w:r>
    </w:p>
    <w:p w:rsidR="006C7A64" w:rsidRPr="00DA76F4" w:rsidRDefault="006C7A64" w:rsidP="00B749BB">
      <w:pPr>
        <w:pStyle w:val="slovn2"/>
      </w:pPr>
      <w:r w:rsidRPr="00DA76F4">
        <w:t xml:space="preserve">vyřazením podniku ze </w:t>
      </w:r>
      <w:r>
        <w:t>Sítě</w:t>
      </w:r>
      <w:r w:rsidRPr="00DA76F4">
        <w:t xml:space="preserve">, </w:t>
      </w:r>
    </w:p>
    <w:p w:rsidR="006C7A64" w:rsidRPr="00DA76F4" w:rsidRDefault="006C7A64" w:rsidP="00B749BB">
      <w:pPr>
        <w:pStyle w:val="slovn2"/>
      </w:pPr>
      <w:r w:rsidRPr="00DA76F4">
        <w:t>zrušením oprávnění k poskytování sociální služby (registrace) dle zákona č. 108/2006 Sb., o sociálních službách, ve znění pozdějších předpisů.</w:t>
      </w:r>
    </w:p>
    <w:p w:rsidR="006C7A64" w:rsidRDefault="006C7A64" w:rsidP="006C7A64">
      <w:pPr>
        <w:pStyle w:val="slovn"/>
        <w:numPr>
          <w:ilvl w:val="0"/>
          <w:numId w:val="0"/>
        </w:numPr>
        <w:ind w:left="567"/>
      </w:pPr>
    </w:p>
    <w:p w:rsidR="00470C1B" w:rsidRPr="0014254D" w:rsidRDefault="00470C1B" w:rsidP="00470C1B">
      <w:pPr>
        <w:pStyle w:val="slovn"/>
      </w:pPr>
      <w:r w:rsidRPr="0014254D">
        <w:t xml:space="preserve">Při vyřazení jediné sociální služby poskytovatele sociálních služeb ze </w:t>
      </w:r>
      <w:r w:rsidR="00F63116">
        <w:t>Sítě</w:t>
      </w:r>
      <w:r w:rsidRPr="0014254D">
        <w:t xml:space="preserve">, pozbývá Pověření platnosti </w:t>
      </w:r>
    </w:p>
    <w:p w:rsidR="00470C1B" w:rsidRPr="0014254D" w:rsidRDefault="00470C1B" w:rsidP="00B749BB">
      <w:pPr>
        <w:pStyle w:val="slovn2"/>
      </w:pPr>
      <w:r w:rsidRPr="0014254D">
        <w:t xml:space="preserve">ke dni ukončení poskytování sociální služby, pokud toto ukončení předchází platnosti </w:t>
      </w:r>
      <w:r w:rsidR="00F63116">
        <w:t>Sítě</w:t>
      </w:r>
      <w:r w:rsidRPr="0014254D">
        <w:t xml:space="preserve">, ze které je sociální služba vyřazena;  </w:t>
      </w:r>
    </w:p>
    <w:p w:rsidR="00470C1B" w:rsidRPr="0014254D" w:rsidRDefault="00470C1B" w:rsidP="00B749BB">
      <w:pPr>
        <w:pStyle w:val="slovn2"/>
      </w:pPr>
      <w:r w:rsidRPr="0014254D">
        <w:t xml:space="preserve">ke dni platnosti </w:t>
      </w:r>
      <w:r w:rsidR="00F63116">
        <w:t>Sítě</w:t>
      </w:r>
      <w:r w:rsidRPr="0014254D">
        <w:t xml:space="preserve">, ze které je sociální služba vyřazena, pokud poskytování této sociální služby nebylo ukončeno.  </w:t>
      </w:r>
    </w:p>
    <w:p w:rsidR="00470C1B" w:rsidRPr="0014254D" w:rsidRDefault="00470C1B" w:rsidP="00470C1B">
      <w:pPr>
        <w:pStyle w:val="slovn"/>
        <w:keepLines w:val="0"/>
      </w:pPr>
      <w:r w:rsidRPr="0014254D">
        <w:t>O pozbytí platnosti Pověření je poskytovatel sociálních služeb informován písemným sdělením OSV.</w:t>
      </w:r>
    </w:p>
    <w:p w:rsidR="00470C1B" w:rsidRPr="0014254D" w:rsidRDefault="00470C1B" w:rsidP="00470C1B">
      <w:pPr>
        <w:pStyle w:val="slovn"/>
        <w:keepLines w:val="0"/>
      </w:pPr>
      <w:r w:rsidRPr="0014254D">
        <w:t>Postup pro vydávání Pověření:</w:t>
      </w:r>
      <w:r w:rsidRPr="0014254D">
        <w:tab/>
      </w:r>
    </w:p>
    <w:p w:rsidR="00470C1B" w:rsidRPr="0014254D" w:rsidRDefault="00470C1B" w:rsidP="00B749BB">
      <w:pPr>
        <w:pStyle w:val="slovn2"/>
      </w:pPr>
      <w:r w:rsidRPr="00B749BB">
        <w:t>POVĚŘENÍ</w:t>
      </w:r>
      <w:r w:rsidRPr="0014254D">
        <w:t xml:space="preserve"> je vypracováno dle vzoru Pověření schváleného Zastupitelstvem Olomouckého kraje,</w:t>
      </w:r>
    </w:p>
    <w:p w:rsidR="00470C1B" w:rsidRPr="0014254D" w:rsidRDefault="00470C1B" w:rsidP="00B749BB">
      <w:pPr>
        <w:pStyle w:val="slovn2"/>
      </w:pPr>
      <w:r w:rsidRPr="0014254D">
        <w:t>k </w:t>
      </w:r>
      <w:r w:rsidRPr="00305969">
        <w:t>podpisu</w:t>
      </w:r>
      <w:r w:rsidRPr="0014254D">
        <w:t xml:space="preserve"> Pověření je oprávněn věcně příslušný náměstek. </w:t>
      </w:r>
    </w:p>
    <w:p w:rsidR="00470C1B" w:rsidRPr="0014254D" w:rsidRDefault="00470C1B" w:rsidP="00470C1B">
      <w:pPr>
        <w:pStyle w:val="slovn"/>
        <w:keepLines w:val="0"/>
      </w:pPr>
      <w:r w:rsidRPr="0014254D">
        <w:t>Pověření, které je vydáno způsobem uvedeným v odst. (</w:t>
      </w:r>
      <w:r w:rsidR="00305969">
        <w:t>8</w:t>
      </w:r>
      <w:r w:rsidRPr="0014254D">
        <w:t>) není již schvalováno v orgánech Kraje.</w:t>
      </w:r>
    </w:p>
    <w:p w:rsidR="00470C1B" w:rsidRDefault="00470C1B" w:rsidP="00470C1B">
      <w:pPr>
        <w:pStyle w:val="slovn"/>
      </w:pPr>
      <w:r>
        <w:t xml:space="preserve">Vzor pověření </w:t>
      </w:r>
      <w:r w:rsidRPr="003072CF">
        <w:t xml:space="preserve">poskytováním SOHZ u služeb zařazených do </w:t>
      </w:r>
      <w:r w:rsidR="00F63116">
        <w:t>Sítě</w:t>
      </w:r>
      <w:r>
        <w:t xml:space="preserve"> je uveden v příloze č.</w:t>
      </w:r>
      <w:r w:rsidR="00E514D1">
        <w:t> </w:t>
      </w:r>
      <w:r>
        <w:t xml:space="preserve">1 </w:t>
      </w:r>
      <w:r w:rsidR="00F63116">
        <w:t>Metodiky</w:t>
      </w:r>
      <w:r>
        <w:t xml:space="preserve">. </w:t>
      </w:r>
    </w:p>
    <w:p w:rsidR="00C20EF7" w:rsidRPr="00A57670" w:rsidRDefault="00C20EF7" w:rsidP="009806CF">
      <w:pPr>
        <w:pStyle w:val="Nadpis3"/>
      </w:pPr>
      <w:bookmarkStart w:id="5" w:name="_Ref392150148"/>
      <w:bookmarkStart w:id="6" w:name="_Ref392848448"/>
      <w:bookmarkStart w:id="7" w:name="_Toc393193502"/>
      <w:bookmarkStart w:id="8" w:name="_Toc113362982"/>
      <w:r w:rsidRPr="00A57670">
        <w:t>Popis kompenzačního mechanismu a parametrů pro výpočet vyrovnávací platby</w:t>
      </w:r>
      <w:bookmarkEnd w:id="5"/>
      <w:bookmarkEnd w:id="6"/>
      <w:bookmarkEnd w:id="7"/>
      <w:bookmarkEnd w:id="8"/>
      <w:r w:rsidRPr="00A57670">
        <w:t xml:space="preserve"> </w:t>
      </w:r>
    </w:p>
    <w:p w:rsidR="009806CF" w:rsidRPr="00AA58D9" w:rsidRDefault="00CC5480" w:rsidP="00CC5480">
      <w:pPr>
        <w:pStyle w:val="slovn"/>
        <w:numPr>
          <w:ilvl w:val="1"/>
          <w:numId w:val="44"/>
        </w:numPr>
      </w:pPr>
      <w:r>
        <w:t xml:space="preserve">Kompenzační mechanismus </w:t>
      </w:r>
      <w:r w:rsidR="009806CF" w:rsidRPr="00AA58D9">
        <w:t>zohledňuje systém vícezdrojového financování sociálních služeb v ČR a vyrovnávací platbu stanoví jako maximální s ohledem na skutečnost, že poskytovaná sociální služba může být finančně zajištěna z více veřejných zdrojů. Výše maximální vyrovnávací platby stanoví nejvyšší možný objem dotací z veřejných zdrojů. Při poskytnutí dotací z veřejných zdrojů nad rámec stanovené maximální výše vyrovnávací platby jde o nadměrnou vyrovnávací platbu.</w:t>
      </w:r>
    </w:p>
    <w:p w:rsidR="00C20EF7" w:rsidRPr="00A57670" w:rsidRDefault="00C20EF7" w:rsidP="00CC5480">
      <w:pPr>
        <w:pStyle w:val="slovn"/>
        <w:numPr>
          <w:ilvl w:val="1"/>
          <w:numId w:val="44"/>
        </w:numPr>
      </w:pPr>
      <w:r w:rsidRPr="00A57670">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rsidR="00C20EF7" w:rsidRPr="009F02A4" w:rsidRDefault="00C20EF7" w:rsidP="009F02A4">
      <w:pPr>
        <w:ind w:left="567"/>
        <w:rPr>
          <w:b/>
          <w:i/>
          <w:u w:val="single"/>
        </w:rPr>
      </w:pPr>
      <w:r w:rsidRPr="009F02A4">
        <w:rPr>
          <w:b/>
          <w:i/>
          <w:u w:val="single"/>
        </w:rPr>
        <w:t xml:space="preserve">Vzorec pro výpočet </w:t>
      </w:r>
      <w:r w:rsidRPr="009F02A4">
        <w:rPr>
          <w:b/>
          <w:i/>
          <w:iCs/>
          <w:u w:val="single"/>
        </w:rPr>
        <w:t>VPmax:</w:t>
      </w:r>
    </w:p>
    <w:p w:rsidR="00C20EF7" w:rsidRPr="009F02A4" w:rsidRDefault="00C20EF7" w:rsidP="009F02A4">
      <w:pPr>
        <w:jc w:val="center"/>
        <w:rPr>
          <w:b/>
          <w:i/>
          <w:vertAlign w:val="subscript"/>
        </w:rPr>
      </w:pPr>
      <w:r w:rsidRPr="009F02A4">
        <w:rPr>
          <w:b/>
          <w:i/>
        </w:rPr>
        <w:t>VP</w:t>
      </w:r>
      <w:r w:rsidRPr="0033546A">
        <w:rPr>
          <w:b/>
          <w:i/>
          <w:vertAlign w:val="subscript"/>
        </w:rPr>
        <w:t>max</w:t>
      </w:r>
      <w:r w:rsidRPr="009F02A4">
        <w:rPr>
          <w:b/>
          <w:i/>
        </w:rPr>
        <w:t xml:space="preserve"> = J * J</w:t>
      </w:r>
      <w:r w:rsidRPr="009F02A4">
        <w:rPr>
          <w:b/>
          <w:i/>
          <w:vertAlign w:val="subscript"/>
        </w:rPr>
        <w:t>VPmax</w:t>
      </w:r>
    </w:p>
    <w:p w:rsidR="0022394F" w:rsidRPr="009F02A4" w:rsidRDefault="0022394F" w:rsidP="009F02A4">
      <w:pPr>
        <w:ind w:left="567"/>
        <w:rPr>
          <w:b/>
          <w:i/>
          <w:u w:val="single"/>
        </w:rPr>
      </w:pPr>
      <w:r w:rsidRPr="009F02A4">
        <w:rPr>
          <w:b/>
          <w:i/>
          <w:u w:val="single"/>
        </w:rPr>
        <w:t>Vysvětlivky:</w:t>
      </w:r>
    </w:p>
    <w:p w:rsidR="00C20EF7" w:rsidRPr="0022394F" w:rsidRDefault="00C20EF7" w:rsidP="00AA58D9">
      <w:pPr>
        <w:pStyle w:val="Vysvtlivky"/>
      </w:pPr>
      <w:r w:rsidRPr="0022394F">
        <w:t>VP</w:t>
      </w:r>
      <w:r w:rsidRPr="0033546A">
        <w:rPr>
          <w:vertAlign w:val="subscript"/>
        </w:rPr>
        <w:t>max</w:t>
      </w:r>
      <w:r w:rsidRPr="0022394F">
        <w:t xml:space="preserve"> – maximální vyrovnávací platba, přičemž pokud</w:t>
      </w:r>
    </w:p>
    <w:p w:rsidR="00C20EF7" w:rsidRPr="0022394F" w:rsidRDefault="00C20EF7" w:rsidP="00AA58D9">
      <w:pPr>
        <w:pStyle w:val="Vysvtlivky"/>
        <w:numPr>
          <w:ilvl w:val="1"/>
          <w:numId w:val="4"/>
        </w:numPr>
      </w:pPr>
      <w:r w:rsidRPr="0022394F">
        <w:t>součet všech finančních prostředků získaných z veřejných zdrojů &lt;= VP</w:t>
      </w:r>
      <w:r w:rsidRPr="0033546A">
        <w:rPr>
          <w:vertAlign w:val="subscript"/>
        </w:rPr>
        <w:t>max</w:t>
      </w:r>
      <w:r w:rsidRPr="0022394F">
        <w:t>, nejedná se o nepovolenou veřejnou podporu</w:t>
      </w:r>
      <w:r w:rsidR="00D97BF7" w:rsidRPr="0022394F">
        <w:t>,</w:t>
      </w:r>
    </w:p>
    <w:p w:rsidR="00C20EF7" w:rsidRPr="0022394F" w:rsidRDefault="00C20EF7" w:rsidP="00AA58D9">
      <w:pPr>
        <w:pStyle w:val="Vysvtlivky"/>
        <w:numPr>
          <w:ilvl w:val="1"/>
          <w:numId w:val="4"/>
        </w:numPr>
      </w:pPr>
      <w:r w:rsidRPr="0022394F">
        <w:t>součet všech finančních prostředků získaných z veřejných zdrojů &gt; VP</w:t>
      </w:r>
      <w:r w:rsidRPr="0033546A">
        <w:rPr>
          <w:vertAlign w:val="subscript"/>
        </w:rPr>
        <w:t>max</w:t>
      </w:r>
      <w:r w:rsidRPr="0022394F">
        <w:t>, jedná se</w:t>
      </w:r>
      <w:r w:rsidR="00D97BF7" w:rsidRPr="0022394F">
        <w:t xml:space="preserve"> o nepovolenou veřejnou podporu.</w:t>
      </w:r>
    </w:p>
    <w:p w:rsidR="00C20EF7" w:rsidRPr="0022394F" w:rsidRDefault="00C20EF7" w:rsidP="00AA58D9">
      <w:pPr>
        <w:pStyle w:val="Vysvtlivky"/>
      </w:pPr>
      <w:r w:rsidRPr="0022394F">
        <w:t xml:space="preserve">J – jednotka určená pro výpočet vyrovnávací platby dle druhu a formy sociální služby (registrovaná lůžka nebo úvazky pracovníků v přímé péči). Jednotky a jejich počet </w:t>
      </w:r>
      <w:r w:rsidRPr="0022394F">
        <w:lastRenderedPageBreak/>
        <w:t>jsou uvedeny v</w:t>
      </w:r>
      <w:r w:rsidR="00E514D1">
        <w:t> </w:t>
      </w:r>
      <w:r w:rsidRPr="0022394F">
        <w:t>Síti</w:t>
      </w:r>
      <w:r w:rsidR="00E514D1">
        <w:t xml:space="preserve"> </w:t>
      </w:r>
      <w:r w:rsidRPr="0022394F">
        <w:t>služeb schválené pro daný kalendářní rok Zastupitelstvem Olomouckého kraje.</w:t>
      </w:r>
    </w:p>
    <w:p w:rsidR="00C20EF7" w:rsidRPr="0022394F" w:rsidRDefault="00C20EF7" w:rsidP="00AA58D9">
      <w:pPr>
        <w:pStyle w:val="Vysvtlivky"/>
      </w:pPr>
      <w:r w:rsidRPr="0022394F">
        <w:t>J</w:t>
      </w:r>
      <w:r w:rsidRPr="0033546A">
        <w:rPr>
          <w:vertAlign w:val="subscript"/>
        </w:rPr>
        <w:t>VPmax</w:t>
      </w:r>
      <w:r w:rsidRPr="0022394F">
        <w:t xml:space="preserve"> – hodnota stanovená jako maximální vyrovnávací platba na jednotku, přičemž J</w:t>
      </w:r>
      <w:r w:rsidRPr="0033546A">
        <w:rPr>
          <w:vertAlign w:val="subscript"/>
        </w:rPr>
        <w:t>VPmax</w:t>
      </w:r>
      <w:r w:rsidRPr="0022394F">
        <w:t xml:space="preserve"> = Z * I; výsledek je zaokrouhlen na stovky nahoru</w:t>
      </w:r>
      <w:r w:rsidR="00D97BF7" w:rsidRPr="0022394F">
        <w:t>.</w:t>
      </w:r>
    </w:p>
    <w:p w:rsidR="00C20EF7" w:rsidRPr="0022394F" w:rsidRDefault="00C20EF7" w:rsidP="00AA58D9">
      <w:pPr>
        <w:pStyle w:val="Vysvtlivky"/>
      </w:pPr>
      <w:r w:rsidRPr="0022394F">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rsidR="00C20EF7" w:rsidRPr="0022394F" w:rsidRDefault="00C20EF7" w:rsidP="00AA58D9">
      <w:pPr>
        <w:pStyle w:val="Vysvtlivky"/>
      </w:pPr>
      <w:r w:rsidRPr="0022394F">
        <w:t>I – navýšení o inflaci a další nepředpokládané výdaje</w:t>
      </w:r>
      <w:r w:rsidR="00D97BF7" w:rsidRPr="0022394F">
        <w:t>.</w:t>
      </w:r>
    </w:p>
    <w:p w:rsidR="00C20EF7" w:rsidRPr="00A57670" w:rsidRDefault="00C20EF7" w:rsidP="00CC5480">
      <w:pPr>
        <w:pStyle w:val="slovn"/>
        <w:numPr>
          <w:ilvl w:val="1"/>
          <w:numId w:val="44"/>
        </w:numPr>
      </w:pPr>
      <w:r w:rsidRPr="00A57670">
        <w:t>Jednotka a parametr</w:t>
      </w:r>
      <w:r w:rsidR="00327962">
        <w:t xml:space="preserve">y </w:t>
      </w:r>
      <w:r w:rsidRPr="00A57670">
        <w:t>Z</w:t>
      </w:r>
      <w:r w:rsidR="00327962">
        <w:t> a J</w:t>
      </w:r>
      <w:r w:rsidR="00327962" w:rsidRPr="00327962">
        <w:rPr>
          <w:vertAlign w:val="subscript"/>
        </w:rPr>
        <w:t>VPmax</w:t>
      </w:r>
      <w:r w:rsidR="00327962">
        <w:rPr>
          <w:vertAlign w:val="subscript"/>
        </w:rPr>
        <w:t xml:space="preserve"> </w:t>
      </w:r>
      <w:r w:rsidRPr="00A57670">
        <w:t xml:space="preserve">pro výpočet výše vyrovnávací platby u daného druhu sociální služby jsou uvedeny v  Příloze č. </w:t>
      </w:r>
      <w:r w:rsidR="00FD31AA">
        <w:t>3</w:t>
      </w:r>
      <w:r w:rsidRPr="00A57670">
        <w:t xml:space="preserve"> </w:t>
      </w:r>
      <w:r w:rsidR="00470C1B">
        <w:t xml:space="preserve">této </w:t>
      </w:r>
      <w:r w:rsidR="00F63116">
        <w:t>Metodiky</w:t>
      </w:r>
      <w:r w:rsidRPr="00A57670">
        <w:t>.</w:t>
      </w:r>
      <w:r w:rsidR="00CC5480">
        <w:t xml:space="preserve"> </w:t>
      </w:r>
    </w:p>
    <w:p w:rsidR="00C20EF7" w:rsidRPr="00A57670" w:rsidRDefault="00E01DBD" w:rsidP="00804E10">
      <w:pPr>
        <w:pStyle w:val="Nadpis3"/>
      </w:pPr>
      <w:bookmarkStart w:id="9" w:name="_Toc393193503"/>
      <w:bookmarkStart w:id="10" w:name="_Toc113362983"/>
      <w:r w:rsidRPr="00A57670">
        <w:t>P</w:t>
      </w:r>
      <w:r w:rsidR="00C20EF7" w:rsidRPr="00A57670">
        <w:t>řezkoumání vyrovnávací platby</w:t>
      </w:r>
      <w:bookmarkEnd w:id="9"/>
      <w:r w:rsidRPr="00A57670">
        <w:t xml:space="preserve"> a kontrola</w:t>
      </w:r>
      <w:bookmarkEnd w:id="10"/>
    </w:p>
    <w:p w:rsidR="00C20EF7" w:rsidRPr="00A57670" w:rsidRDefault="00C20EF7" w:rsidP="009F02A4">
      <w:pPr>
        <w:pStyle w:val="slovn"/>
        <w:numPr>
          <w:ilvl w:val="1"/>
          <w:numId w:val="8"/>
        </w:numPr>
      </w:pPr>
      <w:r w:rsidRPr="00A57670">
        <w:t xml:space="preserve">Podnik je povinen sdělit poskytovateli všechny subjekty poskytující mu finanční prostředky (dotace) z veřejných rozpočtů, jež byly poskytnuty na zajištění sociálních služeb, a to včetně výše jednotlivých dotací či příspěvků z těchto zdrojů. </w:t>
      </w:r>
    </w:p>
    <w:p w:rsidR="00C20EF7" w:rsidRPr="00A57670" w:rsidRDefault="00C20EF7" w:rsidP="00470C1B">
      <w:pPr>
        <w:pStyle w:val="slovn"/>
      </w:pPr>
      <w:r w:rsidRPr="00A57670">
        <w:t>Podnik předloží do 2</w:t>
      </w:r>
      <w:r w:rsidR="009A0954" w:rsidRPr="00A57670">
        <w:t>3</w:t>
      </w:r>
      <w:r w:rsidR="00CB1BA9" w:rsidRPr="00A57670">
        <w:t>.0</w:t>
      </w:r>
      <w:r w:rsidRPr="00A57670">
        <w:t>1.</w:t>
      </w:r>
      <w:r w:rsidR="00E55E3D">
        <w:t xml:space="preserve"> </w:t>
      </w:r>
      <w:r w:rsidRPr="00A57670">
        <w:t xml:space="preserve">následujícího roku poskytovateli stanoveným způsobem (prostřednictvím aplikace KISSoS) podklady pro výpočet výše vyrovnávací platby. Při poskytnutí finančních prostředků z veřejných rozpočtů nad rámec maximální vyrovnávací platby jde o nepovolenou veřejnou podporu (tzv. </w:t>
      </w:r>
      <w:r w:rsidR="007D095A" w:rsidRPr="00A57670">
        <w:t>překompenzace</w:t>
      </w:r>
      <w:r w:rsidRPr="00A57670">
        <w:t>), kterou je povinen podnik vrátit pověřovateli.</w:t>
      </w:r>
    </w:p>
    <w:bookmarkEnd w:id="2"/>
    <w:p w:rsidR="00C20EF7" w:rsidRPr="00A57670" w:rsidRDefault="00C20EF7" w:rsidP="00CC5480">
      <w:pPr>
        <w:pStyle w:val="slovn"/>
        <w:numPr>
          <w:ilvl w:val="1"/>
          <w:numId w:val="44"/>
        </w:numPr>
      </w:pPr>
      <w:r w:rsidRPr="00A57670">
        <w:t>Povinnosti uvedené v předchozích odstavcích se nevztahují na podniky, které na zajištění závazku veřejné služby v souvislosti s  Pověřením nečerpají finanční prostředky poskytované pověřovatelem. Tím však není dotčena povinnost podniku vůči jiným poskytovatelům finančních prostředků z veřejných rozpočtů.</w:t>
      </w:r>
    </w:p>
    <w:p w:rsidR="00DE6248" w:rsidRPr="00A57670" w:rsidRDefault="00DE6248" w:rsidP="00CC5480">
      <w:pPr>
        <w:pStyle w:val="slovn"/>
        <w:numPr>
          <w:ilvl w:val="1"/>
          <w:numId w:val="44"/>
        </w:numPr>
      </w:pPr>
      <w:r w:rsidRPr="00A57670">
        <w:t xml:space="preserve">Nepředložení podkladů pro výpočet výše vyrovnávací platby nebo nedodržení termínu pro předložení podkladů pro výpočet výše vyrovnávací platby je důvodem pro </w:t>
      </w:r>
      <w:r w:rsidR="001F55D5" w:rsidRPr="00A57670">
        <w:t xml:space="preserve">neposkytnutí </w:t>
      </w:r>
      <w:r w:rsidRPr="00A57670">
        <w:t xml:space="preserve">dotace na </w:t>
      </w:r>
      <w:r w:rsidR="001F55D5" w:rsidRPr="00A57670">
        <w:t xml:space="preserve">následující </w:t>
      </w:r>
      <w:r w:rsidRPr="00A57670">
        <w:t>rok.</w:t>
      </w:r>
    </w:p>
    <w:p w:rsidR="00E01DBD" w:rsidRPr="00A57670" w:rsidRDefault="00E01DBD" w:rsidP="00804E10">
      <w:pPr>
        <w:pStyle w:val="slovn"/>
        <w:numPr>
          <w:ilvl w:val="1"/>
          <w:numId w:val="44"/>
        </w:numPr>
      </w:pPr>
      <w:r w:rsidRPr="00A57670">
        <w:t>Kontrola použití dotace je zaměřena na dodržení stanoveného účelu a splnění smluvních podmínek použití finančních prostředků, včetně kontroly údajů týkajících se vyrovnávací platby (překompenzace).</w:t>
      </w:r>
    </w:p>
    <w:p w:rsidR="00E01DBD" w:rsidRPr="00A57670" w:rsidRDefault="00E01DBD" w:rsidP="00CC5480">
      <w:pPr>
        <w:pStyle w:val="slovn"/>
        <w:numPr>
          <w:ilvl w:val="1"/>
          <w:numId w:val="44"/>
        </w:numPr>
      </w:pPr>
      <w:r w:rsidRPr="00A57670">
        <w:t xml:space="preserve">Příjemce je povinen v souladu se zákonem č. 320/2001 Sb., o finanční kontrole ve veřejné správě a o změně některých zákonů, ve znění pozdějších předpisů, a v souladu s dalšími právními předpisy České republiky, vytvořit podmínky pro výkon kontroly, předložit dokumenty vztahující se k poskytnuté dotaci a poskytnout součinnost všem osobám oprávněným k provádění kontroly, příp. jejich zmocněncům. </w:t>
      </w:r>
    </w:p>
    <w:p w:rsidR="00E01DBD" w:rsidRPr="00A57670" w:rsidRDefault="00E01DBD" w:rsidP="00CC5480">
      <w:pPr>
        <w:pStyle w:val="slovn"/>
        <w:numPr>
          <w:ilvl w:val="1"/>
          <w:numId w:val="44"/>
        </w:numPr>
      </w:pPr>
      <w:r w:rsidRPr="00A57670">
        <w:t xml:space="preserve">Příjemce je povinen realizovat nápravná opatření, která mu byla uložena na základě prováděných kontrol, a to v požadovaném termínu, rozsahu a kvalitě a v souladu s § 18 zákona č. 320/2001 Sb., o finanční kontrole, ve znění pozdějších předpisů, a informovat o splnění nápravných opatření toho, kdo tato nápravná opatření uložil. </w:t>
      </w:r>
    </w:p>
    <w:p w:rsidR="00E01DBD" w:rsidRDefault="00E01DBD" w:rsidP="00CC5480">
      <w:pPr>
        <w:pStyle w:val="slovn"/>
        <w:numPr>
          <w:ilvl w:val="1"/>
          <w:numId w:val="44"/>
        </w:numPr>
      </w:pPr>
      <w:r w:rsidRPr="00A57670">
        <w:lastRenderedPageBreak/>
        <w:t>Příjemce je rovněž povinen umožnit poskytovateli nebo jím pověřeným osobám provedení kontroly naplňování rozsahu</w:t>
      </w:r>
      <w:r w:rsidR="00855E2E" w:rsidRPr="00A57670">
        <w:t xml:space="preserve"> poskytování sociální služby vyplývajícího z pověření </w:t>
      </w:r>
      <w:r w:rsidRPr="00A57670">
        <w:t>poskytování</w:t>
      </w:r>
      <w:r w:rsidR="00855E2E" w:rsidRPr="00A57670">
        <w:t>m</w:t>
      </w:r>
      <w:r w:rsidRPr="00A57670">
        <w:t xml:space="preserve"> </w:t>
      </w:r>
      <w:r w:rsidR="00855E2E" w:rsidRPr="00A57670">
        <w:t>služby obecného hospodářského zájmu</w:t>
      </w:r>
      <w:r w:rsidRPr="00A57670">
        <w:t xml:space="preserve"> dle čl. </w:t>
      </w:r>
      <w:r w:rsidR="00804E10">
        <w:t>2</w:t>
      </w:r>
      <w:r w:rsidRPr="00A57670">
        <w:t>.1</w:t>
      </w:r>
      <w:r w:rsidR="00B57EB8" w:rsidRPr="00A57670">
        <w:t>.; p</w:t>
      </w:r>
      <w:r w:rsidRPr="00A57670">
        <w:t>ři této kontrole je příjemce povinen poskytnout veškerou poskytovatelem požadovanou součinnost.</w:t>
      </w:r>
    </w:p>
    <w:p w:rsidR="003072CF" w:rsidRDefault="003072CF" w:rsidP="003072CF">
      <w:pPr>
        <w:pStyle w:val="Nadpis2"/>
      </w:pPr>
      <w:bookmarkStart w:id="11" w:name="_Toc113362984"/>
      <w:r w:rsidRPr="00A57670">
        <w:t xml:space="preserve">Pověření poskytováním </w:t>
      </w:r>
      <w:r>
        <w:t xml:space="preserve">SOHZ u služeb nezařazených do </w:t>
      </w:r>
      <w:r w:rsidR="00F63116">
        <w:t>Sítě</w:t>
      </w:r>
      <w:bookmarkEnd w:id="11"/>
    </w:p>
    <w:p w:rsidR="006166B2" w:rsidRDefault="006166B2" w:rsidP="006166B2">
      <w:pPr>
        <w:pStyle w:val="slovn"/>
        <w:numPr>
          <w:ilvl w:val="1"/>
          <w:numId w:val="45"/>
        </w:numPr>
      </w:pPr>
      <w:r>
        <w:t xml:space="preserve">Pověřovatel může </w:t>
      </w:r>
      <w:r w:rsidRPr="00A57670">
        <w:t>pověř</w:t>
      </w:r>
      <w:r>
        <w:t>it</w:t>
      </w:r>
      <w:r w:rsidRPr="00A57670">
        <w:t xml:space="preserve"> poskytováním </w:t>
      </w:r>
      <w:r>
        <w:t xml:space="preserve">SOHZ </w:t>
      </w:r>
      <w:r w:rsidR="00CE26E7">
        <w:t>podniky</w:t>
      </w:r>
      <w:r w:rsidRPr="00A57670">
        <w:t>,</w:t>
      </w:r>
      <w:r>
        <w:t xml:space="preserve"> které poskytují sociální služby na území Olomouckého kraje, které nejsou zařazeny do </w:t>
      </w:r>
      <w:r w:rsidR="00F63116">
        <w:t>Sítě</w:t>
      </w:r>
      <w:r>
        <w:t>, nebo mají záměr sociální služby na území Olomouckého kraje poskytovat.</w:t>
      </w:r>
    </w:p>
    <w:p w:rsidR="00E01F7E" w:rsidRPr="000F5C18" w:rsidRDefault="00E01F7E" w:rsidP="00E01F7E">
      <w:pPr>
        <w:pStyle w:val="slovn"/>
      </w:pPr>
      <w:r w:rsidRPr="000F5C18">
        <w:t>Službám pověřeným SOHZ dle odst. (1) nebude poskytována vyrovnávací platba za závazek veřejné služby.</w:t>
      </w:r>
    </w:p>
    <w:p w:rsidR="00B239DB" w:rsidRDefault="00F91679" w:rsidP="00B239DB">
      <w:pPr>
        <w:pStyle w:val="slovn"/>
      </w:pPr>
      <w:r>
        <w:t xml:space="preserve">Pověřovatel může </w:t>
      </w:r>
      <w:r w:rsidRPr="00A57670">
        <w:t>pověř</w:t>
      </w:r>
      <w:r>
        <w:t>it</w:t>
      </w:r>
      <w:r w:rsidRPr="00A57670">
        <w:t xml:space="preserve"> </w:t>
      </w:r>
      <w:r w:rsidR="00C625BD">
        <w:t xml:space="preserve">podle této části Metodiky </w:t>
      </w:r>
      <w:r w:rsidRPr="00A57670">
        <w:t xml:space="preserve">poskytováním </w:t>
      </w:r>
      <w:r>
        <w:t xml:space="preserve">SOHZ podnik </w:t>
      </w:r>
      <w:r w:rsidRPr="00F91679">
        <w:t xml:space="preserve">pouze v případě, že </w:t>
      </w:r>
      <w:r w:rsidR="00573D04">
        <w:t xml:space="preserve">existuje </w:t>
      </w:r>
      <w:r w:rsidR="00573D04" w:rsidRPr="00B239DB">
        <w:t>předpoklad</w:t>
      </w:r>
      <w:r w:rsidR="00573D04">
        <w:t xml:space="preserve"> využití sociálních služeb osobami v nepříznivé sociální situaci</w:t>
      </w:r>
      <w:r w:rsidR="007D395D">
        <w:t xml:space="preserve">, </w:t>
      </w:r>
      <w:r w:rsidR="00B239DB">
        <w:t xml:space="preserve">což </w:t>
      </w:r>
      <w:r w:rsidRPr="00F91679">
        <w:t>pověřovatel vyhodnocuje zejména na základě následujících podkladů: Střednědobého plánu rozvoje sociálních služeb Olomouckého kraje, střednědobého plánu rozvoje sociálních služeb obce/města, vyjádření příslušného obecního úřadu obce s rozšířenou působností a dále rovněž z vyhodnocení aktuální potřebnosti poskytování sociálních služeb.</w:t>
      </w:r>
      <w:r w:rsidR="00B239DB">
        <w:t xml:space="preserve"> </w:t>
      </w:r>
    </w:p>
    <w:p w:rsidR="006166B2" w:rsidRDefault="006166B2" w:rsidP="00B749BB">
      <w:pPr>
        <w:pStyle w:val="slovn"/>
      </w:pPr>
      <w:r w:rsidRPr="00B749BB">
        <w:t>Pověření</w:t>
      </w:r>
      <w:r>
        <w:t xml:space="preserve"> obsahuje</w:t>
      </w:r>
    </w:p>
    <w:p w:rsidR="006166B2" w:rsidRPr="00305969" w:rsidRDefault="006166B2" w:rsidP="00B749BB">
      <w:pPr>
        <w:pStyle w:val="slovn2"/>
      </w:pPr>
      <w:r w:rsidRPr="00B749BB">
        <w:t>náplň</w:t>
      </w:r>
      <w:r w:rsidRPr="00305969">
        <w:t xml:space="preserve"> a trvání závazku veřejné služby,</w:t>
      </w:r>
    </w:p>
    <w:p w:rsidR="006166B2" w:rsidRPr="00305969" w:rsidRDefault="006166B2" w:rsidP="00B749BB">
      <w:pPr>
        <w:pStyle w:val="slovn2"/>
      </w:pPr>
      <w:r w:rsidRPr="00305969">
        <w:t>identifikace podniku, případně, o které území se jedná,</w:t>
      </w:r>
    </w:p>
    <w:p w:rsidR="006166B2" w:rsidRPr="00305969" w:rsidRDefault="006166B2" w:rsidP="00B749BB">
      <w:pPr>
        <w:pStyle w:val="slovn2"/>
      </w:pPr>
      <w:r w:rsidRPr="00305969">
        <w:t>povahu jakýchkoliv výhradních nebo zvláštních práv,</w:t>
      </w:r>
    </w:p>
    <w:p w:rsidR="006166B2" w:rsidRPr="00305969" w:rsidRDefault="006166B2" w:rsidP="00B749BB">
      <w:pPr>
        <w:pStyle w:val="slovn2"/>
      </w:pPr>
      <w:r w:rsidRPr="00305969">
        <w:t xml:space="preserve">odkaz na Rozhodnutí 2012/21/EU.   </w:t>
      </w:r>
    </w:p>
    <w:p w:rsidR="00E514D1" w:rsidRDefault="006C7A64" w:rsidP="00B749BB">
      <w:pPr>
        <w:pStyle w:val="slovn"/>
      </w:pPr>
      <w:r w:rsidRPr="00B749BB">
        <w:t>Pověření</w:t>
      </w:r>
      <w:r w:rsidRPr="00DA76F4">
        <w:t xml:space="preserve"> zaniká</w:t>
      </w:r>
      <w:r w:rsidR="00B749BB">
        <w:t xml:space="preserve"> </w:t>
      </w:r>
    </w:p>
    <w:p w:rsidR="006C7A64" w:rsidRDefault="006C7A64" w:rsidP="00E514D1">
      <w:pPr>
        <w:pStyle w:val="slovn2"/>
      </w:pPr>
      <w:r w:rsidRPr="00DA76F4">
        <w:t>uplynutím doby, na kterou je podnik pověřen poskytováním SOHZ</w:t>
      </w:r>
      <w:r w:rsidR="00E514D1">
        <w:t>,</w:t>
      </w:r>
    </w:p>
    <w:p w:rsidR="00557213" w:rsidRDefault="00C625BD" w:rsidP="00E514D1">
      <w:pPr>
        <w:pStyle w:val="slovn2"/>
      </w:pPr>
      <w:r>
        <w:t xml:space="preserve">zrušením pověření SOHZ na základě </w:t>
      </w:r>
      <w:r w:rsidR="00E514D1" w:rsidRPr="00E514D1">
        <w:t>nedodržení podmínek uvedených v právním aktu</w:t>
      </w:r>
      <w:r>
        <w:t>, jímž jsou poskytnuty finanční prostředky poskytovatelem dotace z veřejných rozpočtů odlišným od pověřovatele</w:t>
      </w:r>
      <w:r w:rsidR="00E514D1" w:rsidRPr="00E514D1">
        <w:t>.</w:t>
      </w:r>
    </w:p>
    <w:p w:rsidR="00557213" w:rsidRPr="0014254D" w:rsidRDefault="00557213" w:rsidP="00557213">
      <w:pPr>
        <w:pStyle w:val="slovn"/>
        <w:keepLines w:val="0"/>
      </w:pPr>
      <w:r w:rsidRPr="0014254D">
        <w:t>Postup pro vydávání Pověření:</w:t>
      </w:r>
      <w:r w:rsidRPr="0014254D">
        <w:tab/>
      </w:r>
    </w:p>
    <w:p w:rsidR="00557213" w:rsidRPr="0014254D" w:rsidRDefault="00557213" w:rsidP="00557213">
      <w:pPr>
        <w:pStyle w:val="slovn2"/>
      </w:pPr>
      <w:r w:rsidRPr="00B749BB">
        <w:t>POVĚŘENÍ</w:t>
      </w:r>
      <w:r w:rsidRPr="0014254D">
        <w:t xml:space="preserve"> je vypracováno dle vzoru Pověření schváleného Zastupitelstvem Olomouckého kraje,</w:t>
      </w:r>
    </w:p>
    <w:p w:rsidR="00557213" w:rsidRPr="0014254D" w:rsidRDefault="00557213" w:rsidP="00557213">
      <w:pPr>
        <w:pStyle w:val="slovn2"/>
      </w:pPr>
      <w:r w:rsidRPr="0014254D">
        <w:t>k </w:t>
      </w:r>
      <w:r w:rsidRPr="00305969">
        <w:t>podpisu</w:t>
      </w:r>
      <w:r w:rsidRPr="0014254D">
        <w:t xml:space="preserve"> Pověření je oprávněn věcně příslušný náměstek. </w:t>
      </w:r>
    </w:p>
    <w:p w:rsidR="00E514D1" w:rsidRPr="00E514D1" w:rsidRDefault="00557213" w:rsidP="00557213">
      <w:pPr>
        <w:pStyle w:val="slovn"/>
        <w:keepLines w:val="0"/>
      </w:pPr>
      <w:r w:rsidRPr="0014254D">
        <w:t>Pověření, které je vydáno způsobem uvedeným v odst. (</w:t>
      </w:r>
      <w:r>
        <w:t>6</w:t>
      </w:r>
      <w:r w:rsidRPr="0014254D">
        <w:t>) není již schvalováno v orgánech Kraje.</w:t>
      </w:r>
      <w:r w:rsidR="00E514D1" w:rsidRPr="00E514D1">
        <w:t xml:space="preserve">  </w:t>
      </w:r>
    </w:p>
    <w:p w:rsidR="003D59A0" w:rsidRDefault="003D59A0" w:rsidP="003D59A0">
      <w:pPr>
        <w:pStyle w:val="slovn"/>
      </w:pPr>
      <w:r>
        <w:t xml:space="preserve">Vzor pověření </w:t>
      </w:r>
      <w:r w:rsidRPr="003072CF">
        <w:t xml:space="preserve">poskytováním SOHZ u služeb </w:t>
      </w:r>
      <w:r>
        <w:t>ne</w:t>
      </w:r>
      <w:r w:rsidRPr="003072CF">
        <w:t xml:space="preserve">zařazených do </w:t>
      </w:r>
      <w:r w:rsidR="00F63116">
        <w:t>Sítě</w:t>
      </w:r>
      <w:r>
        <w:t xml:space="preserve"> je uveden v příloze č. </w:t>
      </w:r>
      <w:r w:rsidR="00FD31AA">
        <w:t>2</w:t>
      </w:r>
      <w:r>
        <w:t xml:space="preserve"> </w:t>
      </w:r>
      <w:r w:rsidR="00470C1B">
        <w:t xml:space="preserve">této </w:t>
      </w:r>
      <w:r w:rsidR="00F63116">
        <w:t>Metodiky</w:t>
      </w:r>
      <w:r>
        <w:t>.</w:t>
      </w:r>
    </w:p>
    <w:p w:rsidR="004B7A32" w:rsidRPr="00C625BD" w:rsidRDefault="006166B2" w:rsidP="000433CA">
      <w:pPr>
        <w:pStyle w:val="slovn"/>
        <w:rPr>
          <w:sz w:val="32"/>
        </w:rPr>
      </w:pPr>
      <w:r>
        <w:lastRenderedPageBreak/>
        <w:t xml:space="preserve">Pověření podle </w:t>
      </w:r>
      <w:r w:rsidR="00470C1B">
        <w:t xml:space="preserve">této </w:t>
      </w:r>
      <w:r w:rsidR="00C625BD">
        <w:t xml:space="preserve">části </w:t>
      </w:r>
      <w:r w:rsidR="00F63116">
        <w:t>Metodiky</w:t>
      </w:r>
      <w:r w:rsidR="003D59A0">
        <w:t xml:space="preserve"> </w:t>
      </w:r>
      <w:r>
        <w:t xml:space="preserve">nezakládá nárok na zařazení sociální služby do </w:t>
      </w:r>
      <w:r w:rsidR="00F63116">
        <w:t>Sítě</w:t>
      </w:r>
      <w:r>
        <w:t xml:space="preserve"> sociálních služeb Olomouckého kraje. Sociální služba pověřená poskytováním </w:t>
      </w:r>
      <w:r w:rsidR="004B7A32">
        <w:t>SOHZ</w:t>
      </w:r>
      <w:r>
        <w:t xml:space="preserve"> </w:t>
      </w:r>
      <w:r w:rsidR="00C625BD">
        <w:t xml:space="preserve">podle této části Metodiky </w:t>
      </w:r>
      <w:r w:rsidR="00E01F7E">
        <w:t xml:space="preserve">nevylučuje zařazení do Sítě </w:t>
      </w:r>
      <w:r>
        <w:t xml:space="preserve">na základě žádosti podané podle Postupu </w:t>
      </w:r>
      <w:r w:rsidR="004B7A32">
        <w:t xml:space="preserve">pro </w:t>
      </w:r>
      <w:r>
        <w:t>aktualizac</w:t>
      </w:r>
      <w:r w:rsidR="004B7A32">
        <w:t>i</w:t>
      </w:r>
      <w:r>
        <w:t xml:space="preserve"> </w:t>
      </w:r>
      <w:r w:rsidR="00F63116">
        <w:t>Sítě</w:t>
      </w:r>
      <w:r>
        <w:t xml:space="preserve"> sociálních služeb Olomouckého kraje.</w:t>
      </w:r>
    </w:p>
    <w:p w:rsidR="00D91925" w:rsidRDefault="00D91925" w:rsidP="00D91925">
      <w:pPr>
        <w:pStyle w:val="slovn"/>
        <w:numPr>
          <w:ilvl w:val="0"/>
          <w:numId w:val="0"/>
        </w:numPr>
        <w:ind w:left="567"/>
      </w:pPr>
    </w:p>
    <w:p w:rsidR="00D91925" w:rsidRPr="00A57670" w:rsidRDefault="00D91925" w:rsidP="00D91925">
      <w:pPr>
        <w:pStyle w:val="slovn"/>
        <w:numPr>
          <w:ilvl w:val="0"/>
          <w:numId w:val="0"/>
        </w:numPr>
        <w:ind w:left="567"/>
        <w:rPr>
          <w:sz w:val="32"/>
        </w:rPr>
      </w:pPr>
    </w:p>
    <w:p w:rsidR="004B7A32" w:rsidRDefault="004B7A32">
      <w:pPr>
        <w:spacing w:before="0" w:after="200"/>
        <w:jc w:val="left"/>
        <w:rPr>
          <w:b/>
          <w:sz w:val="32"/>
        </w:rPr>
      </w:pPr>
      <w:r>
        <w:br w:type="page"/>
      </w:r>
    </w:p>
    <w:p w:rsidR="00C20EF7" w:rsidRPr="00A57670" w:rsidRDefault="00C20EF7" w:rsidP="00AA58D9">
      <w:pPr>
        <w:pStyle w:val="Nadpis4"/>
      </w:pPr>
      <w:bookmarkStart w:id="12" w:name="_Toc113362985"/>
      <w:r w:rsidRPr="00A57670">
        <w:lastRenderedPageBreak/>
        <w:t>Přílohy:</w:t>
      </w:r>
      <w:bookmarkEnd w:id="12"/>
    </w:p>
    <w:p w:rsidR="00C20EF7" w:rsidRPr="00A57670" w:rsidRDefault="00C20EF7" w:rsidP="00AA58D9"/>
    <w:p w:rsidR="00B77237" w:rsidRDefault="0099256A" w:rsidP="00220E5A">
      <w:pPr>
        <w:pStyle w:val="Nadpis5"/>
      </w:pPr>
      <w:r w:rsidRPr="00A57670">
        <w:t xml:space="preserve">Příloha č. </w:t>
      </w:r>
      <w:r w:rsidR="00EE3212">
        <w:t>1</w:t>
      </w:r>
      <w:r w:rsidRPr="00A57670">
        <w:t xml:space="preserve"> – </w:t>
      </w:r>
      <w:r w:rsidR="00220E5A" w:rsidRPr="00220E5A">
        <w:t xml:space="preserve">Vzor pověření poskytováním SOHZ u služeb zařazených do </w:t>
      </w:r>
      <w:r w:rsidR="00F63116">
        <w:t>Sítě</w:t>
      </w:r>
    </w:p>
    <w:p w:rsidR="0027684F" w:rsidRPr="0027684F" w:rsidRDefault="0027684F" w:rsidP="0027684F">
      <w:pPr>
        <w:spacing w:before="0" w:line="240" w:lineRule="auto"/>
        <w:jc w:val="center"/>
        <w:rPr>
          <w:rFonts w:eastAsia="Times New Roman"/>
          <w:b/>
          <w:spacing w:val="20"/>
          <w:sz w:val="32"/>
          <w:szCs w:val="24"/>
          <w:lang w:eastAsia="cs-CZ"/>
        </w:rPr>
      </w:pPr>
      <w:r w:rsidRPr="0027684F">
        <w:rPr>
          <w:rFonts w:eastAsia="Times New Roman"/>
          <w:b/>
          <w:spacing w:val="20"/>
          <w:sz w:val="32"/>
          <w:szCs w:val="24"/>
          <w:lang w:eastAsia="cs-CZ"/>
        </w:rPr>
        <w:t>POVĚŘENÍ</w:t>
      </w:r>
    </w:p>
    <w:p w:rsidR="0027684F" w:rsidRPr="0027684F" w:rsidRDefault="0027684F" w:rsidP="0027684F">
      <w:pPr>
        <w:spacing w:before="0" w:line="240" w:lineRule="auto"/>
        <w:jc w:val="center"/>
        <w:rPr>
          <w:rFonts w:eastAsia="Times New Roman"/>
          <w:b/>
          <w:spacing w:val="20"/>
          <w:sz w:val="32"/>
          <w:szCs w:val="24"/>
          <w:lang w:eastAsia="cs-CZ"/>
        </w:rPr>
      </w:pPr>
      <w:r w:rsidRPr="0027684F">
        <w:rPr>
          <w:rFonts w:eastAsia="Times New Roman"/>
          <w:b/>
          <w:spacing w:val="20"/>
          <w:sz w:val="32"/>
          <w:szCs w:val="24"/>
          <w:lang w:eastAsia="cs-CZ"/>
        </w:rPr>
        <w:t>k výkonu služby obecného hospodářského zájmu</w:t>
      </w:r>
    </w:p>
    <w:p w:rsidR="0027684F" w:rsidRPr="0027684F" w:rsidRDefault="0027684F" w:rsidP="0027684F">
      <w:pPr>
        <w:spacing w:before="0" w:line="240" w:lineRule="auto"/>
        <w:jc w:val="center"/>
        <w:rPr>
          <w:rFonts w:eastAsia="Times New Roman"/>
          <w:b/>
          <w:spacing w:val="20"/>
          <w:sz w:val="32"/>
          <w:szCs w:val="24"/>
          <w:lang w:eastAsia="cs-CZ"/>
        </w:rPr>
      </w:pPr>
      <w:r w:rsidRPr="0027684F">
        <w:rPr>
          <w:rFonts w:eastAsia="Times New Roman"/>
          <w:b/>
          <w:spacing w:val="20"/>
          <w:sz w:val="32"/>
          <w:szCs w:val="24"/>
          <w:lang w:eastAsia="cs-CZ"/>
        </w:rPr>
        <w:t xml:space="preserve">č. j.: </w:t>
      </w:r>
      <w:r w:rsidRPr="0027684F">
        <w:rPr>
          <w:rFonts w:eastAsia="Times New Roman"/>
          <w:b/>
          <w:spacing w:val="20"/>
          <w:sz w:val="32"/>
          <w:szCs w:val="24"/>
          <w:lang w:eastAsia="cs-CZ"/>
        </w:rPr>
        <w:fldChar w:fldCharType="begin"/>
      </w:r>
      <w:r w:rsidRPr="0027684F">
        <w:rPr>
          <w:rFonts w:eastAsia="Times New Roman"/>
          <w:b/>
          <w:spacing w:val="20"/>
          <w:sz w:val="32"/>
          <w:szCs w:val="24"/>
          <w:lang w:eastAsia="cs-CZ"/>
        </w:rPr>
        <w:instrText xml:space="preserve"> MERGEFIELD pověření </w:instrText>
      </w:r>
      <w:r w:rsidRPr="0027684F">
        <w:rPr>
          <w:rFonts w:eastAsia="Times New Roman"/>
          <w:b/>
          <w:spacing w:val="20"/>
          <w:sz w:val="32"/>
          <w:szCs w:val="24"/>
          <w:lang w:eastAsia="cs-CZ"/>
        </w:rPr>
        <w:fldChar w:fldCharType="separate"/>
      </w:r>
      <w:r w:rsidRPr="0027684F">
        <w:rPr>
          <w:rFonts w:eastAsia="Times New Roman"/>
          <w:b/>
          <w:noProof/>
          <w:spacing w:val="20"/>
          <w:sz w:val="32"/>
          <w:szCs w:val="24"/>
          <w:lang w:eastAsia="cs-CZ"/>
        </w:rPr>
        <w:t>POV/2021-2023/852163/1</w:t>
      </w:r>
      <w:r w:rsidRPr="0027684F">
        <w:rPr>
          <w:rFonts w:eastAsia="Times New Roman"/>
          <w:b/>
          <w:spacing w:val="20"/>
          <w:sz w:val="32"/>
          <w:szCs w:val="24"/>
          <w:lang w:eastAsia="cs-CZ"/>
        </w:rPr>
        <w:fldChar w:fldCharType="end"/>
      </w:r>
    </w:p>
    <w:p w:rsidR="0027684F" w:rsidRPr="00DA76F4" w:rsidRDefault="0027684F" w:rsidP="00DA76F4">
      <w:pPr>
        <w:jc w:val="center"/>
        <w:rPr>
          <w:rFonts w:eastAsia="Times New Roman"/>
          <w:b/>
          <w:i/>
          <w:spacing w:val="20"/>
          <w:lang w:eastAsia="cs-CZ"/>
        </w:rPr>
      </w:pPr>
      <w:r w:rsidRPr="00DA76F4">
        <w:rPr>
          <w:rFonts w:eastAsia="Times New Roman"/>
          <w:b/>
          <w:i/>
          <w:spacing w:val="20"/>
          <w:lang w:eastAsia="cs-CZ"/>
        </w:rPr>
        <w:t>(dále jen „Pověření“)</w:t>
      </w:r>
    </w:p>
    <w:p w:rsidR="0027684F" w:rsidRPr="00DA76F4" w:rsidRDefault="0027684F" w:rsidP="00DA76F4">
      <w:pPr>
        <w:jc w:val="left"/>
        <w:rPr>
          <w:rFonts w:eastAsia="Times New Roman"/>
          <w:lang w:eastAsia="cs-CZ"/>
        </w:rPr>
      </w:pPr>
    </w:p>
    <w:p w:rsidR="0027684F" w:rsidRPr="00DA76F4" w:rsidRDefault="0027684F" w:rsidP="00CE23D6">
      <w:pPr>
        <w:spacing w:before="0"/>
        <w:jc w:val="left"/>
        <w:rPr>
          <w:rFonts w:eastAsia="Times New Roman"/>
          <w:b/>
          <w:lang w:eastAsia="cs-CZ"/>
        </w:rPr>
      </w:pPr>
      <w:r w:rsidRPr="00DA76F4">
        <w:rPr>
          <w:rFonts w:eastAsia="Times New Roman"/>
          <w:b/>
          <w:lang w:eastAsia="cs-CZ"/>
        </w:rPr>
        <w:t>Olomoucký kraj</w:t>
      </w:r>
    </w:p>
    <w:p w:rsidR="0027684F" w:rsidRPr="00DA76F4" w:rsidRDefault="0027684F" w:rsidP="00CE23D6">
      <w:pPr>
        <w:spacing w:before="0"/>
        <w:jc w:val="left"/>
        <w:rPr>
          <w:rFonts w:eastAsia="Times New Roman"/>
          <w:lang w:eastAsia="cs-CZ"/>
        </w:rPr>
      </w:pPr>
      <w:r w:rsidRPr="00DA76F4">
        <w:rPr>
          <w:rFonts w:eastAsia="Times New Roman"/>
          <w:lang w:eastAsia="cs-CZ"/>
        </w:rPr>
        <w:t>sídlo:</w:t>
      </w:r>
      <w:r w:rsidRPr="00DA76F4">
        <w:rPr>
          <w:rFonts w:eastAsia="Times New Roman"/>
          <w:lang w:eastAsia="cs-CZ"/>
        </w:rPr>
        <w:tab/>
      </w:r>
      <w:r w:rsidRPr="00DA76F4">
        <w:rPr>
          <w:rFonts w:eastAsia="Times New Roman"/>
          <w:lang w:eastAsia="cs-CZ"/>
        </w:rPr>
        <w:tab/>
        <w:t xml:space="preserve">Jeremenkova 1191/40a, 779 00 Olomouc – Hodolany </w:t>
      </w:r>
    </w:p>
    <w:p w:rsidR="0027684F" w:rsidRPr="00DA76F4" w:rsidRDefault="0027684F" w:rsidP="00CE23D6">
      <w:pPr>
        <w:spacing w:before="0"/>
        <w:jc w:val="left"/>
        <w:rPr>
          <w:rFonts w:eastAsia="Times New Roman"/>
          <w:lang w:eastAsia="cs-CZ"/>
        </w:rPr>
      </w:pPr>
      <w:r w:rsidRPr="00DA76F4">
        <w:rPr>
          <w:rFonts w:eastAsia="Times New Roman"/>
          <w:lang w:eastAsia="cs-CZ"/>
        </w:rPr>
        <w:t>IČO:</w:t>
      </w:r>
      <w:r w:rsidRPr="00DA76F4">
        <w:rPr>
          <w:rFonts w:eastAsia="Times New Roman"/>
          <w:lang w:eastAsia="cs-CZ"/>
        </w:rPr>
        <w:tab/>
      </w:r>
      <w:r w:rsidRPr="00DA76F4">
        <w:rPr>
          <w:rFonts w:eastAsia="Times New Roman"/>
          <w:lang w:eastAsia="cs-CZ"/>
        </w:rPr>
        <w:tab/>
        <w:t>60609460</w:t>
      </w:r>
    </w:p>
    <w:p w:rsidR="0027684F" w:rsidRPr="00DA76F4" w:rsidRDefault="0027684F" w:rsidP="00CE23D6">
      <w:pPr>
        <w:spacing w:before="0"/>
        <w:jc w:val="left"/>
        <w:rPr>
          <w:rFonts w:eastAsia="Times New Roman"/>
          <w:lang w:eastAsia="cs-CZ"/>
        </w:rPr>
      </w:pPr>
      <w:r w:rsidRPr="00DA76F4">
        <w:rPr>
          <w:rFonts w:eastAsia="Times New Roman"/>
          <w:lang w:eastAsia="cs-CZ"/>
        </w:rPr>
        <w:t xml:space="preserve">DIČ: </w:t>
      </w:r>
      <w:r w:rsidRPr="00DA76F4">
        <w:rPr>
          <w:rFonts w:eastAsia="Times New Roman"/>
          <w:lang w:eastAsia="cs-CZ"/>
        </w:rPr>
        <w:tab/>
      </w:r>
      <w:r w:rsidRPr="00DA76F4">
        <w:rPr>
          <w:rFonts w:eastAsia="Times New Roman"/>
          <w:lang w:eastAsia="cs-CZ"/>
        </w:rPr>
        <w:tab/>
        <w:t>CZ60609460</w:t>
      </w:r>
    </w:p>
    <w:p w:rsidR="0027684F" w:rsidRPr="00DA76F4" w:rsidRDefault="0027684F" w:rsidP="00DA76F4">
      <w:pPr>
        <w:jc w:val="left"/>
        <w:rPr>
          <w:rFonts w:eastAsia="Times New Roman"/>
          <w:lang w:eastAsia="cs-CZ"/>
        </w:rPr>
      </w:pPr>
      <w:r w:rsidRPr="00DA76F4">
        <w:rPr>
          <w:rFonts w:eastAsia="Times New Roman"/>
          <w:lang w:eastAsia="cs-CZ"/>
        </w:rPr>
        <w:t>(dále jen „</w:t>
      </w:r>
      <w:r w:rsidRPr="00DA76F4">
        <w:rPr>
          <w:rFonts w:eastAsia="Times New Roman"/>
          <w:b/>
          <w:lang w:eastAsia="cs-CZ"/>
        </w:rPr>
        <w:t>pověřovatel</w:t>
      </w:r>
      <w:r w:rsidRPr="00DA76F4">
        <w:rPr>
          <w:rFonts w:eastAsia="Times New Roman"/>
          <w:lang w:eastAsia="cs-CZ"/>
        </w:rPr>
        <w:t xml:space="preserve">“) </w:t>
      </w:r>
    </w:p>
    <w:p w:rsidR="0027684F" w:rsidRPr="00DA76F4" w:rsidRDefault="0027684F" w:rsidP="00DA76F4">
      <w:pPr>
        <w:rPr>
          <w:rFonts w:eastAsia="Times New Roman"/>
          <w:lang w:eastAsia="cs-CZ"/>
        </w:rPr>
      </w:pPr>
    </w:p>
    <w:p w:rsidR="0027684F" w:rsidRPr="00DA76F4" w:rsidRDefault="0027684F" w:rsidP="00DA76F4">
      <w:pPr>
        <w:rPr>
          <w:rFonts w:eastAsia="Times New Roman"/>
          <w:lang w:eastAsia="cs-CZ"/>
        </w:rPr>
      </w:pPr>
      <w:r w:rsidRPr="00DA76F4">
        <w:rPr>
          <w:rFonts w:eastAsia="Times New Roman"/>
          <w:lang w:eastAsia="cs-CZ"/>
        </w:rPr>
        <w:t xml:space="preserve">v souladu s usnesením Zastupitelstva Olomouckého kraje </w:t>
      </w:r>
      <w:r w:rsidRPr="00DA76F4">
        <w:rPr>
          <w:rFonts w:eastAsia="Times New Roman"/>
          <w:highlight w:val="yellow"/>
          <w:lang w:eastAsia="cs-CZ"/>
        </w:rPr>
        <w:t>č. Q</w:t>
      </w:r>
      <w:r w:rsidRPr="00DA76F4">
        <w:rPr>
          <w:rFonts w:eastAsia="Times New Roman"/>
          <w:lang w:eastAsia="cs-CZ"/>
        </w:rPr>
        <w:t xml:space="preserve"> ze dne </w:t>
      </w:r>
      <w:r w:rsidRPr="00DA76F4">
        <w:rPr>
          <w:rFonts w:eastAsia="Times New Roman"/>
          <w:highlight w:val="yellow"/>
          <w:lang w:eastAsia="cs-CZ"/>
        </w:rPr>
        <w:t>XX. XX. XXXX</w:t>
      </w:r>
      <w:r w:rsidRPr="00DA76F4">
        <w:rPr>
          <w:rFonts w:eastAsia="Times New Roman"/>
          <w:lang w:eastAsia="cs-CZ"/>
        </w:rPr>
        <w:t xml:space="preserve"> podle </w:t>
      </w:r>
      <w:r w:rsidRPr="00DA76F4">
        <w:rPr>
          <w:rFonts w:eastAsia="Times New Roman"/>
          <w:b/>
          <w:lang w:eastAsia="cs-CZ"/>
        </w:rPr>
        <w:t>Rozhodnutí Evropské komise č. 2012/21/EU ze dne 20. 12. 2011</w:t>
      </w:r>
      <w:r w:rsidRPr="00DA76F4">
        <w:rPr>
          <w:rFonts w:eastAsia="Times New Roman"/>
          <w:lang w:eastAsia="cs-CZ"/>
        </w:rPr>
        <w:t xml:space="preserve"> o použití čl. 106 odst. 2 Smlouvy o fungování Evropské unie na státní podporu ve formě vyrovnávací platby za závazek veřejné služby udělené určitým podnikům pověřeným poskytováním služeb obecného hospodářského zájmu </w:t>
      </w:r>
    </w:p>
    <w:p w:rsidR="0027684F" w:rsidRPr="00DA76F4" w:rsidRDefault="0027684F" w:rsidP="00DA76F4">
      <w:pPr>
        <w:jc w:val="center"/>
        <w:rPr>
          <w:rFonts w:eastAsia="Times New Roman"/>
          <w:b/>
          <w:spacing w:val="28"/>
          <w:lang w:eastAsia="cs-CZ"/>
        </w:rPr>
      </w:pPr>
      <w:r w:rsidRPr="00DA76F4">
        <w:rPr>
          <w:rFonts w:eastAsia="Times New Roman"/>
          <w:b/>
          <w:spacing w:val="28"/>
          <w:lang w:eastAsia="cs-CZ"/>
        </w:rPr>
        <w:t xml:space="preserve">pověřuje </w:t>
      </w:r>
    </w:p>
    <w:p w:rsidR="0027684F" w:rsidRPr="00DA76F4" w:rsidRDefault="0027684F" w:rsidP="00DA76F4">
      <w:pPr>
        <w:jc w:val="center"/>
        <w:rPr>
          <w:rFonts w:eastAsia="Times New Roman"/>
          <w:lang w:eastAsia="cs-CZ"/>
        </w:rPr>
      </w:pPr>
      <w:r w:rsidRPr="00DA76F4">
        <w:rPr>
          <w:rFonts w:eastAsia="Times New Roman"/>
          <w:lang w:eastAsia="cs-CZ"/>
        </w:rPr>
        <w:t>poskytováním služby obecného hospodářského zájmu (dále jen „SOHZ“):</w:t>
      </w:r>
    </w:p>
    <w:p w:rsidR="0027684F" w:rsidRPr="00DA76F4" w:rsidRDefault="0027684F" w:rsidP="00DA76F4">
      <w:pPr>
        <w:jc w:val="center"/>
        <w:rPr>
          <w:rFonts w:eastAsia="Times New Roman"/>
          <w:lang w:eastAsia="cs-CZ"/>
        </w:rPr>
      </w:pPr>
    </w:p>
    <w:tbl>
      <w:tblPr>
        <w:tblW w:w="9481" w:type="dxa"/>
        <w:tblInd w:w="-112" w:type="dxa"/>
        <w:tblLook w:val="04A0" w:firstRow="1" w:lastRow="0" w:firstColumn="1" w:lastColumn="0" w:noHBand="0" w:noVBand="1"/>
      </w:tblPr>
      <w:tblGrid>
        <w:gridCol w:w="2380"/>
        <w:gridCol w:w="7101"/>
      </w:tblGrid>
      <w:tr w:rsidR="0027684F" w:rsidRPr="00DA76F4" w:rsidTr="000B028A">
        <w:trPr>
          <w:trHeight w:val="397"/>
        </w:trPr>
        <w:tc>
          <w:tcPr>
            <w:tcW w:w="2380" w:type="dxa"/>
            <w:shd w:val="clear" w:color="auto" w:fill="auto"/>
          </w:tcPr>
          <w:p w:rsidR="0027684F" w:rsidRPr="00DA76F4" w:rsidRDefault="0027684F" w:rsidP="00DA76F4">
            <w:pPr>
              <w:jc w:val="left"/>
              <w:rPr>
                <w:rFonts w:eastAsia="Times New Roman"/>
                <w:lang w:eastAsia="cs-CZ"/>
              </w:rPr>
            </w:pPr>
            <w:r w:rsidRPr="00DA76F4">
              <w:rPr>
                <w:rFonts w:eastAsia="Times New Roman"/>
                <w:b/>
                <w:lang w:eastAsia="cs-CZ"/>
              </w:rPr>
              <w:t xml:space="preserve">Označení podniku:  </w:t>
            </w:r>
          </w:p>
        </w:tc>
        <w:tc>
          <w:tcPr>
            <w:tcW w:w="7101" w:type="dxa"/>
            <w:shd w:val="clear" w:color="auto" w:fill="auto"/>
          </w:tcPr>
          <w:p w:rsidR="0027684F" w:rsidRPr="00DA76F4" w:rsidRDefault="0027684F" w:rsidP="00DA76F4">
            <w:pPr>
              <w:jc w:val="left"/>
              <w:rPr>
                <w:rFonts w:eastAsia="Times New Roman"/>
                <w:lang w:eastAsia="cs-CZ"/>
              </w:rPr>
            </w:pPr>
          </w:p>
        </w:tc>
      </w:tr>
      <w:tr w:rsidR="0027684F" w:rsidRPr="00DA76F4" w:rsidTr="000B028A">
        <w:trPr>
          <w:trHeight w:val="397"/>
        </w:trPr>
        <w:tc>
          <w:tcPr>
            <w:tcW w:w="2380" w:type="dxa"/>
            <w:shd w:val="clear" w:color="auto" w:fill="auto"/>
          </w:tcPr>
          <w:p w:rsidR="0027684F" w:rsidRPr="00DA76F4" w:rsidRDefault="0027684F" w:rsidP="00DA76F4">
            <w:pPr>
              <w:jc w:val="left"/>
              <w:rPr>
                <w:rFonts w:eastAsia="Times New Roman"/>
                <w:lang w:eastAsia="cs-CZ"/>
              </w:rPr>
            </w:pPr>
            <w:r w:rsidRPr="00DA76F4">
              <w:rPr>
                <w:rFonts w:eastAsia="Times New Roman"/>
                <w:lang w:eastAsia="cs-CZ"/>
              </w:rPr>
              <w:t>sídlo:</w:t>
            </w:r>
          </w:p>
        </w:tc>
        <w:tc>
          <w:tcPr>
            <w:tcW w:w="7101" w:type="dxa"/>
            <w:shd w:val="clear" w:color="auto" w:fill="auto"/>
          </w:tcPr>
          <w:p w:rsidR="0027684F" w:rsidRPr="00DA76F4" w:rsidRDefault="0027684F" w:rsidP="00DA76F4">
            <w:pPr>
              <w:jc w:val="left"/>
              <w:rPr>
                <w:rFonts w:eastAsia="Times New Roman"/>
                <w:lang w:eastAsia="cs-CZ"/>
              </w:rPr>
            </w:pPr>
          </w:p>
        </w:tc>
      </w:tr>
      <w:tr w:rsidR="0027684F" w:rsidRPr="00DA76F4" w:rsidTr="000B028A">
        <w:trPr>
          <w:trHeight w:val="340"/>
        </w:trPr>
        <w:tc>
          <w:tcPr>
            <w:tcW w:w="2380" w:type="dxa"/>
            <w:shd w:val="clear" w:color="auto" w:fill="auto"/>
          </w:tcPr>
          <w:p w:rsidR="0027684F" w:rsidRPr="00DA76F4" w:rsidRDefault="0027684F" w:rsidP="00DA76F4">
            <w:pPr>
              <w:jc w:val="left"/>
              <w:rPr>
                <w:rFonts w:eastAsia="Times New Roman"/>
                <w:lang w:eastAsia="cs-CZ"/>
              </w:rPr>
            </w:pPr>
            <w:r w:rsidRPr="00DA76F4">
              <w:rPr>
                <w:rFonts w:eastAsia="Times New Roman"/>
                <w:lang w:eastAsia="cs-CZ"/>
              </w:rPr>
              <w:t>IČO:</w:t>
            </w:r>
          </w:p>
        </w:tc>
        <w:tc>
          <w:tcPr>
            <w:tcW w:w="7101" w:type="dxa"/>
            <w:shd w:val="clear" w:color="auto" w:fill="auto"/>
          </w:tcPr>
          <w:p w:rsidR="0027684F" w:rsidRPr="00DA76F4" w:rsidRDefault="0027684F" w:rsidP="00DA76F4">
            <w:pPr>
              <w:jc w:val="left"/>
              <w:rPr>
                <w:rFonts w:eastAsia="Times New Roman"/>
                <w:lang w:eastAsia="cs-CZ"/>
              </w:rPr>
            </w:pPr>
          </w:p>
        </w:tc>
      </w:tr>
      <w:tr w:rsidR="0027684F" w:rsidRPr="00DA76F4" w:rsidTr="000B028A">
        <w:trPr>
          <w:trHeight w:val="340"/>
        </w:trPr>
        <w:tc>
          <w:tcPr>
            <w:tcW w:w="2380" w:type="dxa"/>
            <w:shd w:val="clear" w:color="auto" w:fill="auto"/>
          </w:tcPr>
          <w:p w:rsidR="0027684F" w:rsidRPr="00DA76F4" w:rsidRDefault="0027684F" w:rsidP="00DA76F4">
            <w:pPr>
              <w:jc w:val="left"/>
              <w:rPr>
                <w:rFonts w:eastAsia="Times New Roman"/>
                <w:lang w:eastAsia="cs-CZ"/>
              </w:rPr>
            </w:pPr>
            <w:r w:rsidRPr="00DA76F4">
              <w:rPr>
                <w:rFonts w:eastAsia="Times New Roman"/>
                <w:lang w:eastAsia="cs-CZ"/>
              </w:rPr>
              <w:t>DIČ:</w:t>
            </w:r>
            <w:r w:rsidRPr="00DA76F4">
              <w:rPr>
                <w:rFonts w:eastAsia="Times New Roman"/>
                <w:lang w:eastAsia="cs-CZ"/>
              </w:rPr>
              <w:tab/>
            </w:r>
          </w:p>
        </w:tc>
        <w:tc>
          <w:tcPr>
            <w:tcW w:w="7101" w:type="dxa"/>
            <w:shd w:val="clear" w:color="auto" w:fill="auto"/>
          </w:tcPr>
          <w:p w:rsidR="0027684F" w:rsidRPr="00DA76F4" w:rsidRDefault="0027684F" w:rsidP="00DA76F4">
            <w:pPr>
              <w:jc w:val="left"/>
              <w:rPr>
                <w:rFonts w:eastAsia="Times New Roman"/>
                <w:lang w:eastAsia="cs-CZ"/>
              </w:rPr>
            </w:pPr>
          </w:p>
        </w:tc>
      </w:tr>
      <w:tr w:rsidR="0027684F" w:rsidRPr="00DA76F4" w:rsidTr="000B028A">
        <w:trPr>
          <w:trHeight w:val="340"/>
        </w:trPr>
        <w:tc>
          <w:tcPr>
            <w:tcW w:w="2380" w:type="dxa"/>
            <w:shd w:val="clear" w:color="auto" w:fill="auto"/>
          </w:tcPr>
          <w:p w:rsidR="0027684F" w:rsidRPr="00DA76F4" w:rsidRDefault="0027684F" w:rsidP="00DA76F4">
            <w:pPr>
              <w:jc w:val="left"/>
              <w:rPr>
                <w:rFonts w:eastAsia="Times New Roman"/>
                <w:lang w:eastAsia="cs-CZ"/>
              </w:rPr>
            </w:pPr>
            <w:r w:rsidRPr="00DA76F4">
              <w:rPr>
                <w:rFonts w:eastAsia="Times New Roman"/>
                <w:lang w:eastAsia="cs-CZ"/>
              </w:rPr>
              <w:t>zastoupení:</w:t>
            </w:r>
            <w:r w:rsidRPr="00DA76F4">
              <w:rPr>
                <w:rFonts w:eastAsia="Times New Roman"/>
                <w:lang w:eastAsia="cs-CZ"/>
              </w:rPr>
              <w:tab/>
            </w:r>
          </w:p>
        </w:tc>
        <w:tc>
          <w:tcPr>
            <w:tcW w:w="7101" w:type="dxa"/>
            <w:shd w:val="clear" w:color="auto" w:fill="auto"/>
          </w:tcPr>
          <w:p w:rsidR="0027684F" w:rsidRPr="00DA76F4" w:rsidRDefault="0027684F" w:rsidP="00DA76F4">
            <w:pPr>
              <w:jc w:val="left"/>
              <w:rPr>
                <w:rFonts w:eastAsia="Times New Roman"/>
                <w:lang w:eastAsia="cs-CZ"/>
              </w:rPr>
            </w:pPr>
          </w:p>
        </w:tc>
      </w:tr>
    </w:tbl>
    <w:p w:rsidR="0027684F" w:rsidRPr="00DA76F4" w:rsidRDefault="0027684F" w:rsidP="00DA76F4">
      <w:pPr>
        <w:rPr>
          <w:rFonts w:eastAsia="Times New Roman"/>
          <w:lang w:eastAsia="cs-CZ"/>
        </w:rPr>
      </w:pPr>
      <w:r w:rsidRPr="00DA76F4">
        <w:rPr>
          <w:rFonts w:eastAsia="Times New Roman"/>
          <w:lang w:eastAsia="cs-CZ"/>
        </w:rPr>
        <w:t>(dále jen „podnik“)</w:t>
      </w:r>
    </w:p>
    <w:p w:rsidR="00F234E7" w:rsidRDefault="00F234E7" w:rsidP="00DA76F4">
      <w:pPr>
        <w:rPr>
          <w:rFonts w:eastAsia="Times New Roman"/>
          <w:b/>
          <w:lang w:eastAsia="cs-CZ"/>
        </w:rPr>
      </w:pPr>
    </w:p>
    <w:p w:rsidR="0027684F" w:rsidRPr="00DA76F4" w:rsidRDefault="0027684F" w:rsidP="00DA76F4">
      <w:pPr>
        <w:rPr>
          <w:rFonts w:eastAsia="Times New Roman"/>
          <w:lang w:eastAsia="cs-CZ"/>
        </w:rPr>
      </w:pPr>
      <w:r w:rsidRPr="00DA76F4">
        <w:rPr>
          <w:rFonts w:eastAsia="Times New Roman"/>
          <w:b/>
          <w:lang w:eastAsia="cs-CZ"/>
        </w:rPr>
        <w:t xml:space="preserve">Území, na kterém má být veřejná služba poskytována: </w:t>
      </w:r>
      <w:r w:rsidRPr="00DA76F4">
        <w:rPr>
          <w:rFonts w:eastAsia="Times New Roman"/>
          <w:lang w:eastAsia="cs-CZ"/>
        </w:rPr>
        <w:t>Olomoucký kraj</w:t>
      </w:r>
    </w:p>
    <w:p w:rsidR="0027684F" w:rsidRPr="00DA76F4" w:rsidRDefault="0027684F" w:rsidP="00DA76F4">
      <w:pPr>
        <w:rPr>
          <w:rFonts w:eastAsia="Times New Roman"/>
          <w:b/>
          <w:lang w:eastAsia="cs-CZ"/>
        </w:rPr>
      </w:pPr>
      <w:r w:rsidRPr="00DA76F4">
        <w:rPr>
          <w:rFonts w:eastAsia="Times New Roman"/>
          <w:b/>
          <w:lang w:eastAsia="cs-CZ"/>
        </w:rPr>
        <w:t>I.</w:t>
      </w:r>
      <w:r w:rsidRPr="00DA76F4">
        <w:rPr>
          <w:rFonts w:eastAsia="Times New Roman"/>
          <w:b/>
          <w:lang w:eastAsia="cs-CZ"/>
        </w:rPr>
        <w:tab/>
        <w:t>Náplň závazku veřejné služby:</w:t>
      </w:r>
    </w:p>
    <w:p w:rsidR="0027684F" w:rsidRPr="00DA76F4" w:rsidRDefault="0027684F" w:rsidP="00DA76F4">
      <w:pPr>
        <w:rPr>
          <w:rFonts w:eastAsia="Times New Roman"/>
          <w:color w:val="000000" w:themeColor="text1"/>
          <w:lang w:eastAsia="cs-CZ"/>
        </w:rPr>
      </w:pPr>
      <w:r w:rsidRPr="00DA76F4">
        <w:rPr>
          <w:rFonts w:eastAsia="Times New Roman"/>
          <w:color w:val="000000" w:themeColor="text1"/>
          <w:lang w:eastAsia="cs-CZ"/>
        </w:rPr>
        <w:t xml:space="preserve">Přijetím Pověření se podnik zavazuje poskytovat sociální služby dle zákona č. 108/2006 Sb., o sociálních službách, ve znění pozdějších předpisů. </w:t>
      </w:r>
    </w:p>
    <w:p w:rsidR="0027684F" w:rsidRPr="00DA76F4" w:rsidRDefault="0027684F" w:rsidP="00DA76F4">
      <w:pPr>
        <w:rPr>
          <w:rFonts w:eastAsia="Times New Roman"/>
          <w:color w:val="000000" w:themeColor="text1"/>
          <w:lang w:eastAsia="cs-CZ"/>
        </w:rPr>
      </w:pPr>
      <w:r w:rsidRPr="00DA76F4">
        <w:rPr>
          <w:rFonts w:eastAsia="Times New Roman"/>
          <w:color w:val="000000" w:themeColor="text1"/>
          <w:lang w:eastAsia="cs-CZ"/>
        </w:rPr>
        <w:t>Rozsah závazku je dán údaji uvedenými pro poskytovatele sociálních služeb (podnik) v Síti sociálních služeb Olomouckého kraje schválené pro daný kalendářní rok Zastupitelstvem Olomouckého kraje (dále jen „</w:t>
      </w:r>
      <w:r w:rsidR="0014254D">
        <w:rPr>
          <w:rFonts w:eastAsia="Times New Roman"/>
          <w:color w:val="000000" w:themeColor="text1"/>
          <w:lang w:eastAsia="cs-CZ"/>
        </w:rPr>
        <w:t>Síť</w:t>
      </w:r>
      <w:r w:rsidRPr="00DA76F4">
        <w:rPr>
          <w:rFonts w:eastAsia="Times New Roman"/>
          <w:color w:val="000000" w:themeColor="text1"/>
          <w:lang w:eastAsia="cs-CZ"/>
        </w:rPr>
        <w:t xml:space="preserve"> sociálních služeb“).</w:t>
      </w:r>
    </w:p>
    <w:p w:rsidR="0027684F" w:rsidRPr="00DA76F4" w:rsidRDefault="0027684F" w:rsidP="00DA76F4">
      <w:pPr>
        <w:rPr>
          <w:rFonts w:eastAsia="Arial Unicode MS"/>
          <w:lang w:eastAsia="cs-CZ"/>
        </w:rPr>
      </w:pPr>
    </w:p>
    <w:p w:rsidR="0027684F" w:rsidRPr="00DA76F4" w:rsidRDefault="0027684F" w:rsidP="00DA76F4">
      <w:pPr>
        <w:rPr>
          <w:rFonts w:eastAsia="Times New Roman"/>
          <w:b/>
          <w:lang w:eastAsia="cs-CZ"/>
        </w:rPr>
      </w:pPr>
      <w:r w:rsidRPr="00DA76F4">
        <w:rPr>
          <w:rFonts w:eastAsia="Times New Roman"/>
          <w:b/>
          <w:lang w:eastAsia="cs-CZ"/>
        </w:rPr>
        <w:lastRenderedPageBreak/>
        <w:t>II.</w:t>
      </w:r>
      <w:r w:rsidRPr="00DA76F4">
        <w:rPr>
          <w:rFonts w:eastAsia="Times New Roman"/>
          <w:b/>
          <w:lang w:eastAsia="cs-CZ"/>
        </w:rPr>
        <w:tab/>
        <w:t>Trvání závazku veřejné služby:</w:t>
      </w:r>
    </w:p>
    <w:p w:rsidR="0027684F" w:rsidRPr="00DA76F4" w:rsidRDefault="0027684F" w:rsidP="00DA76F4">
      <w:pPr>
        <w:rPr>
          <w:rFonts w:eastAsia="Times New Roman"/>
          <w:lang w:eastAsia="cs-CZ"/>
        </w:rPr>
      </w:pPr>
      <w:r w:rsidRPr="00DA76F4">
        <w:rPr>
          <w:rFonts w:eastAsia="Times New Roman"/>
          <w:lang w:eastAsia="cs-CZ"/>
        </w:rPr>
        <w:t xml:space="preserve">Podnik se pověřuje poskytováním SOHZ na dobu od </w:t>
      </w:r>
      <w:r w:rsidRPr="00DA76F4">
        <w:rPr>
          <w:rFonts w:eastAsia="Times New Roman"/>
          <w:highlight w:val="yellow"/>
          <w:lang w:eastAsia="cs-CZ"/>
        </w:rPr>
        <w:t>1. 1. 2021 do 31. 12. 2023</w:t>
      </w:r>
    </w:p>
    <w:p w:rsidR="0027684F" w:rsidRPr="00DA76F4" w:rsidRDefault="0027684F" w:rsidP="00DA76F4">
      <w:pPr>
        <w:rPr>
          <w:rFonts w:eastAsia="Arial Unicode MS"/>
          <w:lang w:eastAsia="cs-CZ"/>
        </w:rPr>
      </w:pPr>
      <w:r w:rsidRPr="00DA76F4">
        <w:rPr>
          <w:rFonts w:eastAsia="Arial Unicode MS"/>
          <w:lang w:eastAsia="cs-CZ"/>
        </w:rPr>
        <w:t>Pověření zaniká:</w:t>
      </w:r>
    </w:p>
    <w:p w:rsidR="0027684F" w:rsidRPr="00DA76F4" w:rsidRDefault="0027684F" w:rsidP="00DA76F4">
      <w:pPr>
        <w:rPr>
          <w:rFonts w:eastAsia="Arial Unicode MS"/>
          <w:lang w:eastAsia="cs-CZ"/>
        </w:rPr>
      </w:pPr>
      <w:r w:rsidRPr="00DA76F4">
        <w:rPr>
          <w:rFonts w:eastAsia="Arial Unicode MS"/>
          <w:lang w:eastAsia="cs-CZ"/>
        </w:rPr>
        <w:t xml:space="preserve">a) </w:t>
      </w:r>
      <w:r w:rsidRPr="00DA76F4">
        <w:rPr>
          <w:rFonts w:eastAsia="Arial Unicode MS"/>
          <w:lang w:eastAsia="cs-CZ"/>
        </w:rPr>
        <w:tab/>
        <w:t>uplynutím doby, na kterou je podnik pověřen poskytováním SOHZ,</w:t>
      </w:r>
    </w:p>
    <w:p w:rsidR="0027684F" w:rsidRPr="00DA76F4" w:rsidRDefault="0027684F" w:rsidP="00DA76F4">
      <w:pPr>
        <w:rPr>
          <w:rFonts w:eastAsia="Arial Unicode MS"/>
          <w:lang w:eastAsia="cs-CZ"/>
        </w:rPr>
      </w:pPr>
      <w:r w:rsidRPr="00DA76F4">
        <w:rPr>
          <w:rFonts w:eastAsia="Arial Unicode MS"/>
          <w:lang w:eastAsia="cs-CZ"/>
        </w:rPr>
        <w:t xml:space="preserve">b) </w:t>
      </w:r>
      <w:r w:rsidRPr="00DA76F4">
        <w:rPr>
          <w:rFonts w:eastAsia="Arial Unicode MS"/>
          <w:lang w:eastAsia="cs-CZ"/>
        </w:rPr>
        <w:tab/>
        <w:t xml:space="preserve">vyřazením podniku ze </w:t>
      </w:r>
      <w:r w:rsidR="00F63116">
        <w:rPr>
          <w:rFonts w:eastAsia="Arial Unicode MS"/>
          <w:lang w:eastAsia="cs-CZ"/>
        </w:rPr>
        <w:t>Sítě</w:t>
      </w:r>
      <w:r w:rsidRPr="00DA76F4">
        <w:rPr>
          <w:rFonts w:eastAsia="Arial Unicode MS"/>
          <w:lang w:eastAsia="cs-CZ"/>
        </w:rPr>
        <w:t xml:space="preserve"> sociálních služeb, </w:t>
      </w:r>
    </w:p>
    <w:p w:rsidR="0027684F" w:rsidRPr="00DA76F4" w:rsidRDefault="0027684F" w:rsidP="00DA76F4">
      <w:pPr>
        <w:ind w:left="390" w:hanging="390"/>
        <w:rPr>
          <w:rFonts w:eastAsia="Arial Unicode MS"/>
          <w:lang w:eastAsia="cs-CZ"/>
        </w:rPr>
      </w:pPr>
      <w:r w:rsidRPr="00DA76F4">
        <w:rPr>
          <w:rFonts w:eastAsia="Arial Unicode MS"/>
          <w:lang w:eastAsia="cs-CZ"/>
        </w:rPr>
        <w:t>c)</w:t>
      </w:r>
      <w:r w:rsidRPr="00DA76F4">
        <w:rPr>
          <w:rFonts w:eastAsia="Arial Unicode MS"/>
          <w:lang w:eastAsia="cs-CZ"/>
        </w:rPr>
        <w:tab/>
        <w:t>zrušením oprávnění k poskytování sociální služby (registrace) dle zákona č. 108/2006 Sb., o sociálních službách, ve znění pozdějších předpisů.</w:t>
      </w:r>
    </w:p>
    <w:p w:rsidR="0027684F" w:rsidRPr="00DA76F4" w:rsidRDefault="0027684F" w:rsidP="00DA76F4">
      <w:pPr>
        <w:ind w:left="426"/>
        <w:rPr>
          <w:rFonts w:eastAsia="Calibri"/>
          <w:b/>
        </w:rPr>
      </w:pPr>
    </w:p>
    <w:p w:rsidR="0027684F" w:rsidRPr="00DA76F4" w:rsidRDefault="0027684F" w:rsidP="00DA76F4">
      <w:pPr>
        <w:rPr>
          <w:rFonts w:eastAsia="Times New Roman"/>
          <w:b/>
          <w:lang w:eastAsia="cs-CZ"/>
        </w:rPr>
      </w:pPr>
      <w:r w:rsidRPr="00DA76F4">
        <w:rPr>
          <w:rFonts w:eastAsia="Times New Roman"/>
          <w:b/>
          <w:lang w:eastAsia="cs-CZ"/>
        </w:rPr>
        <w:t>III.</w:t>
      </w:r>
      <w:r w:rsidRPr="00DA76F4">
        <w:rPr>
          <w:rFonts w:eastAsia="Times New Roman"/>
          <w:b/>
          <w:lang w:eastAsia="cs-CZ"/>
        </w:rPr>
        <w:tab/>
        <w:t>Povaha výhradních nebo zvláštních práv udělených podniku:</w:t>
      </w:r>
    </w:p>
    <w:p w:rsidR="0027684F" w:rsidRPr="00DA76F4" w:rsidRDefault="0027684F" w:rsidP="00DA76F4">
      <w:pPr>
        <w:rPr>
          <w:rFonts w:eastAsia="Times New Roman"/>
          <w:color w:val="548DD4" w:themeColor="text2" w:themeTint="99"/>
          <w:lang w:eastAsia="cs-CZ"/>
        </w:rPr>
      </w:pPr>
      <w:r w:rsidRPr="00DA76F4">
        <w:rPr>
          <w:rFonts w:eastAsia="Times New Roman"/>
          <w:color w:val="548DD4" w:themeColor="text2" w:themeTint="99"/>
          <w:lang w:eastAsia="cs-CZ"/>
        </w:rPr>
        <w:t>U POOK: K výkonu závazku veřejné služby je pověřený podnik oprávněn využívat majetek pověřovatele, který je mu předán k hospodaření zřizovací listinou.</w:t>
      </w:r>
    </w:p>
    <w:p w:rsidR="0027684F" w:rsidRPr="00DA76F4" w:rsidRDefault="0027684F" w:rsidP="00DA76F4">
      <w:pPr>
        <w:rPr>
          <w:rFonts w:eastAsia="Times New Roman"/>
          <w:color w:val="548DD4" w:themeColor="text2" w:themeTint="99"/>
          <w:lang w:eastAsia="cs-CZ"/>
        </w:rPr>
      </w:pPr>
      <w:r w:rsidRPr="00DA76F4">
        <w:rPr>
          <w:rFonts w:eastAsia="Times New Roman"/>
          <w:color w:val="548DD4" w:themeColor="text2" w:themeTint="99"/>
          <w:lang w:eastAsia="cs-CZ"/>
        </w:rPr>
        <w:t>U ostatních podniků: Podniku nejsou tímto pověřením udělena žádná výhradní ani zvláštní práva k poskytování sociálních služeb.</w:t>
      </w:r>
    </w:p>
    <w:p w:rsidR="0027684F" w:rsidRPr="00DA76F4" w:rsidRDefault="0027684F" w:rsidP="00DA76F4">
      <w:pPr>
        <w:rPr>
          <w:rFonts w:eastAsia="Arial Unicode MS"/>
          <w:lang w:eastAsia="cs-CZ"/>
        </w:rPr>
      </w:pPr>
    </w:p>
    <w:p w:rsidR="0027684F" w:rsidRPr="00DA76F4" w:rsidRDefault="0027684F" w:rsidP="00DA76F4">
      <w:pPr>
        <w:ind w:left="578" w:hanging="578"/>
        <w:jc w:val="left"/>
        <w:rPr>
          <w:rFonts w:eastAsia="Arial Unicode MS"/>
          <w:b/>
          <w:i/>
          <w:lang w:eastAsia="cs-CZ"/>
        </w:rPr>
      </w:pPr>
      <w:r w:rsidRPr="00DA76F4">
        <w:rPr>
          <w:rFonts w:eastAsia="Arial Unicode MS"/>
          <w:b/>
          <w:lang w:eastAsia="cs-CZ"/>
        </w:rPr>
        <w:t>IV.</w:t>
      </w:r>
      <w:r w:rsidRPr="00DA76F4">
        <w:rPr>
          <w:rFonts w:eastAsia="Arial Unicode MS"/>
          <w:b/>
          <w:lang w:eastAsia="cs-CZ"/>
        </w:rPr>
        <w:tab/>
        <w:t>Popis kompenzačního mechanismu a parametrů pro výpočet vyrovnávací platby:</w:t>
      </w:r>
    </w:p>
    <w:p w:rsidR="0027684F" w:rsidRPr="00DA76F4" w:rsidRDefault="0027684F" w:rsidP="00DA76F4">
      <w:pPr>
        <w:rPr>
          <w:rFonts w:eastAsia="Calibri"/>
          <w:lang w:eastAsia="cs-CZ"/>
        </w:rPr>
      </w:pPr>
      <w:r w:rsidRPr="00DA76F4">
        <w:rPr>
          <w:rFonts w:eastAsia="Calibri"/>
          <w:bCs/>
          <w:lang w:eastAsia="cs-CZ"/>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rsidR="00DA76F4" w:rsidRPr="00DA76F4" w:rsidRDefault="00DA76F4" w:rsidP="00DA76F4">
      <w:pPr>
        <w:ind w:left="567"/>
        <w:rPr>
          <w:b/>
          <w:i/>
          <w:u w:val="single"/>
        </w:rPr>
      </w:pPr>
      <w:r w:rsidRPr="00DA76F4">
        <w:rPr>
          <w:b/>
          <w:i/>
          <w:u w:val="single"/>
        </w:rPr>
        <w:t xml:space="preserve">Vzorec pro výpočet </w:t>
      </w:r>
      <w:r w:rsidRPr="00DA76F4">
        <w:rPr>
          <w:b/>
          <w:i/>
          <w:iCs/>
          <w:u w:val="single"/>
        </w:rPr>
        <w:t>VPmax:</w:t>
      </w:r>
    </w:p>
    <w:p w:rsidR="00DA76F4" w:rsidRPr="00DA76F4" w:rsidRDefault="00DA76F4" w:rsidP="00DA76F4">
      <w:pPr>
        <w:jc w:val="center"/>
        <w:rPr>
          <w:b/>
          <w:i/>
          <w:vertAlign w:val="subscript"/>
        </w:rPr>
      </w:pPr>
      <w:r w:rsidRPr="00DA76F4">
        <w:rPr>
          <w:b/>
          <w:i/>
        </w:rPr>
        <w:t>VP</w:t>
      </w:r>
      <w:r w:rsidRPr="00DA76F4">
        <w:rPr>
          <w:b/>
          <w:i/>
          <w:vertAlign w:val="subscript"/>
        </w:rPr>
        <w:t>max</w:t>
      </w:r>
      <w:r w:rsidRPr="00DA76F4">
        <w:rPr>
          <w:b/>
          <w:i/>
        </w:rPr>
        <w:t xml:space="preserve"> = J * J</w:t>
      </w:r>
      <w:r w:rsidRPr="00DA76F4">
        <w:rPr>
          <w:b/>
          <w:i/>
          <w:vertAlign w:val="subscript"/>
        </w:rPr>
        <w:t>VPmax</w:t>
      </w:r>
    </w:p>
    <w:p w:rsidR="00DA76F4" w:rsidRPr="00DA76F4" w:rsidRDefault="00DA76F4" w:rsidP="00DA76F4">
      <w:pPr>
        <w:ind w:left="567"/>
        <w:rPr>
          <w:b/>
          <w:i/>
          <w:u w:val="single"/>
        </w:rPr>
      </w:pPr>
      <w:r w:rsidRPr="00DA76F4">
        <w:rPr>
          <w:b/>
          <w:i/>
          <w:u w:val="single"/>
        </w:rPr>
        <w:t>Vysvětlivky:</w:t>
      </w:r>
    </w:p>
    <w:p w:rsidR="00DA76F4" w:rsidRPr="00DA76F4" w:rsidRDefault="00DA76F4" w:rsidP="00DA76F4">
      <w:pPr>
        <w:pStyle w:val="Vysvtlivky"/>
        <w:spacing w:after="0"/>
      </w:pPr>
      <w:r w:rsidRPr="00DA76F4">
        <w:t>VP</w:t>
      </w:r>
      <w:r w:rsidRPr="00DA76F4">
        <w:rPr>
          <w:vertAlign w:val="subscript"/>
        </w:rPr>
        <w:t>max</w:t>
      </w:r>
      <w:r w:rsidRPr="00DA76F4">
        <w:t xml:space="preserve"> – maximální vyrovnávací platba, přičemž pokud</w:t>
      </w:r>
    </w:p>
    <w:p w:rsidR="00DA76F4" w:rsidRPr="00DA76F4" w:rsidRDefault="00DA76F4" w:rsidP="00DA76F4">
      <w:pPr>
        <w:pStyle w:val="Vysvtlivky"/>
        <w:numPr>
          <w:ilvl w:val="1"/>
          <w:numId w:val="4"/>
        </w:numPr>
        <w:spacing w:after="0"/>
      </w:pPr>
      <w:r w:rsidRPr="00DA76F4">
        <w:t>součet všech finančních prostředků získaných z veřejných zdrojů &lt;= VP</w:t>
      </w:r>
      <w:r w:rsidRPr="00DA76F4">
        <w:rPr>
          <w:vertAlign w:val="subscript"/>
        </w:rPr>
        <w:t>max</w:t>
      </w:r>
      <w:r w:rsidRPr="00DA76F4">
        <w:t>, nejedná se o nepovolenou veřejnou podporu,</w:t>
      </w:r>
    </w:p>
    <w:p w:rsidR="00DA76F4" w:rsidRPr="00DA76F4" w:rsidRDefault="00DA76F4" w:rsidP="00DA76F4">
      <w:pPr>
        <w:pStyle w:val="Vysvtlivky"/>
        <w:numPr>
          <w:ilvl w:val="1"/>
          <w:numId w:val="4"/>
        </w:numPr>
        <w:spacing w:after="0"/>
      </w:pPr>
      <w:r w:rsidRPr="00DA76F4">
        <w:t>součet všech finančních prostředků získaných z veřejných zdrojů &gt; VP</w:t>
      </w:r>
      <w:r w:rsidRPr="00DA76F4">
        <w:rPr>
          <w:vertAlign w:val="subscript"/>
        </w:rPr>
        <w:t>max</w:t>
      </w:r>
      <w:r w:rsidRPr="00DA76F4">
        <w:t>, jedná se o nepovolenou veřejnou podporu.</w:t>
      </w:r>
    </w:p>
    <w:p w:rsidR="00DA76F4" w:rsidRPr="00DA76F4" w:rsidRDefault="00DA76F4" w:rsidP="00DA76F4">
      <w:pPr>
        <w:pStyle w:val="Vysvtlivky"/>
        <w:spacing w:after="0"/>
      </w:pPr>
      <w:r w:rsidRPr="00DA76F4">
        <w:t>J – jednotka určená pro výpočet vyrovnávací platby dle druhu a formy sociální služby (registrovaná lůžka nebo úvazky pracovníků v přímé péči). Jednotky a jejich počet jsou uvedeny v Síti sociálních služeb schválené pro daný kalendářní rok Zastupitelstvem Olomouckého kraje.</w:t>
      </w:r>
    </w:p>
    <w:p w:rsidR="00DA76F4" w:rsidRPr="00DA76F4" w:rsidRDefault="00DA76F4" w:rsidP="00DA76F4">
      <w:pPr>
        <w:pStyle w:val="Vysvtlivky"/>
        <w:spacing w:after="0"/>
      </w:pPr>
      <w:r w:rsidRPr="00DA76F4">
        <w:t>J</w:t>
      </w:r>
      <w:r w:rsidRPr="00DA76F4">
        <w:rPr>
          <w:vertAlign w:val="subscript"/>
        </w:rPr>
        <w:t>VPmax</w:t>
      </w:r>
      <w:r w:rsidRPr="00DA76F4">
        <w:t xml:space="preserve"> – hodnota stanovená jako maximální vyrovnávací platba na jednotku, přičemž J</w:t>
      </w:r>
      <w:r w:rsidRPr="00DA76F4">
        <w:rPr>
          <w:vertAlign w:val="subscript"/>
        </w:rPr>
        <w:t>VPmax</w:t>
      </w:r>
      <w:r w:rsidRPr="00DA76F4">
        <w:t xml:space="preserve"> = Z * I; výsledek je zaokrouhlen na stovky nahoru.</w:t>
      </w:r>
    </w:p>
    <w:p w:rsidR="00DA76F4" w:rsidRPr="00DA76F4" w:rsidRDefault="00DA76F4" w:rsidP="00DA76F4">
      <w:pPr>
        <w:pStyle w:val="Vysvtlivky"/>
        <w:spacing w:after="0"/>
      </w:pPr>
      <w:r w:rsidRPr="00DA76F4">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rsidR="00DA76F4" w:rsidRPr="00DA76F4" w:rsidRDefault="00DA76F4" w:rsidP="00DA76F4">
      <w:pPr>
        <w:pStyle w:val="Vysvtlivky"/>
        <w:spacing w:after="0"/>
      </w:pPr>
      <w:r w:rsidRPr="00DA76F4">
        <w:t>I – navýšení o inflaci a další nepředpokládané výdaje.</w:t>
      </w:r>
    </w:p>
    <w:p w:rsidR="0027684F" w:rsidRPr="00DA76F4" w:rsidRDefault="0027684F" w:rsidP="00DA76F4">
      <w:pPr>
        <w:rPr>
          <w:bCs/>
          <w:color w:val="000000" w:themeColor="text1"/>
        </w:rPr>
      </w:pPr>
      <w:r w:rsidRPr="00DA76F4">
        <w:rPr>
          <w:bCs/>
          <w:color w:val="000000" w:themeColor="text1"/>
        </w:rPr>
        <w:t xml:space="preserve">Jednotka pro výpočet a parametr Z jsou uvedeny v příloze č. 1 Programu finanční podpory poskytování sociálních služeb v Olomouckém kraji, </w:t>
      </w:r>
      <w:r w:rsidRPr="00DA76F4">
        <w:rPr>
          <w:bCs/>
        </w:rPr>
        <w:t>Obecná část.</w:t>
      </w:r>
    </w:p>
    <w:p w:rsidR="0027684F" w:rsidRPr="00DA76F4" w:rsidRDefault="0027684F" w:rsidP="00DA76F4">
      <w:pPr>
        <w:ind w:left="576" w:hanging="576"/>
        <w:jc w:val="left"/>
        <w:rPr>
          <w:rFonts w:eastAsia="Arial Unicode MS"/>
          <w:b/>
          <w:lang w:eastAsia="cs-CZ"/>
        </w:rPr>
      </w:pPr>
      <w:bookmarkStart w:id="13" w:name="_Toc466438067"/>
    </w:p>
    <w:p w:rsidR="0027684F" w:rsidRPr="00DA76F4" w:rsidRDefault="0027684F" w:rsidP="00DA76F4">
      <w:pPr>
        <w:ind w:left="576" w:hanging="576"/>
        <w:jc w:val="left"/>
        <w:rPr>
          <w:rFonts w:eastAsia="Arial Unicode MS"/>
          <w:b/>
          <w:lang w:eastAsia="cs-CZ"/>
        </w:rPr>
      </w:pPr>
      <w:r w:rsidRPr="00DA76F4">
        <w:rPr>
          <w:rFonts w:eastAsia="Arial Unicode MS"/>
          <w:b/>
          <w:lang w:eastAsia="cs-CZ"/>
        </w:rPr>
        <w:t>V.</w:t>
      </w:r>
      <w:r w:rsidRPr="00DA76F4">
        <w:rPr>
          <w:rFonts w:eastAsia="Arial Unicode MS"/>
          <w:b/>
          <w:lang w:eastAsia="cs-CZ"/>
        </w:rPr>
        <w:tab/>
        <w:t>Přezkoumání vyrovnávací platby</w:t>
      </w:r>
      <w:bookmarkEnd w:id="13"/>
      <w:r w:rsidRPr="00DA76F4">
        <w:rPr>
          <w:rFonts w:eastAsia="Arial Unicode MS"/>
          <w:b/>
          <w:lang w:eastAsia="cs-CZ"/>
        </w:rPr>
        <w:t>, opatření k zamezení a vrácení nadměrné vyrovnávací platby</w:t>
      </w:r>
    </w:p>
    <w:p w:rsidR="0027684F" w:rsidRPr="00DA76F4" w:rsidRDefault="0027684F" w:rsidP="00DA76F4">
      <w:pPr>
        <w:rPr>
          <w:bCs/>
        </w:rPr>
      </w:pPr>
      <w:r w:rsidRPr="00DA76F4">
        <w:rPr>
          <w:bCs/>
        </w:rPr>
        <w:t>K přezkoumání vyrovnávací platby za účelem zamezení a vrácení nadměrné vyrovnávací platby je pověřený podnik povinen poskytnout pověřovateli údaje o výši všech finančních prostředků poskytnutých z veřejných rozpočtů na zajištění závazku veřejné služby. Postup pro splnění této povinnosti se řídí Programem finanční podpory poskytování sociálních služeb v Olomouckém kraji schváleným Zastupitelstvem Olomouckého kraje na daný kalendářní rok.</w:t>
      </w:r>
    </w:p>
    <w:p w:rsidR="0027684F" w:rsidRPr="00DA76F4" w:rsidRDefault="0027684F" w:rsidP="00DA76F4">
      <w:pPr>
        <w:rPr>
          <w:bCs/>
        </w:rPr>
      </w:pPr>
      <w:r w:rsidRPr="00DA76F4">
        <w:rPr>
          <w:bCs/>
        </w:rPr>
        <w:t>Při poskytnutí finančních prostředků z veřejných rozpočtů nad rámec maximální vyrovnávací platby jde o nepovolenou veřejnou podporu (tzv. překompenzaci), kterou je povinen podnik na základě písemné výzvy pověřovatele vrátit pověřovateli. Tato povinnost se nevztahuje na podniky, které na zajištění závazku veřejné služby v souvislosti s tímto Pověřením nečerpají finanční prostředky poskytované pověřovatelem. Tím však není dotčena povinnost podniku vůči jiným poskytovatelům finančních prostředků z veřejných rozpočtů.</w:t>
      </w:r>
    </w:p>
    <w:p w:rsidR="0027684F" w:rsidRPr="00DA76F4" w:rsidRDefault="0027684F" w:rsidP="00DA76F4">
      <w:pPr>
        <w:rPr>
          <w:rFonts w:eastAsia="Times New Roman"/>
          <w:b/>
          <w:lang w:eastAsia="cs-CZ"/>
        </w:rPr>
      </w:pPr>
    </w:p>
    <w:p w:rsidR="0027684F" w:rsidRPr="00DA76F4" w:rsidRDefault="0027684F" w:rsidP="00DA76F4">
      <w:pPr>
        <w:rPr>
          <w:rFonts w:eastAsia="Times New Roman"/>
          <w:b/>
          <w:lang w:eastAsia="cs-CZ"/>
        </w:rPr>
      </w:pPr>
      <w:r w:rsidRPr="00DA76F4">
        <w:rPr>
          <w:rFonts w:eastAsia="Times New Roman"/>
          <w:b/>
          <w:lang w:eastAsia="cs-CZ"/>
        </w:rPr>
        <w:t>VI.</w:t>
      </w:r>
      <w:r w:rsidRPr="00DA76F4">
        <w:rPr>
          <w:rFonts w:eastAsia="Times New Roman"/>
          <w:b/>
          <w:lang w:eastAsia="cs-CZ"/>
        </w:rPr>
        <w:tab/>
        <w:t>Závěrečná ustanovení</w:t>
      </w:r>
    </w:p>
    <w:p w:rsidR="0027684F" w:rsidRPr="00DA76F4" w:rsidRDefault="0027684F" w:rsidP="00DA76F4">
      <w:pPr>
        <w:rPr>
          <w:rFonts w:eastAsia="Times New Roman"/>
          <w:lang w:eastAsia="cs-CZ"/>
        </w:rPr>
      </w:pPr>
      <w:r w:rsidRPr="00DA76F4">
        <w:rPr>
          <w:rFonts w:eastAsia="Times New Roman"/>
          <w:lang w:eastAsia="cs-CZ"/>
        </w:rPr>
        <w:t xml:space="preserve">Toto Pověření umožňuje podniku čerpat finanční prostředky na zajištění závazku veřejné služby z veřejných rozpočtů včetně zdrojů EU v podmínkách vícezdrojového financování. </w:t>
      </w:r>
    </w:p>
    <w:p w:rsidR="0027684F" w:rsidRPr="00DA76F4" w:rsidRDefault="0027684F" w:rsidP="00DA76F4">
      <w:pPr>
        <w:rPr>
          <w:rFonts w:eastAsia="Times New Roman"/>
          <w:lang w:eastAsia="cs-CZ"/>
        </w:rPr>
      </w:pPr>
      <w:r w:rsidRPr="00DA76F4">
        <w:rPr>
          <w:rFonts w:eastAsia="Times New Roman"/>
          <w:lang w:eastAsia="cs-CZ"/>
        </w:rPr>
        <w:t xml:space="preserve">Tímto Pověřením se pověřovatel nezavazuje k poskytnutí finančních prostředků za závazek veřejné služby ze svého rozpočtu. </w:t>
      </w:r>
    </w:p>
    <w:p w:rsidR="0027684F" w:rsidRPr="00DA76F4" w:rsidRDefault="0027684F" w:rsidP="00DA76F4">
      <w:pPr>
        <w:rPr>
          <w:rFonts w:eastAsia="Times New Roman"/>
          <w:lang w:eastAsia="cs-CZ"/>
        </w:rPr>
      </w:pPr>
      <w:r w:rsidRPr="00DA76F4">
        <w:rPr>
          <w:rFonts w:eastAsia="Times New Roman"/>
          <w:lang w:eastAsia="cs-CZ"/>
        </w:rPr>
        <w:t>Toto Pověření se vyhotovuje ve dvou stejnopisech s platností originálu, z nichž jeden obdrží pověřovatel a jeden podnik. Jakékoliv změny Pověření lze provádět pouze vydáním nového pověření.</w:t>
      </w:r>
    </w:p>
    <w:p w:rsidR="0027684F" w:rsidRPr="00DA76F4" w:rsidRDefault="0027684F" w:rsidP="00DA76F4">
      <w:pPr>
        <w:rPr>
          <w:rFonts w:eastAsia="Times New Roman"/>
          <w:color w:val="000000" w:themeColor="text1"/>
          <w:lang w:eastAsia="cs-CZ"/>
        </w:rPr>
      </w:pPr>
      <w:r w:rsidRPr="00DA76F4">
        <w:rPr>
          <w:rFonts w:eastAsia="Times New Roman"/>
          <w:lang w:eastAsia="cs-CZ"/>
        </w:rPr>
        <w:t xml:space="preserve">Podnik prohlašuje, že je seznámen s podmínkami výkonu SOHZ a tohoto Pověření, bere na vědomí všechny své související povinnosti, vyslovuje s nimi souhlas a zavazuje se k jejich plnění. Přijetí Pověření </w:t>
      </w:r>
      <w:r w:rsidRPr="00DA76F4">
        <w:rPr>
          <w:rFonts w:eastAsia="Times New Roman"/>
          <w:color w:val="000000" w:themeColor="text1"/>
          <w:lang w:eastAsia="cs-CZ"/>
        </w:rPr>
        <w:t>stvrzuje podnik podpisem svého statutárního zástupce nebo jím pověřené osoby.</w:t>
      </w:r>
    </w:p>
    <w:p w:rsidR="0027684F" w:rsidRDefault="0027684F" w:rsidP="00DA76F4">
      <w:pPr>
        <w:rPr>
          <w:rFonts w:eastAsia="Times New Roman"/>
          <w:color w:val="000000" w:themeColor="text1"/>
          <w:lang w:eastAsia="cs-CZ"/>
        </w:rPr>
      </w:pPr>
    </w:p>
    <w:tbl>
      <w:tblPr>
        <w:tblW w:w="0" w:type="auto"/>
        <w:tblLook w:val="04A0" w:firstRow="1" w:lastRow="0" w:firstColumn="1" w:lastColumn="0" w:noHBand="0" w:noVBand="1"/>
      </w:tblPr>
      <w:tblGrid>
        <w:gridCol w:w="5263"/>
        <w:gridCol w:w="3807"/>
      </w:tblGrid>
      <w:tr w:rsidR="004D468A" w:rsidRPr="004D468A" w:rsidTr="00EC0630">
        <w:trPr>
          <w:trHeight w:val="1191"/>
        </w:trPr>
        <w:tc>
          <w:tcPr>
            <w:tcW w:w="5387" w:type="dxa"/>
          </w:tcPr>
          <w:p w:rsidR="004D468A" w:rsidRPr="004D468A" w:rsidRDefault="004D468A" w:rsidP="004D468A">
            <w:pPr>
              <w:spacing w:before="0" w:line="240" w:lineRule="auto"/>
              <w:ind w:left="434"/>
              <w:rPr>
                <w:rFonts w:eastAsia="Times New Roman" w:cs="Times New Roman"/>
                <w:szCs w:val="20"/>
                <w:lang w:eastAsia="cs-CZ"/>
              </w:rPr>
            </w:pPr>
          </w:p>
          <w:p w:rsidR="004D468A" w:rsidRPr="004D468A" w:rsidRDefault="004D468A" w:rsidP="004D468A">
            <w:pPr>
              <w:spacing w:before="0" w:line="240" w:lineRule="auto"/>
              <w:ind w:left="434"/>
              <w:rPr>
                <w:rFonts w:eastAsia="Times New Roman" w:cs="Times New Roman"/>
                <w:szCs w:val="20"/>
                <w:lang w:eastAsia="cs-CZ"/>
              </w:rPr>
            </w:pPr>
            <w:r w:rsidRPr="004D468A">
              <w:rPr>
                <w:rFonts w:eastAsia="Times New Roman" w:cs="Times New Roman"/>
                <w:szCs w:val="20"/>
                <w:lang w:eastAsia="cs-CZ"/>
              </w:rPr>
              <w:t xml:space="preserve">Za </w:t>
            </w:r>
            <w:r>
              <w:rPr>
                <w:rFonts w:eastAsia="Times New Roman" w:cs="Times New Roman"/>
                <w:szCs w:val="20"/>
                <w:lang w:eastAsia="cs-CZ"/>
              </w:rPr>
              <w:t>pověřovatele</w:t>
            </w:r>
            <w:r w:rsidRPr="004D468A">
              <w:rPr>
                <w:rFonts w:eastAsia="Times New Roman" w:cs="Times New Roman"/>
                <w:szCs w:val="20"/>
                <w:lang w:eastAsia="cs-CZ"/>
              </w:rPr>
              <w:t>:</w:t>
            </w:r>
          </w:p>
          <w:p w:rsidR="004D468A" w:rsidRPr="004D468A" w:rsidRDefault="004D468A" w:rsidP="004D468A">
            <w:pPr>
              <w:spacing w:before="0" w:line="240" w:lineRule="auto"/>
              <w:ind w:left="434"/>
              <w:rPr>
                <w:rFonts w:eastAsia="Times New Roman" w:cs="Times New Roman"/>
                <w:szCs w:val="20"/>
                <w:lang w:eastAsia="cs-CZ"/>
              </w:rPr>
            </w:pPr>
          </w:p>
        </w:tc>
        <w:tc>
          <w:tcPr>
            <w:tcW w:w="3891" w:type="dxa"/>
          </w:tcPr>
          <w:p w:rsidR="004D468A" w:rsidRPr="004D468A" w:rsidRDefault="004D468A" w:rsidP="004D468A">
            <w:pPr>
              <w:spacing w:before="0" w:line="240" w:lineRule="auto"/>
              <w:ind w:left="434"/>
              <w:rPr>
                <w:rFonts w:eastAsia="Times New Roman" w:cs="Times New Roman"/>
                <w:szCs w:val="20"/>
                <w:lang w:eastAsia="cs-CZ"/>
              </w:rPr>
            </w:pPr>
          </w:p>
          <w:p w:rsidR="004D468A" w:rsidRPr="004D468A" w:rsidRDefault="004D468A" w:rsidP="004D468A">
            <w:pPr>
              <w:spacing w:before="0" w:line="240" w:lineRule="auto"/>
              <w:ind w:left="434"/>
              <w:rPr>
                <w:rFonts w:eastAsia="Times New Roman" w:cs="Times New Roman"/>
                <w:szCs w:val="20"/>
                <w:lang w:eastAsia="cs-CZ"/>
              </w:rPr>
            </w:pPr>
            <w:r w:rsidRPr="004D468A">
              <w:rPr>
                <w:rFonts w:eastAsia="Times New Roman" w:cs="Times New Roman"/>
                <w:szCs w:val="20"/>
                <w:lang w:eastAsia="cs-CZ"/>
              </w:rPr>
              <w:t xml:space="preserve">Za </w:t>
            </w:r>
            <w:r>
              <w:rPr>
                <w:rFonts w:eastAsia="Times New Roman" w:cs="Times New Roman"/>
                <w:szCs w:val="20"/>
                <w:lang w:eastAsia="cs-CZ"/>
              </w:rPr>
              <w:t>pověřený podnik</w:t>
            </w:r>
            <w:r w:rsidRPr="004D468A">
              <w:rPr>
                <w:rFonts w:eastAsia="Times New Roman" w:cs="Times New Roman"/>
                <w:szCs w:val="20"/>
                <w:lang w:eastAsia="cs-CZ"/>
              </w:rPr>
              <w:t>:</w:t>
            </w:r>
          </w:p>
        </w:tc>
      </w:tr>
      <w:tr w:rsidR="004D468A" w:rsidRPr="004D468A" w:rsidTr="00EC0630">
        <w:trPr>
          <w:trHeight w:val="113"/>
        </w:trPr>
        <w:tc>
          <w:tcPr>
            <w:tcW w:w="5387" w:type="dxa"/>
            <w:vAlign w:val="bottom"/>
            <w:hideMark/>
          </w:tcPr>
          <w:p w:rsidR="004D468A" w:rsidRPr="004D468A" w:rsidRDefault="004D468A" w:rsidP="004D468A">
            <w:pPr>
              <w:spacing w:before="0" w:line="240" w:lineRule="auto"/>
              <w:ind w:left="434"/>
              <w:jc w:val="center"/>
              <w:rPr>
                <w:rFonts w:eastAsia="Times New Roman" w:cs="Times New Roman"/>
                <w:szCs w:val="20"/>
                <w:lang w:eastAsia="cs-CZ"/>
              </w:rPr>
            </w:pPr>
            <w:r w:rsidRPr="004D468A">
              <w:rPr>
                <w:rFonts w:eastAsia="Times New Roman" w:cs="Times New Roman"/>
                <w:szCs w:val="20"/>
                <w:lang w:eastAsia="cs-CZ"/>
              </w:rPr>
              <w:t>Mgr. Ivo Slavotínek</w:t>
            </w:r>
          </w:p>
        </w:tc>
        <w:tc>
          <w:tcPr>
            <w:tcW w:w="3891" w:type="dxa"/>
            <w:vAlign w:val="bottom"/>
          </w:tcPr>
          <w:p w:rsidR="004D468A" w:rsidRPr="004D468A" w:rsidRDefault="004D468A" w:rsidP="004D468A">
            <w:pPr>
              <w:spacing w:before="0" w:line="240" w:lineRule="auto"/>
              <w:jc w:val="center"/>
              <w:rPr>
                <w:rFonts w:eastAsia="Times New Roman" w:cs="Times New Roman"/>
                <w:szCs w:val="20"/>
                <w:lang w:eastAsia="cs-CZ"/>
              </w:rPr>
            </w:pPr>
          </w:p>
        </w:tc>
      </w:tr>
      <w:tr w:rsidR="004D468A" w:rsidRPr="004D468A" w:rsidTr="00EC0630">
        <w:trPr>
          <w:trHeight w:val="113"/>
        </w:trPr>
        <w:tc>
          <w:tcPr>
            <w:tcW w:w="5387" w:type="dxa"/>
            <w:vAlign w:val="bottom"/>
            <w:hideMark/>
          </w:tcPr>
          <w:p w:rsidR="004D468A" w:rsidRPr="004D468A" w:rsidRDefault="004D468A" w:rsidP="004D468A">
            <w:pPr>
              <w:spacing w:before="0" w:line="240" w:lineRule="auto"/>
              <w:ind w:left="434"/>
              <w:jc w:val="center"/>
              <w:rPr>
                <w:rFonts w:eastAsia="Times New Roman" w:cs="Times New Roman"/>
                <w:szCs w:val="20"/>
                <w:lang w:eastAsia="cs-CZ"/>
              </w:rPr>
            </w:pPr>
            <w:r w:rsidRPr="004D468A">
              <w:rPr>
                <w:rFonts w:eastAsia="Times New Roman" w:cs="Times New Roman"/>
                <w:szCs w:val="20"/>
                <w:lang w:eastAsia="cs-CZ"/>
              </w:rPr>
              <w:t>1. náměstek hejtmana</w:t>
            </w:r>
          </w:p>
        </w:tc>
        <w:tc>
          <w:tcPr>
            <w:tcW w:w="3891" w:type="dxa"/>
            <w:vAlign w:val="bottom"/>
          </w:tcPr>
          <w:p w:rsidR="004D468A" w:rsidRPr="004D468A" w:rsidRDefault="004D468A" w:rsidP="004D468A">
            <w:pPr>
              <w:spacing w:before="0" w:line="240" w:lineRule="auto"/>
              <w:ind w:left="434"/>
              <w:jc w:val="center"/>
              <w:rPr>
                <w:rFonts w:eastAsia="Times New Roman" w:cs="Times New Roman"/>
                <w:szCs w:val="20"/>
                <w:lang w:eastAsia="cs-CZ"/>
              </w:rPr>
            </w:pPr>
          </w:p>
        </w:tc>
      </w:tr>
    </w:tbl>
    <w:p w:rsidR="004D468A" w:rsidRDefault="004D468A" w:rsidP="00DA76F4">
      <w:pPr>
        <w:rPr>
          <w:rFonts w:eastAsia="Times New Roman"/>
          <w:color w:val="000000" w:themeColor="text1"/>
          <w:lang w:eastAsia="cs-CZ"/>
        </w:rPr>
      </w:pPr>
    </w:p>
    <w:p w:rsidR="0027684F" w:rsidRPr="00DA76F4" w:rsidRDefault="0027684F" w:rsidP="00DA76F4"/>
    <w:p w:rsidR="00F234E7" w:rsidRDefault="00F234E7">
      <w:pPr>
        <w:spacing w:before="0" w:after="200"/>
        <w:jc w:val="left"/>
        <w:rPr>
          <w:b/>
          <w:i/>
          <w:sz w:val="28"/>
        </w:rPr>
      </w:pPr>
      <w:r>
        <w:br w:type="page"/>
      </w:r>
    </w:p>
    <w:p w:rsidR="00220E5A" w:rsidRDefault="00220E5A" w:rsidP="00220E5A">
      <w:pPr>
        <w:pStyle w:val="Nadpis5"/>
      </w:pPr>
      <w:r>
        <w:lastRenderedPageBreak/>
        <w:t xml:space="preserve">Příloha č. </w:t>
      </w:r>
      <w:r w:rsidR="00EE3212">
        <w:t>2</w:t>
      </w:r>
      <w:r>
        <w:t xml:space="preserve"> – Vzor pověření </w:t>
      </w:r>
      <w:r w:rsidRPr="003072CF">
        <w:t xml:space="preserve">poskytováním SOHZ u služeb </w:t>
      </w:r>
      <w:r>
        <w:t>ne</w:t>
      </w:r>
      <w:r w:rsidRPr="003072CF">
        <w:t xml:space="preserve">zařazených do </w:t>
      </w:r>
      <w:r w:rsidR="00F63116">
        <w:t>Sítě</w:t>
      </w:r>
    </w:p>
    <w:p w:rsidR="00E514D1" w:rsidRPr="00E514D1" w:rsidRDefault="00E514D1" w:rsidP="00E514D1">
      <w:pPr>
        <w:spacing w:before="0" w:line="240" w:lineRule="auto"/>
        <w:jc w:val="center"/>
        <w:rPr>
          <w:rFonts w:eastAsia="Times New Roman"/>
          <w:b/>
          <w:spacing w:val="20"/>
          <w:sz w:val="32"/>
          <w:szCs w:val="24"/>
          <w:lang w:eastAsia="cs-CZ"/>
        </w:rPr>
      </w:pPr>
      <w:r w:rsidRPr="00E514D1">
        <w:rPr>
          <w:rFonts w:eastAsia="Times New Roman"/>
          <w:b/>
          <w:spacing w:val="20"/>
          <w:sz w:val="32"/>
          <w:szCs w:val="24"/>
          <w:lang w:eastAsia="cs-CZ"/>
        </w:rPr>
        <w:t>POVĚŘENÍ</w:t>
      </w:r>
    </w:p>
    <w:p w:rsidR="00E514D1" w:rsidRPr="00E514D1" w:rsidRDefault="00E514D1" w:rsidP="00E514D1">
      <w:pPr>
        <w:spacing w:before="0" w:line="240" w:lineRule="auto"/>
        <w:jc w:val="center"/>
        <w:rPr>
          <w:rFonts w:eastAsia="Times New Roman"/>
          <w:b/>
          <w:spacing w:val="20"/>
          <w:sz w:val="32"/>
          <w:szCs w:val="24"/>
          <w:lang w:eastAsia="cs-CZ"/>
        </w:rPr>
      </w:pPr>
      <w:r w:rsidRPr="00E514D1">
        <w:rPr>
          <w:rFonts w:eastAsia="Times New Roman"/>
          <w:b/>
          <w:spacing w:val="20"/>
          <w:sz w:val="32"/>
          <w:szCs w:val="24"/>
          <w:lang w:eastAsia="cs-CZ"/>
        </w:rPr>
        <w:t>k výkonu služby obecného hospodářského zájmu</w:t>
      </w:r>
    </w:p>
    <w:p w:rsidR="00E514D1" w:rsidRPr="00E514D1" w:rsidRDefault="00E514D1" w:rsidP="00E514D1">
      <w:pPr>
        <w:spacing w:before="0" w:line="240" w:lineRule="auto"/>
        <w:jc w:val="center"/>
        <w:rPr>
          <w:rFonts w:eastAsia="Times New Roman"/>
          <w:b/>
          <w:color w:val="FF0000"/>
          <w:spacing w:val="20"/>
          <w:sz w:val="32"/>
          <w:szCs w:val="24"/>
          <w:lang w:eastAsia="cs-CZ"/>
        </w:rPr>
      </w:pPr>
      <w:r w:rsidRPr="00E514D1">
        <w:rPr>
          <w:rFonts w:eastAsia="Times New Roman"/>
          <w:b/>
          <w:spacing w:val="20"/>
          <w:sz w:val="32"/>
          <w:szCs w:val="24"/>
          <w:lang w:eastAsia="cs-CZ"/>
        </w:rPr>
        <w:t xml:space="preserve">č. j.: POV </w:t>
      </w:r>
      <w:r w:rsidRPr="00E514D1">
        <w:rPr>
          <w:rFonts w:eastAsia="Times New Roman"/>
          <w:b/>
          <w:color w:val="FF0000"/>
          <w:spacing w:val="20"/>
          <w:sz w:val="32"/>
          <w:szCs w:val="24"/>
          <w:lang w:eastAsia="cs-CZ"/>
        </w:rPr>
        <w:t xml:space="preserve">B </w:t>
      </w:r>
      <w:r w:rsidRPr="00E514D1">
        <w:rPr>
          <w:rFonts w:eastAsia="Times New Roman"/>
          <w:spacing w:val="20"/>
          <w:sz w:val="32"/>
          <w:szCs w:val="24"/>
          <w:lang w:eastAsia="cs-CZ"/>
        </w:rPr>
        <w:t>/roky/IČO/pořadí</w:t>
      </w:r>
    </w:p>
    <w:p w:rsidR="00E514D1" w:rsidRPr="00007820" w:rsidRDefault="00E514D1" w:rsidP="00E514D1">
      <w:pPr>
        <w:spacing w:before="240" w:line="240" w:lineRule="auto"/>
        <w:jc w:val="center"/>
        <w:rPr>
          <w:rFonts w:eastAsia="Times New Roman"/>
          <w:b/>
          <w:i/>
          <w:spacing w:val="20"/>
          <w:lang w:eastAsia="cs-CZ"/>
        </w:rPr>
      </w:pPr>
      <w:r w:rsidRPr="00007820">
        <w:rPr>
          <w:rFonts w:eastAsia="Times New Roman"/>
          <w:b/>
          <w:i/>
          <w:spacing w:val="20"/>
          <w:lang w:eastAsia="cs-CZ"/>
        </w:rPr>
        <w:t>(dále jen „Pověření“)</w:t>
      </w:r>
    </w:p>
    <w:p w:rsidR="00E514D1" w:rsidRPr="00007820" w:rsidRDefault="00E514D1" w:rsidP="00E514D1">
      <w:pPr>
        <w:spacing w:before="0" w:line="240" w:lineRule="auto"/>
        <w:jc w:val="left"/>
        <w:rPr>
          <w:rFonts w:eastAsia="Times New Roman"/>
          <w:lang w:eastAsia="cs-CZ"/>
        </w:rPr>
      </w:pPr>
    </w:p>
    <w:p w:rsidR="00E514D1" w:rsidRPr="00007820" w:rsidRDefault="00E514D1" w:rsidP="00E514D1">
      <w:pPr>
        <w:spacing w:before="0" w:line="240" w:lineRule="auto"/>
        <w:jc w:val="left"/>
        <w:rPr>
          <w:rFonts w:eastAsia="Times New Roman"/>
          <w:b/>
          <w:lang w:eastAsia="cs-CZ"/>
        </w:rPr>
      </w:pPr>
      <w:r w:rsidRPr="00007820">
        <w:rPr>
          <w:rFonts w:eastAsia="Times New Roman"/>
          <w:b/>
          <w:lang w:eastAsia="cs-CZ"/>
        </w:rPr>
        <w:t>Olomoucký kraj</w:t>
      </w:r>
    </w:p>
    <w:p w:rsidR="00E514D1" w:rsidRPr="00007820" w:rsidRDefault="00E514D1" w:rsidP="00E514D1">
      <w:pPr>
        <w:spacing w:before="0" w:line="240" w:lineRule="auto"/>
        <w:jc w:val="left"/>
        <w:rPr>
          <w:rFonts w:eastAsia="Times New Roman"/>
          <w:lang w:eastAsia="cs-CZ"/>
        </w:rPr>
      </w:pPr>
      <w:r w:rsidRPr="00007820">
        <w:rPr>
          <w:rFonts w:eastAsia="Times New Roman"/>
          <w:lang w:eastAsia="cs-CZ"/>
        </w:rPr>
        <w:t>sídlo:</w:t>
      </w:r>
      <w:r w:rsidRPr="00007820">
        <w:rPr>
          <w:rFonts w:eastAsia="Times New Roman"/>
          <w:lang w:eastAsia="cs-CZ"/>
        </w:rPr>
        <w:tab/>
      </w:r>
      <w:r w:rsidRPr="00007820">
        <w:rPr>
          <w:rFonts w:eastAsia="Times New Roman"/>
          <w:lang w:eastAsia="cs-CZ"/>
        </w:rPr>
        <w:tab/>
        <w:t xml:space="preserve">Jeremenkova 1191/40a, 779 00 Olomouc – Hodolany </w:t>
      </w:r>
    </w:p>
    <w:p w:rsidR="00E514D1" w:rsidRPr="00007820" w:rsidRDefault="00E514D1" w:rsidP="00E514D1">
      <w:pPr>
        <w:spacing w:before="0" w:line="240" w:lineRule="auto"/>
        <w:jc w:val="left"/>
        <w:rPr>
          <w:rFonts w:eastAsia="Times New Roman"/>
          <w:lang w:eastAsia="cs-CZ"/>
        </w:rPr>
      </w:pPr>
      <w:r w:rsidRPr="00007820">
        <w:rPr>
          <w:rFonts w:eastAsia="Times New Roman"/>
          <w:lang w:eastAsia="cs-CZ"/>
        </w:rPr>
        <w:t>IČO:</w:t>
      </w:r>
      <w:r w:rsidRPr="00007820">
        <w:rPr>
          <w:rFonts w:eastAsia="Times New Roman"/>
          <w:lang w:eastAsia="cs-CZ"/>
        </w:rPr>
        <w:tab/>
      </w:r>
      <w:r w:rsidRPr="00007820">
        <w:rPr>
          <w:rFonts w:eastAsia="Times New Roman"/>
          <w:lang w:eastAsia="cs-CZ"/>
        </w:rPr>
        <w:tab/>
        <w:t>60609460</w:t>
      </w:r>
    </w:p>
    <w:p w:rsidR="00E514D1" w:rsidRPr="00007820" w:rsidRDefault="00E514D1" w:rsidP="00E514D1">
      <w:pPr>
        <w:spacing w:before="0" w:line="240" w:lineRule="auto"/>
        <w:jc w:val="left"/>
        <w:rPr>
          <w:rFonts w:eastAsia="Times New Roman"/>
          <w:lang w:eastAsia="cs-CZ"/>
        </w:rPr>
      </w:pPr>
      <w:r w:rsidRPr="00007820">
        <w:rPr>
          <w:rFonts w:eastAsia="Times New Roman"/>
          <w:lang w:eastAsia="cs-CZ"/>
        </w:rPr>
        <w:t xml:space="preserve">DIČ: </w:t>
      </w:r>
      <w:r w:rsidRPr="00007820">
        <w:rPr>
          <w:rFonts w:eastAsia="Times New Roman"/>
          <w:lang w:eastAsia="cs-CZ"/>
        </w:rPr>
        <w:tab/>
      </w:r>
      <w:r w:rsidRPr="00007820">
        <w:rPr>
          <w:rFonts w:eastAsia="Times New Roman"/>
          <w:lang w:eastAsia="cs-CZ"/>
        </w:rPr>
        <w:tab/>
        <w:t>CZ60609460</w:t>
      </w:r>
    </w:p>
    <w:p w:rsidR="00E514D1" w:rsidRPr="00007820" w:rsidRDefault="00E514D1" w:rsidP="00E514D1">
      <w:pPr>
        <w:spacing w:before="0" w:line="240" w:lineRule="auto"/>
        <w:ind w:left="2124" w:hanging="2124"/>
        <w:jc w:val="left"/>
        <w:rPr>
          <w:rFonts w:eastAsia="Times New Roman"/>
          <w:b/>
          <w:bCs/>
          <w:lang w:eastAsia="cs-CZ"/>
        </w:rPr>
      </w:pPr>
      <w:r w:rsidRPr="00007820">
        <w:rPr>
          <w:rFonts w:eastAsia="Times New Roman"/>
          <w:lang w:eastAsia="cs-CZ"/>
        </w:rPr>
        <w:tab/>
      </w:r>
    </w:p>
    <w:p w:rsidR="00E514D1" w:rsidRPr="00007820" w:rsidRDefault="00E514D1" w:rsidP="00E514D1">
      <w:pPr>
        <w:spacing w:before="0" w:line="240" w:lineRule="auto"/>
        <w:jc w:val="left"/>
        <w:rPr>
          <w:rFonts w:eastAsia="Times New Roman"/>
          <w:lang w:eastAsia="cs-CZ"/>
        </w:rPr>
      </w:pPr>
      <w:r w:rsidRPr="00007820">
        <w:rPr>
          <w:rFonts w:eastAsia="Times New Roman"/>
          <w:lang w:eastAsia="cs-CZ"/>
        </w:rPr>
        <w:t>(dále jen „</w:t>
      </w:r>
      <w:r w:rsidRPr="00007820">
        <w:rPr>
          <w:rFonts w:eastAsia="Times New Roman"/>
          <w:b/>
          <w:lang w:eastAsia="cs-CZ"/>
        </w:rPr>
        <w:t>pověřovatel</w:t>
      </w:r>
      <w:r w:rsidRPr="00007820">
        <w:rPr>
          <w:rFonts w:eastAsia="Times New Roman"/>
          <w:lang w:eastAsia="cs-CZ"/>
        </w:rPr>
        <w:t xml:space="preserve">“) </w:t>
      </w:r>
    </w:p>
    <w:p w:rsidR="00E514D1" w:rsidRPr="00007820" w:rsidRDefault="00E514D1" w:rsidP="00E514D1">
      <w:pPr>
        <w:spacing w:before="0" w:line="240" w:lineRule="auto"/>
        <w:rPr>
          <w:rFonts w:eastAsia="Times New Roman"/>
          <w:lang w:eastAsia="cs-CZ"/>
        </w:rPr>
      </w:pPr>
    </w:p>
    <w:p w:rsidR="00E514D1" w:rsidRPr="00007820" w:rsidRDefault="00E514D1" w:rsidP="00E514D1">
      <w:pPr>
        <w:spacing w:before="0" w:line="240" w:lineRule="auto"/>
        <w:rPr>
          <w:rFonts w:eastAsia="Times New Roman"/>
          <w:lang w:eastAsia="cs-CZ"/>
        </w:rPr>
      </w:pPr>
      <w:r w:rsidRPr="00007820">
        <w:rPr>
          <w:rFonts w:eastAsia="Times New Roman"/>
          <w:lang w:eastAsia="cs-CZ"/>
        </w:rPr>
        <w:t xml:space="preserve">v souladu s usnesením Zastupitelstva Olomouckého kraje </w:t>
      </w:r>
      <w:r w:rsidRPr="00007820">
        <w:rPr>
          <w:rFonts w:eastAsia="Times New Roman"/>
          <w:highlight w:val="yellow"/>
          <w:lang w:eastAsia="cs-CZ"/>
        </w:rPr>
        <w:t>č. Q</w:t>
      </w:r>
      <w:r w:rsidRPr="00007820">
        <w:rPr>
          <w:rFonts w:eastAsia="Times New Roman"/>
          <w:lang w:eastAsia="cs-CZ"/>
        </w:rPr>
        <w:t xml:space="preserve"> ze dne </w:t>
      </w:r>
      <w:r w:rsidRPr="00007820">
        <w:rPr>
          <w:rFonts w:eastAsia="Times New Roman"/>
          <w:highlight w:val="yellow"/>
          <w:lang w:eastAsia="cs-CZ"/>
        </w:rPr>
        <w:t>XX. XX. XXXX</w:t>
      </w:r>
      <w:r w:rsidRPr="00007820">
        <w:rPr>
          <w:rFonts w:eastAsia="Times New Roman"/>
          <w:lang w:eastAsia="cs-CZ"/>
        </w:rPr>
        <w:t xml:space="preserve"> podle </w:t>
      </w:r>
      <w:r w:rsidRPr="00007820">
        <w:rPr>
          <w:rFonts w:eastAsia="Times New Roman"/>
          <w:b/>
          <w:lang w:eastAsia="cs-CZ"/>
        </w:rPr>
        <w:t>Rozhodnutí Evropské komise č. 2012/21/EU ze dne 20. 12. 2011</w:t>
      </w:r>
      <w:r w:rsidRPr="00007820">
        <w:rPr>
          <w:rFonts w:eastAsia="Times New Roman"/>
          <w:lang w:eastAsia="cs-CZ"/>
        </w:rPr>
        <w:t xml:space="preserve"> o použití čl. 106 odst. 2 Smlouvy o fungování Evropské unie na státní podporu ve formě vyrovnávací platby za závazek veřejné služby udělené určitým podnikům pověřeným poskytováním služeb obecného hospodářského zájmu </w:t>
      </w:r>
    </w:p>
    <w:p w:rsidR="00E514D1" w:rsidRPr="00007820" w:rsidRDefault="00E514D1" w:rsidP="00E514D1">
      <w:pPr>
        <w:spacing w:before="0" w:line="240" w:lineRule="auto"/>
        <w:rPr>
          <w:rFonts w:eastAsia="Times New Roman"/>
          <w:lang w:eastAsia="cs-CZ"/>
        </w:rPr>
      </w:pPr>
    </w:p>
    <w:p w:rsidR="00E514D1" w:rsidRPr="00007820" w:rsidRDefault="00E514D1" w:rsidP="00E514D1">
      <w:pPr>
        <w:spacing w:before="0" w:line="240" w:lineRule="auto"/>
        <w:jc w:val="center"/>
        <w:rPr>
          <w:rFonts w:eastAsia="Times New Roman"/>
          <w:b/>
          <w:spacing w:val="28"/>
          <w:lang w:eastAsia="cs-CZ"/>
        </w:rPr>
      </w:pPr>
      <w:r w:rsidRPr="00007820">
        <w:rPr>
          <w:rFonts w:eastAsia="Times New Roman"/>
          <w:b/>
          <w:spacing w:val="28"/>
          <w:lang w:eastAsia="cs-CZ"/>
        </w:rPr>
        <w:t xml:space="preserve">pověřuje </w:t>
      </w:r>
    </w:p>
    <w:p w:rsidR="00E514D1" w:rsidRPr="00007820" w:rsidRDefault="00E514D1" w:rsidP="00E514D1">
      <w:pPr>
        <w:spacing w:before="0" w:line="240" w:lineRule="auto"/>
        <w:jc w:val="center"/>
        <w:rPr>
          <w:rFonts w:eastAsia="Times New Roman"/>
          <w:lang w:eastAsia="cs-CZ"/>
        </w:rPr>
      </w:pPr>
      <w:r w:rsidRPr="00007820">
        <w:rPr>
          <w:rFonts w:eastAsia="Times New Roman"/>
          <w:lang w:eastAsia="cs-CZ"/>
        </w:rPr>
        <w:t>poskytováním služby obecného hospodářského zájmu (dále jen „SOHZ“):</w:t>
      </w:r>
    </w:p>
    <w:p w:rsidR="00E514D1" w:rsidRPr="00007820" w:rsidRDefault="00E514D1" w:rsidP="00E514D1">
      <w:pPr>
        <w:spacing w:before="0" w:line="240" w:lineRule="auto"/>
        <w:rPr>
          <w:rFonts w:eastAsia="Times New Roman"/>
          <w:i/>
          <w:lang w:eastAsia="cs-CZ"/>
        </w:rPr>
      </w:pPr>
    </w:p>
    <w:tbl>
      <w:tblPr>
        <w:tblW w:w="9481" w:type="dxa"/>
        <w:tblInd w:w="-112" w:type="dxa"/>
        <w:tblLook w:val="04A0" w:firstRow="1" w:lastRow="0" w:firstColumn="1" w:lastColumn="0" w:noHBand="0" w:noVBand="1"/>
      </w:tblPr>
      <w:tblGrid>
        <w:gridCol w:w="2380"/>
        <w:gridCol w:w="7101"/>
      </w:tblGrid>
      <w:tr w:rsidR="00E514D1" w:rsidRPr="00007820" w:rsidTr="00135B1D">
        <w:trPr>
          <w:trHeight w:val="397"/>
        </w:trPr>
        <w:tc>
          <w:tcPr>
            <w:tcW w:w="2380" w:type="dxa"/>
            <w:shd w:val="clear" w:color="auto" w:fill="auto"/>
          </w:tcPr>
          <w:p w:rsidR="00E514D1" w:rsidRPr="00007820" w:rsidRDefault="00E514D1" w:rsidP="00E514D1">
            <w:pPr>
              <w:spacing w:before="0" w:line="240" w:lineRule="auto"/>
              <w:jc w:val="left"/>
              <w:rPr>
                <w:rFonts w:eastAsia="Times New Roman"/>
                <w:lang w:eastAsia="cs-CZ"/>
              </w:rPr>
            </w:pPr>
            <w:r w:rsidRPr="00007820">
              <w:rPr>
                <w:rFonts w:eastAsia="Times New Roman"/>
                <w:b/>
                <w:lang w:eastAsia="cs-CZ"/>
              </w:rPr>
              <w:t xml:space="preserve">Označení podniku:  </w:t>
            </w:r>
          </w:p>
        </w:tc>
        <w:tc>
          <w:tcPr>
            <w:tcW w:w="7101" w:type="dxa"/>
            <w:shd w:val="clear" w:color="auto" w:fill="auto"/>
          </w:tcPr>
          <w:p w:rsidR="00E514D1" w:rsidRPr="00007820" w:rsidRDefault="00E514D1" w:rsidP="00E514D1">
            <w:pPr>
              <w:spacing w:before="0" w:line="240" w:lineRule="auto"/>
              <w:jc w:val="left"/>
              <w:rPr>
                <w:rFonts w:eastAsia="Times New Roman"/>
                <w:lang w:eastAsia="cs-CZ"/>
              </w:rPr>
            </w:pPr>
          </w:p>
        </w:tc>
      </w:tr>
      <w:tr w:rsidR="00E514D1" w:rsidRPr="00007820" w:rsidTr="00135B1D">
        <w:trPr>
          <w:trHeight w:val="397"/>
        </w:trPr>
        <w:tc>
          <w:tcPr>
            <w:tcW w:w="2380" w:type="dxa"/>
            <w:shd w:val="clear" w:color="auto" w:fill="auto"/>
          </w:tcPr>
          <w:p w:rsidR="00E514D1" w:rsidRPr="00007820" w:rsidRDefault="00E514D1" w:rsidP="00E514D1">
            <w:pPr>
              <w:spacing w:before="0" w:line="240" w:lineRule="auto"/>
              <w:jc w:val="left"/>
              <w:rPr>
                <w:rFonts w:eastAsia="Times New Roman"/>
                <w:lang w:eastAsia="cs-CZ"/>
              </w:rPr>
            </w:pPr>
            <w:r w:rsidRPr="00007820">
              <w:rPr>
                <w:rFonts w:eastAsia="Times New Roman"/>
                <w:lang w:eastAsia="cs-CZ"/>
              </w:rPr>
              <w:t>sídlo:</w:t>
            </w:r>
          </w:p>
        </w:tc>
        <w:tc>
          <w:tcPr>
            <w:tcW w:w="7101" w:type="dxa"/>
            <w:shd w:val="clear" w:color="auto" w:fill="auto"/>
          </w:tcPr>
          <w:p w:rsidR="00E514D1" w:rsidRPr="00007820" w:rsidRDefault="00E514D1" w:rsidP="00E514D1">
            <w:pPr>
              <w:spacing w:before="0" w:line="240" w:lineRule="auto"/>
              <w:jc w:val="left"/>
              <w:rPr>
                <w:rFonts w:eastAsia="Times New Roman"/>
                <w:lang w:eastAsia="cs-CZ"/>
              </w:rPr>
            </w:pPr>
          </w:p>
        </w:tc>
      </w:tr>
      <w:tr w:rsidR="00E514D1" w:rsidRPr="00007820" w:rsidTr="00135B1D">
        <w:trPr>
          <w:trHeight w:val="397"/>
        </w:trPr>
        <w:tc>
          <w:tcPr>
            <w:tcW w:w="2380" w:type="dxa"/>
            <w:shd w:val="clear" w:color="auto" w:fill="auto"/>
          </w:tcPr>
          <w:p w:rsidR="00E514D1" w:rsidRPr="00007820" w:rsidRDefault="00E514D1" w:rsidP="00E514D1">
            <w:pPr>
              <w:spacing w:before="0" w:line="240" w:lineRule="auto"/>
              <w:jc w:val="left"/>
              <w:rPr>
                <w:rFonts w:eastAsia="Times New Roman"/>
                <w:lang w:eastAsia="cs-CZ"/>
              </w:rPr>
            </w:pPr>
            <w:r w:rsidRPr="00007820">
              <w:rPr>
                <w:rFonts w:eastAsia="Times New Roman"/>
                <w:lang w:eastAsia="cs-CZ"/>
              </w:rPr>
              <w:t>IČO:</w:t>
            </w:r>
          </w:p>
        </w:tc>
        <w:tc>
          <w:tcPr>
            <w:tcW w:w="7101" w:type="dxa"/>
            <w:shd w:val="clear" w:color="auto" w:fill="auto"/>
          </w:tcPr>
          <w:p w:rsidR="00E514D1" w:rsidRPr="00007820" w:rsidRDefault="00E514D1" w:rsidP="00E514D1">
            <w:pPr>
              <w:spacing w:before="0" w:line="240" w:lineRule="auto"/>
              <w:jc w:val="left"/>
              <w:rPr>
                <w:rFonts w:eastAsia="Times New Roman"/>
                <w:lang w:eastAsia="cs-CZ"/>
              </w:rPr>
            </w:pPr>
          </w:p>
        </w:tc>
      </w:tr>
      <w:tr w:rsidR="00E514D1" w:rsidRPr="00007820" w:rsidTr="00135B1D">
        <w:trPr>
          <w:trHeight w:val="397"/>
        </w:trPr>
        <w:tc>
          <w:tcPr>
            <w:tcW w:w="2380" w:type="dxa"/>
            <w:shd w:val="clear" w:color="auto" w:fill="auto"/>
          </w:tcPr>
          <w:p w:rsidR="00E514D1" w:rsidRPr="00007820" w:rsidRDefault="00E514D1" w:rsidP="00E514D1">
            <w:pPr>
              <w:spacing w:before="0" w:line="240" w:lineRule="auto"/>
              <w:jc w:val="left"/>
              <w:rPr>
                <w:rFonts w:eastAsia="Times New Roman"/>
                <w:lang w:eastAsia="cs-CZ"/>
              </w:rPr>
            </w:pPr>
            <w:r w:rsidRPr="00007820">
              <w:rPr>
                <w:rFonts w:eastAsia="Times New Roman"/>
                <w:lang w:eastAsia="cs-CZ"/>
              </w:rPr>
              <w:t>DIČ:</w:t>
            </w:r>
            <w:r w:rsidRPr="00007820">
              <w:rPr>
                <w:rFonts w:eastAsia="Times New Roman"/>
                <w:lang w:eastAsia="cs-CZ"/>
              </w:rPr>
              <w:tab/>
            </w:r>
          </w:p>
        </w:tc>
        <w:tc>
          <w:tcPr>
            <w:tcW w:w="7101" w:type="dxa"/>
            <w:shd w:val="clear" w:color="auto" w:fill="auto"/>
          </w:tcPr>
          <w:p w:rsidR="00E514D1" w:rsidRPr="00007820" w:rsidRDefault="00E514D1" w:rsidP="00E514D1">
            <w:pPr>
              <w:spacing w:before="0" w:line="240" w:lineRule="auto"/>
              <w:jc w:val="left"/>
              <w:rPr>
                <w:rFonts w:eastAsia="Times New Roman"/>
                <w:lang w:eastAsia="cs-CZ"/>
              </w:rPr>
            </w:pPr>
          </w:p>
        </w:tc>
      </w:tr>
      <w:tr w:rsidR="00E514D1" w:rsidRPr="00007820" w:rsidTr="00135B1D">
        <w:trPr>
          <w:trHeight w:val="397"/>
        </w:trPr>
        <w:tc>
          <w:tcPr>
            <w:tcW w:w="2380" w:type="dxa"/>
            <w:shd w:val="clear" w:color="auto" w:fill="auto"/>
          </w:tcPr>
          <w:p w:rsidR="00E514D1" w:rsidRPr="00007820" w:rsidRDefault="00E514D1" w:rsidP="00E514D1">
            <w:pPr>
              <w:spacing w:before="0" w:line="240" w:lineRule="auto"/>
              <w:jc w:val="left"/>
              <w:rPr>
                <w:rFonts w:eastAsia="Times New Roman"/>
                <w:lang w:eastAsia="cs-CZ"/>
              </w:rPr>
            </w:pPr>
            <w:r w:rsidRPr="00007820">
              <w:rPr>
                <w:rFonts w:eastAsia="Times New Roman"/>
                <w:lang w:eastAsia="cs-CZ"/>
              </w:rPr>
              <w:t>zastoupení:</w:t>
            </w:r>
            <w:r w:rsidRPr="00007820">
              <w:rPr>
                <w:rFonts w:eastAsia="Times New Roman"/>
                <w:lang w:eastAsia="cs-CZ"/>
              </w:rPr>
              <w:tab/>
            </w:r>
          </w:p>
        </w:tc>
        <w:tc>
          <w:tcPr>
            <w:tcW w:w="7101" w:type="dxa"/>
            <w:shd w:val="clear" w:color="auto" w:fill="auto"/>
          </w:tcPr>
          <w:p w:rsidR="00E514D1" w:rsidRPr="00007820" w:rsidRDefault="00E514D1" w:rsidP="00E514D1">
            <w:pPr>
              <w:spacing w:before="0" w:line="240" w:lineRule="auto"/>
              <w:jc w:val="left"/>
              <w:rPr>
                <w:rFonts w:eastAsia="Times New Roman"/>
                <w:lang w:eastAsia="cs-CZ"/>
              </w:rPr>
            </w:pPr>
          </w:p>
        </w:tc>
      </w:tr>
    </w:tbl>
    <w:p w:rsidR="00E514D1" w:rsidRPr="00007820" w:rsidRDefault="00E514D1" w:rsidP="00E514D1">
      <w:pPr>
        <w:spacing w:before="0" w:line="240" w:lineRule="auto"/>
        <w:rPr>
          <w:rFonts w:eastAsia="Times New Roman"/>
          <w:lang w:eastAsia="cs-CZ"/>
        </w:rPr>
      </w:pPr>
      <w:r w:rsidRPr="00007820">
        <w:rPr>
          <w:rFonts w:eastAsia="Times New Roman"/>
          <w:lang w:eastAsia="cs-CZ"/>
        </w:rPr>
        <w:t>(dále jen „podnik“)</w:t>
      </w:r>
    </w:p>
    <w:p w:rsidR="00E514D1" w:rsidRPr="00007820" w:rsidRDefault="00E514D1" w:rsidP="00E514D1">
      <w:pPr>
        <w:spacing w:before="0" w:line="240" w:lineRule="auto"/>
        <w:rPr>
          <w:rFonts w:eastAsia="Times New Roman"/>
          <w:lang w:eastAsia="cs-CZ"/>
        </w:rPr>
      </w:pPr>
    </w:p>
    <w:p w:rsidR="00E514D1" w:rsidRPr="00007820" w:rsidRDefault="00E514D1" w:rsidP="00E514D1">
      <w:pPr>
        <w:spacing w:line="240" w:lineRule="auto"/>
        <w:rPr>
          <w:rFonts w:eastAsia="Times New Roman"/>
          <w:i/>
          <w:lang w:eastAsia="cs-CZ"/>
        </w:rPr>
      </w:pPr>
      <w:r w:rsidRPr="00007820">
        <w:rPr>
          <w:rFonts w:eastAsia="Times New Roman"/>
          <w:b/>
          <w:lang w:eastAsia="cs-CZ"/>
        </w:rPr>
        <w:t xml:space="preserve">Území, na kterém má být veřejná služba poskytována: </w:t>
      </w:r>
      <w:r w:rsidRPr="00007820">
        <w:rPr>
          <w:rFonts w:eastAsia="Times New Roman"/>
          <w:lang w:eastAsia="cs-CZ"/>
        </w:rPr>
        <w:t>Olomoucký kraj, (</w:t>
      </w:r>
      <w:r w:rsidRPr="00007820">
        <w:rPr>
          <w:rFonts w:eastAsia="Times New Roman"/>
          <w:i/>
          <w:lang w:eastAsia="cs-CZ"/>
        </w:rPr>
        <w:t>doplnit</w:t>
      </w:r>
      <w:r w:rsidR="00C625BD" w:rsidRPr="00007820">
        <w:rPr>
          <w:rFonts w:eastAsia="Times New Roman"/>
          <w:i/>
          <w:lang w:eastAsia="cs-CZ"/>
        </w:rPr>
        <w:t xml:space="preserve"> případně</w:t>
      </w:r>
      <w:r w:rsidRPr="00007820">
        <w:rPr>
          <w:rFonts w:eastAsia="Times New Roman"/>
          <w:i/>
          <w:lang w:eastAsia="cs-CZ"/>
        </w:rPr>
        <w:t xml:space="preserve"> konkrétní území)</w:t>
      </w:r>
    </w:p>
    <w:p w:rsidR="00E514D1" w:rsidRPr="00007820" w:rsidRDefault="00E514D1" w:rsidP="00E514D1">
      <w:pPr>
        <w:spacing w:line="240" w:lineRule="auto"/>
        <w:jc w:val="center"/>
        <w:rPr>
          <w:rFonts w:eastAsia="Times New Roman"/>
          <w:lang w:eastAsia="cs-CZ"/>
        </w:rPr>
      </w:pPr>
    </w:p>
    <w:p w:rsidR="00E514D1" w:rsidRPr="00007820" w:rsidRDefault="00E514D1" w:rsidP="00E514D1">
      <w:pPr>
        <w:spacing w:before="0" w:line="240" w:lineRule="auto"/>
        <w:rPr>
          <w:rFonts w:eastAsia="Times New Roman"/>
          <w:b/>
          <w:lang w:eastAsia="cs-CZ"/>
        </w:rPr>
      </w:pPr>
      <w:r w:rsidRPr="00007820">
        <w:rPr>
          <w:rFonts w:eastAsia="Times New Roman"/>
          <w:b/>
          <w:lang w:eastAsia="cs-CZ"/>
        </w:rPr>
        <w:t>I.</w:t>
      </w:r>
      <w:r w:rsidRPr="00007820">
        <w:rPr>
          <w:rFonts w:eastAsia="Times New Roman"/>
          <w:b/>
          <w:lang w:eastAsia="cs-CZ"/>
        </w:rPr>
        <w:tab/>
        <w:t>Náplň závazku veřejné služby:</w:t>
      </w:r>
    </w:p>
    <w:p w:rsidR="00E514D1" w:rsidRPr="00007820" w:rsidRDefault="00E514D1" w:rsidP="00E514D1">
      <w:pPr>
        <w:spacing w:line="240" w:lineRule="auto"/>
        <w:rPr>
          <w:rFonts w:eastAsia="Arial Unicode MS"/>
          <w:lang w:eastAsia="cs-CZ"/>
        </w:rPr>
      </w:pPr>
      <w:r w:rsidRPr="00007820">
        <w:rPr>
          <w:rFonts w:eastAsia="Times New Roman"/>
          <w:color w:val="000000" w:themeColor="text1"/>
          <w:lang w:eastAsia="cs-CZ"/>
        </w:rPr>
        <w:t xml:space="preserve">Přijetím Pověření se podnik zavazuje poskytovat sociální služby dle zákona č. 108/2006 Sb., o sociálních službách, ve znění pozdějších předpisů </w:t>
      </w:r>
      <w:r w:rsidRPr="00007820">
        <w:rPr>
          <w:rFonts w:eastAsia="Arial Unicode MS"/>
          <w:lang w:eastAsia="cs-CZ"/>
        </w:rPr>
        <w:t>v souladu s údaji uvedenými v žádosti o poskytnutí podpory z daného programu:</w:t>
      </w:r>
    </w:p>
    <w:p w:rsidR="00E514D1" w:rsidRPr="00007820" w:rsidRDefault="00E514D1" w:rsidP="00E514D1">
      <w:pPr>
        <w:spacing w:line="240" w:lineRule="auto"/>
        <w:rPr>
          <w:rFonts w:eastAsia="Arial Unicode MS"/>
          <w:lang w:eastAsia="cs-CZ"/>
        </w:rPr>
      </w:pPr>
      <w:r w:rsidRPr="00007820">
        <w:rPr>
          <w:rFonts w:eastAsia="Arial Unicode MS"/>
          <w:lang w:eastAsia="cs-CZ"/>
        </w:rPr>
        <w:t xml:space="preserve">Poskytování sociální služby </w:t>
      </w:r>
      <w:r w:rsidRPr="00007820">
        <w:rPr>
          <w:rFonts w:eastAsia="Arial Unicode MS"/>
          <w:i/>
          <w:lang w:eastAsia="cs-CZ"/>
        </w:rPr>
        <w:t>(druh služby, forma poskytování</w:t>
      </w:r>
      <w:r w:rsidRPr="00007820">
        <w:rPr>
          <w:rFonts w:eastAsia="Arial Unicode MS"/>
          <w:lang w:eastAsia="cs-CZ"/>
        </w:rPr>
        <w:t xml:space="preserve">) od: </w:t>
      </w:r>
      <w:r w:rsidRPr="00007820">
        <w:rPr>
          <w:rFonts w:eastAsia="Arial Unicode MS"/>
          <w:i/>
          <w:lang w:eastAsia="cs-CZ"/>
        </w:rPr>
        <w:t>(datum zahájení poskytování služby)</w:t>
      </w:r>
    </w:p>
    <w:p w:rsidR="00E514D1" w:rsidRPr="00007820" w:rsidRDefault="00E514D1" w:rsidP="00E514D1">
      <w:pPr>
        <w:spacing w:line="240" w:lineRule="auto"/>
        <w:rPr>
          <w:rFonts w:eastAsia="Arial Unicode MS"/>
          <w:lang w:eastAsia="cs-CZ"/>
        </w:rPr>
      </w:pPr>
      <w:r w:rsidRPr="00007820">
        <w:rPr>
          <w:rFonts w:eastAsia="Arial Unicode MS"/>
          <w:lang w:eastAsia="cs-CZ"/>
        </w:rPr>
        <w:t xml:space="preserve">Kapacita sociální služby: </w:t>
      </w:r>
    </w:p>
    <w:p w:rsidR="00E514D1" w:rsidRPr="00007820" w:rsidRDefault="00E514D1" w:rsidP="00E514D1">
      <w:pPr>
        <w:spacing w:line="240" w:lineRule="auto"/>
        <w:rPr>
          <w:rFonts w:eastAsia="Arial Unicode MS"/>
          <w:lang w:eastAsia="cs-CZ"/>
        </w:rPr>
      </w:pPr>
    </w:p>
    <w:p w:rsidR="00E514D1" w:rsidRPr="00007820" w:rsidRDefault="00E514D1" w:rsidP="00E514D1">
      <w:pPr>
        <w:spacing w:before="0" w:line="240" w:lineRule="auto"/>
        <w:rPr>
          <w:rFonts w:eastAsia="Times New Roman"/>
          <w:b/>
          <w:lang w:eastAsia="cs-CZ"/>
        </w:rPr>
      </w:pPr>
      <w:r w:rsidRPr="00007820">
        <w:rPr>
          <w:rFonts w:eastAsia="Times New Roman"/>
          <w:b/>
          <w:lang w:eastAsia="cs-CZ"/>
        </w:rPr>
        <w:t>II.</w:t>
      </w:r>
      <w:r w:rsidRPr="00007820">
        <w:rPr>
          <w:rFonts w:eastAsia="Times New Roman"/>
          <w:b/>
          <w:lang w:eastAsia="cs-CZ"/>
        </w:rPr>
        <w:tab/>
        <w:t>Trvání závazku veřejné služby:</w:t>
      </w:r>
    </w:p>
    <w:p w:rsidR="00E514D1" w:rsidRPr="00007820" w:rsidRDefault="00E514D1" w:rsidP="00E514D1">
      <w:pPr>
        <w:spacing w:line="240" w:lineRule="auto"/>
        <w:rPr>
          <w:rFonts w:eastAsia="Times New Roman"/>
          <w:strike/>
          <w:lang w:eastAsia="cs-CZ"/>
        </w:rPr>
      </w:pPr>
      <w:r w:rsidRPr="00007820">
        <w:rPr>
          <w:rFonts w:eastAsia="Times New Roman"/>
          <w:lang w:eastAsia="cs-CZ"/>
        </w:rPr>
        <w:t>Podnik se pověřuje poskytováním SOHZ od: …….do:……..</w:t>
      </w:r>
    </w:p>
    <w:p w:rsidR="00E514D1" w:rsidRPr="00007820" w:rsidRDefault="00E514D1" w:rsidP="00E514D1">
      <w:pPr>
        <w:rPr>
          <w:lang w:eastAsia="cs-CZ"/>
        </w:rPr>
      </w:pPr>
      <w:r w:rsidRPr="00007820">
        <w:rPr>
          <w:lang w:eastAsia="cs-CZ"/>
        </w:rPr>
        <w:t>Pověření zaniká:</w:t>
      </w:r>
    </w:p>
    <w:p w:rsidR="00E514D1" w:rsidRPr="00007820" w:rsidRDefault="00E514D1" w:rsidP="00E514D1">
      <w:pPr>
        <w:rPr>
          <w:rFonts w:eastAsia="Arial Unicode MS"/>
          <w:lang w:eastAsia="cs-CZ"/>
        </w:rPr>
      </w:pPr>
      <w:r w:rsidRPr="00007820">
        <w:rPr>
          <w:rFonts w:eastAsia="Arial Unicode MS"/>
          <w:lang w:eastAsia="cs-CZ"/>
        </w:rPr>
        <w:t>a)</w:t>
      </w:r>
      <w:r w:rsidRPr="00007820">
        <w:rPr>
          <w:rFonts w:eastAsia="Arial Unicode MS"/>
          <w:lang w:eastAsia="cs-CZ"/>
        </w:rPr>
        <w:tab/>
        <w:t>uplynutím doby, na kterou je podnik pověřen poskytováním SOHZ,</w:t>
      </w:r>
    </w:p>
    <w:p w:rsidR="00E514D1" w:rsidRPr="00007820" w:rsidRDefault="00E514D1" w:rsidP="00E514D1">
      <w:pPr>
        <w:ind w:left="390" w:hanging="390"/>
        <w:rPr>
          <w:rFonts w:eastAsia="Arial Unicode MS"/>
          <w:lang w:eastAsia="cs-CZ"/>
        </w:rPr>
      </w:pPr>
      <w:r w:rsidRPr="00007820">
        <w:rPr>
          <w:rFonts w:eastAsia="Arial Unicode MS"/>
          <w:lang w:eastAsia="cs-CZ"/>
        </w:rPr>
        <w:lastRenderedPageBreak/>
        <w:t>b)</w:t>
      </w:r>
      <w:r w:rsidRPr="00007820">
        <w:rPr>
          <w:rFonts w:eastAsia="Arial Unicode MS"/>
          <w:lang w:eastAsia="cs-CZ"/>
        </w:rPr>
        <w:tab/>
      </w:r>
      <w:r w:rsidR="00C625BD" w:rsidRPr="00007820">
        <w:t>zrušením pověření SOHZ na základě nedodržení podmínek uvedených v právním aktu, jímž jsou poskytnuty finanční prostředky poskytovatelem dotace z veřejných rozpočtů odlišným od pověřovatele</w:t>
      </w:r>
      <w:r w:rsidRPr="00007820">
        <w:rPr>
          <w:rFonts w:eastAsia="Arial Unicode MS"/>
          <w:lang w:eastAsia="cs-CZ"/>
        </w:rPr>
        <w:t xml:space="preserve">.  </w:t>
      </w:r>
    </w:p>
    <w:p w:rsidR="00E514D1" w:rsidRPr="00007820" w:rsidRDefault="00E514D1" w:rsidP="00E514D1">
      <w:pPr>
        <w:spacing w:line="240" w:lineRule="auto"/>
        <w:ind w:left="1132" w:hanging="424"/>
        <w:rPr>
          <w:rFonts w:eastAsia="Calibri"/>
          <w:b/>
        </w:rPr>
      </w:pPr>
    </w:p>
    <w:p w:rsidR="00E514D1" w:rsidRPr="00007820" w:rsidRDefault="00E514D1" w:rsidP="00E514D1">
      <w:pPr>
        <w:spacing w:before="0" w:line="240" w:lineRule="auto"/>
        <w:rPr>
          <w:rFonts w:eastAsia="Times New Roman"/>
          <w:b/>
          <w:lang w:eastAsia="cs-CZ"/>
        </w:rPr>
      </w:pPr>
      <w:r w:rsidRPr="00007820">
        <w:rPr>
          <w:rFonts w:eastAsia="Times New Roman"/>
          <w:b/>
          <w:lang w:eastAsia="cs-CZ"/>
        </w:rPr>
        <w:t>III.</w:t>
      </w:r>
      <w:r w:rsidRPr="00007820">
        <w:rPr>
          <w:rFonts w:eastAsia="Times New Roman"/>
          <w:b/>
          <w:lang w:eastAsia="cs-CZ"/>
        </w:rPr>
        <w:tab/>
        <w:t>Povaha výhradních nebo zvláštních práv udělených podniku:</w:t>
      </w:r>
    </w:p>
    <w:p w:rsidR="00E514D1" w:rsidRPr="00007820" w:rsidRDefault="00E514D1" w:rsidP="00E514D1">
      <w:pPr>
        <w:rPr>
          <w:rFonts w:eastAsia="Times New Roman"/>
          <w:color w:val="548DD4" w:themeColor="text2" w:themeTint="99"/>
          <w:lang w:eastAsia="cs-CZ"/>
        </w:rPr>
      </w:pPr>
      <w:r w:rsidRPr="00007820">
        <w:rPr>
          <w:rFonts w:eastAsia="Times New Roman"/>
          <w:color w:val="548DD4" w:themeColor="text2" w:themeTint="99"/>
          <w:lang w:eastAsia="cs-CZ"/>
        </w:rPr>
        <w:t>U POOK: K výkonu závazku veřejné služby je pověřený podnik oprávněn využívat majetek pověřovatele, který je mu předán k hospodaření zřizovací listinou.</w:t>
      </w:r>
    </w:p>
    <w:p w:rsidR="00E514D1" w:rsidRPr="00007820" w:rsidRDefault="00E514D1" w:rsidP="00E514D1">
      <w:pPr>
        <w:rPr>
          <w:rFonts w:eastAsia="Times New Roman"/>
          <w:color w:val="548DD4" w:themeColor="text2" w:themeTint="99"/>
          <w:lang w:eastAsia="cs-CZ"/>
        </w:rPr>
      </w:pPr>
      <w:r w:rsidRPr="00007820">
        <w:rPr>
          <w:rFonts w:eastAsia="Times New Roman"/>
          <w:color w:val="548DD4" w:themeColor="text2" w:themeTint="99"/>
          <w:lang w:eastAsia="cs-CZ"/>
        </w:rPr>
        <w:t>U ostatních podniků: Podniku nejsou tímto pověřením udělena žádná výhradní ani zvláštní práva k poskytování sociálních služeb.</w:t>
      </w:r>
    </w:p>
    <w:p w:rsidR="00E514D1" w:rsidRPr="00007820" w:rsidRDefault="00E514D1" w:rsidP="00E514D1">
      <w:pPr>
        <w:spacing w:line="240" w:lineRule="auto"/>
        <w:rPr>
          <w:rFonts w:eastAsia="Times New Roman"/>
          <w:lang w:eastAsia="cs-CZ"/>
        </w:rPr>
      </w:pPr>
    </w:p>
    <w:p w:rsidR="00E514D1" w:rsidRPr="00007820" w:rsidRDefault="00E514D1" w:rsidP="00E514D1">
      <w:pPr>
        <w:spacing w:before="0" w:line="240" w:lineRule="auto"/>
        <w:rPr>
          <w:rFonts w:eastAsia="Times New Roman"/>
          <w:b/>
          <w:lang w:eastAsia="cs-CZ"/>
        </w:rPr>
      </w:pPr>
      <w:r w:rsidRPr="00007820">
        <w:rPr>
          <w:rFonts w:eastAsia="Times New Roman"/>
          <w:b/>
          <w:lang w:eastAsia="cs-CZ"/>
        </w:rPr>
        <w:t>IV.</w:t>
      </w:r>
      <w:r w:rsidRPr="00007820">
        <w:rPr>
          <w:rFonts w:eastAsia="Times New Roman"/>
          <w:b/>
          <w:lang w:eastAsia="cs-CZ"/>
        </w:rPr>
        <w:tab/>
        <w:t>Závěrečná ustanovení</w:t>
      </w:r>
    </w:p>
    <w:p w:rsidR="00E514D1" w:rsidRPr="00007820" w:rsidRDefault="00E514D1" w:rsidP="00E514D1">
      <w:pPr>
        <w:spacing w:line="240" w:lineRule="auto"/>
        <w:rPr>
          <w:rFonts w:eastAsia="Times New Roman"/>
          <w:lang w:eastAsia="cs-CZ"/>
        </w:rPr>
      </w:pPr>
      <w:r w:rsidRPr="00007820">
        <w:rPr>
          <w:rFonts w:eastAsia="Times New Roman"/>
          <w:lang w:eastAsia="cs-CZ"/>
        </w:rPr>
        <w:t xml:space="preserve">Toto Pověření umožňuje podniku čerpat finanční prostředky na zajištění závazku veřejné služby z veřejných rozpočtů včetně zdrojů EU v podmínkách vícezdrojového financování. </w:t>
      </w:r>
    </w:p>
    <w:p w:rsidR="00E514D1" w:rsidRPr="00007820" w:rsidRDefault="000433CA" w:rsidP="00E514D1">
      <w:pPr>
        <w:spacing w:line="240" w:lineRule="auto"/>
        <w:rPr>
          <w:rFonts w:eastAsia="Times New Roman"/>
          <w:lang w:eastAsia="cs-CZ"/>
        </w:rPr>
      </w:pPr>
      <w:r w:rsidRPr="00007820">
        <w:rPr>
          <w:rFonts w:eastAsia="Times New Roman"/>
          <w:lang w:eastAsia="cs-CZ"/>
        </w:rPr>
        <w:t xml:space="preserve">Podniku na základě tohoto </w:t>
      </w:r>
      <w:r w:rsidR="00E514D1" w:rsidRPr="00007820">
        <w:rPr>
          <w:rFonts w:eastAsia="Times New Roman"/>
          <w:lang w:eastAsia="cs-CZ"/>
        </w:rPr>
        <w:t xml:space="preserve">Pověření nebude pověřovatelem poskytována vyrovnávací platba za závazek veřejné služby. </w:t>
      </w:r>
    </w:p>
    <w:p w:rsidR="00E514D1" w:rsidRPr="00007820" w:rsidRDefault="00E514D1" w:rsidP="00E514D1">
      <w:pPr>
        <w:spacing w:line="240" w:lineRule="auto"/>
        <w:rPr>
          <w:rFonts w:eastAsia="Times New Roman"/>
          <w:lang w:eastAsia="cs-CZ"/>
        </w:rPr>
      </w:pPr>
      <w:r w:rsidRPr="00007820">
        <w:rPr>
          <w:rFonts w:eastAsia="Times New Roman"/>
          <w:lang w:eastAsia="cs-CZ"/>
        </w:rPr>
        <w:t>Toto Pověření se vyhotovuje ve dvou stejnopisech s platností originálu, z nichž jeden obdrží pověřovatel a jeden podnik. Jakékoliv změny Pověření lze provádět pouze vydáním nového pověření.</w:t>
      </w:r>
    </w:p>
    <w:p w:rsidR="00E514D1" w:rsidRPr="00007820" w:rsidRDefault="00E514D1" w:rsidP="00E514D1">
      <w:pPr>
        <w:spacing w:line="240" w:lineRule="auto"/>
        <w:rPr>
          <w:rFonts w:eastAsia="Times New Roman"/>
          <w:lang w:eastAsia="cs-CZ"/>
        </w:rPr>
      </w:pPr>
      <w:r w:rsidRPr="00007820">
        <w:rPr>
          <w:rFonts w:eastAsia="Times New Roman"/>
          <w:lang w:eastAsia="cs-CZ"/>
        </w:rPr>
        <w:t>Podnik prohlašuje, že je seznámen s podmínkami výkonu SOHZ a tohoto Pověření, bere na vědomí všechny své související povinnosti, vyslovuje s nimi souhlas a zavazuje se k jejich plnění. Přijetí Pověření stvrzuje podnik podpisem svého statutárního zástupce nebo jím pověřené osoby.</w:t>
      </w:r>
    </w:p>
    <w:p w:rsidR="00E514D1" w:rsidRPr="00007820" w:rsidRDefault="00E514D1" w:rsidP="00E514D1">
      <w:pPr>
        <w:spacing w:line="240" w:lineRule="auto"/>
        <w:rPr>
          <w:rFonts w:eastAsia="Times New Roman"/>
          <w:color w:val="000000" w:themeColor="text1"/>
          <w:lang w:eastAsia="cs-CZ"/>
        </w:rPr>
      </w:pPr>
    </w:p>
    <w:tbl>
      <w:tblPr>
        <w:tblW w:w="0" w:type="auto"/>
        <w:tblLook w:val="04A0" w:firstRow="1" w:lastRow="0" w:firstColumn="1" w:lastColumn="0" w:noHBand="0" w:noVBand="1"/>
      </w:tblPr>
      <w:tblGrid>
        <w:gridCol w:w="5263"/>
        <w:gridCol w:w="3807"/>
      </w:tblGrid>
      <w:tr w:rsidR="00E514D1" w:rsidRPr="00007820" w:rsidTr="00135B1D">
        <w:trPr>
          <w:trHeight w:val="1191"/>
        </w:trPr>
        <w:tc>
          <w:tcPr>
            <w:tcW w:w="5387" w:type="dxa"/>
          </w:tcPr>
          <w:p w:rsidR="00E514D1" w:rsidRPr="00007820" w:rsidRDefault="00E514D1" w:rsidP="00135B1D">
            <w:pPr>
              <w:spacing w:before="0" w:line="240" w:lineRule="auto"/>
              <w:ind w:left="434"/>
              <w:rPr>
                <w:rFonts w:eastAsia="Times New Roman"/>
                <w:lang w:eastAsia="cs-CZ"/>
              </w:rPr>
            </w:pPr>
          </w:p>
          <w:p w:rsidR="00E514D1" w:rsidRPr="00007820" w:rsidRDefault="00E514D1" w:rsidP="00135B1D">
            <w:pPr>
              <w:spacing w:before="0" w:line="240" w:lineRule="auto"/>
              <w:ind w:left="434"/>
              <w:rPr>
                <w:rFonts w:eastAsia="Times New Roman"/>
                <w:lang w:eastAsia="cs-CZ"/>
              </w:rPr>
            </w:pPr>
            <w:r w:rsidRPr="00007820">
              <w:rPr>
                <w:rFonts w:eastAsia="Times New Roman"/>
                <w:lang w:eastAsia="cs-CZ"/>
              </w:rPr>
              <w:t>Za pověřovatele:</w:t>
            </w:r>
          </w:p>
          <w:p w:rsidR="00E514D1" w:rsidRPr="00007820" w:rsidRDefault="00E514D1" w:rsidP="00135B1D">
            <w:pPr>
              <w:spacing w:before="0" w:line="240" w:lineRule="auto"/>
              <w:ind w:left="434"/>
              <w:rPr>
                <w:rFonts w:eastAsia="Times New Roman"/>
                <w:lang w:eastAsia="cs-CZ"/>
              </w:rPr>
            </w:pPr>
          </w:p>
        </w:tc>
        <w:tc>
          <w:tcPr>
            <w:tcW w:w="3891" w:type="dxa"/>
          </w:tcPr>
          <w:p w:rsidR="00E514D1" w:rsidRPr="00007820" w:rsidRDefault="00E514D1" w:rsidP="00135B1D">
            <w:pPr>
              <w:spacing w:before="0" w:line="240" w:lineRule="auto"/>
              <w:ind w:left="434"/>
              <w:rPr>
                <w:rFonts w:eastAsia="Times New Roman"/>
                <w:lang w:eastAsia="cs-CZ"/>
              </w:rPr>
            </w:pPr>
          </w:p>
          <w:p w:rsidR="00E514D1" w:rsidRPr="00007820" w:rsidRDefault="00E514D1" w:rsidP="00135B1D">
            <w:pPr>
              <w:spacing w:before="0" w:line="240" w:lineRule="auto"/>
              <w:ind w:left="434"/>
              <w:rPr>
                <w:rFonts w:eastAsia="Times New Roman"/>
                <w:lang w:eastAsia="cs-CZ"/>
              </w:rPr>
            </w:pPr>
            <w:r w:rsidRPr="00007820">
              <w:rPr>
                <w:rFonts w:eastAsia="Times New Roman"/>
                <w:lang w:eastAsia="cs-CZ"/>
              </w:rPr>
              <w:t>Za pověřený podnik:</w:t>
            </w:r>
          </w:p>
        </w:tc>
      </w:tr>
      <w:tr w:rsidR="00E514D1" w:rsidRPr="00007820" w:rsidTr="00135B1D">
        <w:trPr>
          <w:trHeight w:val="113"/>
        </w:trPr>
        <w:tc>
          <w:tcPr>
            <w:tcW w:w="5387" w:type="dxa"/>
            <w:vAlign w:val="bottom"/>
            <w:hideMark/>
          </w:tcPr>
          <w:p w:rsidR="00E514D1" w:rsidRPr="00007820" w:rsidRDefault="00E514D1" w:rsidP="00135B1D">
            <w:pPr>
              <w:spacing w:before="0" w:line="240" w:lineRule="auto"/>
              <w:ind w:left="434"/>
              <w:jc w:val="center"/>
              <w:rPr>
                <w:rFonts w:eastAsia="Times New Roman"/>
                <w:lang w:eastAsia="cs-CZ"/>
              </w:rPr>
            </w:pPr>
            <w:r w:rsidRPr="00007820">
              <w:rPr>
                <w:rFonts w:eastAsia="Times New Roman"/>
                <w:lang w:eastAsia="cs-CZ"/>
              </w:rPr>
              <w:t>Mgr. Ivo Slavotínek</w:t>
            </w:r>
          </w:p>
        </w:tc>
        <w:tc>
          <w:tcPr>
            <w:tcW w:w="3891" w:type="dxa"/>
            <w:vAlign w:val="bottom"/>
          </w:tcPr>
          <w:p w:rsidR="00E514D1" w:rsidRPr="00007820" w:rsidRDefault="00E514D1" w:rsidP="00135B1D">
            <w:pPr>
              <w:spacing w:before="0" w:line="240" w:lineRule="auto"/>
              <w:jc w:val="center"/>
              <w:rPr>
                <w:rFonts w:eastAsia="Times New Roman"/>
                <w:lang w:eastAsia="cs-CZ"/>
              </w:rPr>
            </w:pPr>
          </w:p>
        </w:tc>
      </w:tr>
      <w:tr w:rsidR="00E514D1" w:rsidRPr="00007820" w:rsidTr="00135B1D">
        <w:trPr>
          <w:trHeight w:val="113"/>
        </w:trPr>
        <w:tc>
          <w:tcPr>
            <w:tcW w:w="5387" w:type="dxa"/>
            <w:vAlign w:val="bottom"/>
            <w:hideMark/>
          </w:tcPr>
          <w:p w:rsidR="00E514D1" w:rsidRPr="00007820" w:rsidRDefault="00E514D1" w:rsidP="00135B1D">
            <w:pPr>
              <w:spacing w:before="0" w:line="240" w:lineRule="auto"/>
              <w:ind w:left="434"/>
              <w:jc w:val="center"/>
              <w:rPr>
                <w:rFonts w:eastAsia="Times New Roman"/>
                <w:lang w:eastAsia="cs-CZ"/>
              </w:rPr>
            </w:pPr>
            <w:r w:rsidRPr="00007820">
              <w:rPr>
                <w:rFonts w:eastAsia="Times New Roman"/>
                <w:lang w:eastAsia="cs-CZ"/>
              </w:rPr>
              <w:t>1. náměstek hejtmana</w:t>
            </w:r>
          </w:p>
        </w:tc>
        <w:tc>
          <w:tcPr>
            <w:tcW w:w="3891" w:type="dxa"/>
            <w:vAlign w:val="bottom"/>
          </w:tcPr>
          <w:p w:rsidR="00E514D1" w:rsidRPr="00007820" w:rsidRDefault="00E514D1" w:rsidP="00135B1D">
            <w:pPr>
              <w:spacing w:before="0" w:line="240" w:lineRule="auto"/>
              <w:ind w:left="434"/>
              <w:jc w:val="center"/>
              <w:rPr>
                <w:rFonts w:eastAsia="Times New Roman"/>
                <w:lang w:eastAsia="cs-CZ"/>
              </w:rPr>
            </w:pPr>
          </w:p>
        </w:tc>
      </w:tr>
    </w:tbl>
    <w:p w:rsidR="00B77237" w:rsidRPr="00007820" w:rsidRDefault="00B77237" w:rsidP="00B77237"/>
    <w:p w:rsidR="00B77237" w:rsidRDefault="00B77237" w:rsidP="00B77237"/>
    <w:p w:rsidR="00B77237" w:rsidRDefault="00B77237" w:rsidP="00B77237"/>
    <w:p w:rsidR="00B77237" w:rsidRPr="00B77237" w:rsidRDefault="00B77237" w:rsidP="00B77237"/>
    <w:p w:rsidR="00EE3212" w:rsidRDefault="00EE3212">
      <w:pPr>
        <w:spacing w:before="0" w:after="200"/>
        <w:jc w:val="left"/>
        <w:rPr>
          <w:b/>
          <w:i/>
          <w:sz w:val="28"/>
        </w:rPr>
      </w:pPr>
      <w:bookmarkStart w:id="14" w:name="_Toc37840804"/>
      <w:r>
        <w:br w:type="page"/>
      </w:r>
    </w:p>
    <w:p w:rsidR="00EE3212" w:rsidRDefault="00EE3212" w:rsidP="00EE3212">
      <w:pPr>
        <w:pStyle w:val="Nadpis5"/>
      </w:pPr>
      <w:r w:rsidRPr="00A57670">
        <w:lastRenderedPageBreak/>
        <w:t xml:space="preserve">Příloha č. </w:t>
      </w:r>
      <w:r>
        <w:t>3</w:t>
      </w:r>
      <w:r w:rsidRPr="00A57670">
        <w:t xml:space="preserve"> – Parametry pro výpočet výše vyrovnávací platby</w:t>
      </w:r>
      <w:bookmarkEnd w:id="14"/>
    </w:p>
    <w:p w:rsidR="00EE3212" w:rsidRPr="009F02A4" w:rsidRDefault="00EE3212" w:rsidP="00EE3212">
      <w:pPr>
        <w:rPr>
          <w:b/>
          <w:i/>
          <w:u w:val="single"/>
        </w:rPr>
      </w:pPr>
      <w:r w:rsidRPr="001672C7">
        <w:rPr>
          <w:rStyle w:val="Zdraznnjemn"/>
        </w:rPr>
        <w:t>Vysvětlivky</w:t>
      </w:r>
      <w:r w:rsidRPr="009F02A4">
        <w:rPr>
          <w:b/>
          <w:i/>
          <w:u w:val="single"/>
        </w:rPr>
        <w:t>:</w:t>
      </w:r>
    </w:p>
    <w:p w:rsidR="00EE3212" w:rsidRPr="009F02A4" w:rsidRDefault="00EE3212" w:rsidP="00EE3212">
      <w:pPr>
        <w:pStyle w:val="Vysvtlivky"/>
      </w:pPr>
      <w:r w:rsidRPr="009F02A4">
        <w:t>J – jednotka pro výpočet výše vyrovnávací platby</w:t>
      </w:r>
    </w:p>
    <w:p w:rsidR="00EE3212" w:rsidRPr="009F02A4" w:rsidRDefault="00EE3212" w:rsidP="00EE3212">
      <w:pPr>
        <w:pStyle w:val="Vysvtlivky"/>
      </w:pPr>
      <w:r w:rsidRPr="009F02A4">
        <w:t>PPP – Údaje o personálním zabezpečení – úvazky pracovníků v přímé péči</w:t>
      </w:r>
    </w:p>
    <w:p w:rsidR="00EE3212" w:rsidRPr="009F02A4" w:rsidRDefault="00EE3212" w:rsidP="00EE3212">
      <w:pPr>
        <w:pStyle w:val="Vysvtlivky"/>
      </w:pPr>
      <w:r w:rsidRPr="009F02A4">
        <w:t>L – Počet registrovaných lůžek</w:t>
      </w:r>
    </w:p>
    <w:p w:rsidR="00EE3212" w:rsidRPr="009F02A4" w:rsidRDefault="00EE3212" w:rsidP="00EE3212">
      <w:pPr>
        <w:pStyle w:val="Vysvtlivky"/>
      </w:pPr>
      <w:r w:rsidRPr="009F02A4">
        <w:t>Z – Parametr vycházející z provozní ztráty přepočtené na jednotku pro daný druh sociální služby</w:t>
      </w:r>
    </w:p>
    <w:p w:rsidR="00EE3212" w:rsidRPr="009F02A4" w:rsidRDefault="00EE3212" w:rsidP="00EE3212">
      <w:pPr>
        <w:pStyle w:val="Vysvtlivky"/>
      </w:pPr>
      <w:r w:rsidRPr="009F02A4">
        <w:t>I – Koeficient, kterým je parametr Z navýšen z důvodu legislativních změn, inflace a dalších proměnných, které mají dopady do rozpočtů sociálních služeb; I = 13 %</w:t>
      </w:r>
    </w:p>
    <w:p w:rsidR="00EE3212" w:rsidRPr="009F02A4" w:rsidRDefault="00EE3212" w:rsidP="00EE3212">
      <w:pPr>
        <w:pStyle w:val="Vysvtlivky"/>
      </w:pPr>
      <w:r w:rsidRPr="009F02A4">
        <w:t>J</w:t>
      </w:r>
      <w:r w:rsidRPr="009F02A4">
        <w:rPr>
          <w:vertAlign w:val="subscript"/>
        </w:rPr>
        <w:t xml:space="preserve">VPmax </w:t>
      </w:r>
      <w:r w:rsidRPr="009F02A4">
        <w:t xml:space="preserve">– výsledné hodnoty získané dosazením proměnných do vzorce </w:t>
      </w:r>
      <w:r w:rsidRPr="009F02A4">
        <w:br/>
        <w:t>J</w:t>
      </w:r>
      <w:r w:rsidRPr="009F02A4">
        <w:rPr>
          <w:vertAlign w:val="subscript"/>
        </w:rPr>
        <w:t>VPmax</w:t>
      </w:r>
      <w:r w:rsidRPr="009F02A4">
        <w:t xml:space="preserve"> = Z * I. Výsledkem součinu hodnoty J</w:t>
      </w:r>
      <w:r w:rsidRPr="009F02A4">
        <w:rPr>
          <w:vertAlign w:val="subscript"/>
        </w:rPr>
        <w:t xml:space="preserve">VPmax </w:t>
      </w:r>
      <w:r w:rsidRPr="009F02A4">
        <w:t>a počtu jednotek (počet jednotek je uveden v Síti sociálních služeb Olomouckého kraje schválené na daný rok) je hodnota maximální vyrovnávací platby, jejíž překročení je nepovolenou veřejnou podporu (tzv. překompenzací)</w:t>
      </w:r>
    </w:p>
    <w:p w:rsidR="00EE3212" w:rsidRPr="00A57670" w:rsidRDefault="00EE3212" w:rsidP="00EE321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1276"/>
        <w:gridCol w:w="1701"/>
        <w:gridCol w:w="2118"/>
      </w:tblGrid>
      <w:tr w:rsidR="00EE3212" w:rsidRPr="009F02A4" w:rsidTr="00CB1409">
        <w:trPr>
          <w:trHeight w:val="454"/>
          <w:tblHeader/>
          <w:jc w:val="center"/>
        </w:trPr>
        <w:tc>
          <w:tcPr>
            <w:tcW w:w="2188" w:type="pct"/>
            <w:shd w:val="clear" w:color="auto" w:fill="B8CCE4"/>
            <w:vAlign w:val="center"/>
            <w:hideMark/>
          </w:tcPr>
          <w:p w:rsidR="00EE3212" w:rsidRPr="009F02A4" w:rsidRDefault="00EE3212" w:rsidP="00CB1409">
            <w:pPr>
              <w:pStyle w:val="Tabulka"/>
            </w:pPr>
            <w:r w:rsidRPr="009F02A4">
              <w:t>Druh služby (specifikum)</w:t>
            </w:r>
          </w:p>
        </w:tc>
        <w:tc>
          <w:tcPr>
            <w:tcW w:w="704" w:type="pct"/>
            <w:shd w:val="clear" w:color="auto" w:fill="B8CCE4"/>
            <w:vAlign w:val="center"/>
            <w:hideMark/>
          </w:tcPr>
          <w:p w:rsidR="00EE3212" w:rsidRPr="009F02A4" w:rsidRDefault="00EE3212" w:rsidP="00CB1409">
            <w:pPr>
              <w:pStyle w:val="Tabulka"/>
              <w:jc w:val="center"/>
            </w:pPr>
            <w:r w:rsidRPr="009F02A4">
              <w:t>J</w:t>
            </w:r>
          </w:p>
        </w:tc>
        <w:tc>
          <w:tcPr>
            <w:tcW w:w="939" w:type="pct"/>
            <w:shd w:val="clear" w:color="auto" w:fill="B8CCE4"/>
            <w:vAlign w:val="center"/>
            <w:hideMark/>
          </w:tcPr>
          <w:p w:rsidR="00EE3212" w:rsidRPr="009F02A4" w:rsidRDefault="00EE3212" w:rsidP="00CB1409">
            <w:pPr>
              <w:pStyle w:val="Tabulka"/>
              <w:jc w:val="center"/>
            </w:pPr>
            <w:r w:rsidRPr="009F02A4">
              <w:t>Z</w:t>
            </w:r>
          </w:p>
        </w:tc>
        <w:tc>
          <w:tcPr>
            <w:tcW w:w="1169" w:type="pct"/>
            <w:shd w:val="clear" w:color="auto" w:fill="B8CCE4"/>
            <w:vAlign w:val="center"/>
          </w:tcPr>
          <w:p w:rsidR="00EE3212" w:rsidRPr="009F02A4" w:rsidRDefault="00EE3212" w:rsidP="00CB1409">
            <w:pPr>
              <w:pStyle w:val="Tabulka"/>
              <w:jc w:val="center"/>
            </w:pPr>
            <w:r w:rsidRPr="009F02A4">
              <w:t>J</w:t>
            </w:r>
            <w:r w:rsidRPr="00327962">
              <w:rPr>
                <w:vertAlign w:val="subscript"/>
              </w:rPr>
              <w:t>VPmax</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Azylové domy pro jednotlivce (§ 57)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219 600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248 800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Azylové domy pro rodiče s dětmi (§ 57)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570 000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645 800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Centra denních služeb (§ 45)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1 036 600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1 174 500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Denní stacionáře (§ 46)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2 056 300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2 329 800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Domovy pro osoby se zdravotním postižením (§ 48)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694 700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787 100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Domovy pro osoby se zdravotním postižením s PAS (§ 48)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1 069 300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1 211 500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Domovy pro seniory (§ 49)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464 400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526 200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Domovy se zvláštním režimem (§ 50)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1 717 900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1 946 400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Domy na půl cesty (§ 58)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374 600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424 400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Chráněné bydlení (§ 51)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575 600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652 200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Intervenční centra (§ 60a)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932 800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1 056 900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Kontaktní centra (§ 59)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1 119 500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1 268 400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Krizová pomoc (§ 60)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1 090 600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1 235 700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Nízkoprahová denní centra (§ 61)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1 369 600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1 551 800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Nízkoprahová zařízení pro děti a mládež (§ 62)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1 101 200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1 247 700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Noclehárny (§ 63)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148 700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168 500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Odborné sociální poradenství (§ 37)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1 613 500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1 828 100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Odlehčovací služby (§ 44)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1 038 700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1 176 900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lastRenderedPageBreak/>
              <w:t xml:space="preserve"> Odlehčovací služby poskytované ve specializovaných zařízeních hospicového typu (§ 44)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388 400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440 100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Osobní asistence (§ 39)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846 000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958 500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Pečovatelská služba (§ 40)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947 400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1 073 400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Podpora samostatného bydlení (§ 43)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808 000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915 500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Raná péče (§ 54)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1 116 900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1 265 500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Služby následné péče (§ 64)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1 030 300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1 167 300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Sociálně aktivizační služby pro rodiny s dětmi (§ 65)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984 900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1 115 900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Sociálně aktivizační služby pro seniory a osoby se zdravotním postižením (§ 66)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1 027 100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1 163 700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Sociálně terapeutické dílny (§ 67)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1 247 400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1 413 300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Sociální rehabilitace (§ 70)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1 213 400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1 374 800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Sociální služby poskytované ve zdravotnických zařízeních lůžkové péče (§ 52)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276 900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313 700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Telefonická krizová pomoc (§ 55)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605 400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685 900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Terapeutické komunity (§ 68)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570 000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645 800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Terénní programy (§ 69)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1 163 100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1 317 800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Tlumočnické služby (§ 56)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PPP</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651 100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737 700 </w:t>
            </w:r>
          </w:p>
        </w:tc>
      </w:tr>
      <w:tr w:rsidR="00EE3212" w:rsidRPr="009F02A4" w:rsidTr="00CB1409">
        <w:trPr>
          <w:trHeight w:val="454"/>
          <w:jc w:val="center"/>
        </w:trPr>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EE3212" w:rsidRPr="009F02A4" w:rsidRDefault="00EE3212" w:rsidP="00CB1409">
            <w:pPr>
              <w:pStyle w:val="Tabulka"/>
              <w:rPr>
                <w:b w:val="0"/>
              </w:rPr>
            </w:pPr>
            <w:r w:rsidRPr="009F02A4">
              <w:rPr>
                <w:b w:val="0"/>
              </w:rPr>
              <w:t xml:space="preserve"> Týdenní stacionáře (§ 47) </w:t>
            </w:r>
          </w:p>
        </w:tc>
        <w:tc>
          <w:tcPr>
            <w:tcW w:w="704"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center"/>
              <w:rPr>
                <w:b w:val="0"/>
              </w:rPr>
            </w:pPr>
            <w:r w:rsidRPr="009F02A4">
              <w:rPr>
                <w:b w:val="0"/>
              </w:rPr>
              <w:t>L</w:t>
            </w:r>
          </w:p>
        </w:tc>
        <w:tc>
          <w:tcPr>
            <w:tcW w:w="93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907 400 </w:t>
            </w:r>
          </w:p>
        </w:tc>
        <w:tc>
          <w:tcPr>
            <w:tcW w:w="1169" w:type="pct"/>
            <w:tcBorders>
              <w:top w:val="single" w:sz="4" w:space="0" w:color="auto"/>
              <w:left w:val="nil"/>
              <w:bottom w:val="single" w:sz="4" w:space="0" w:color="auto"/>
              <w:right w:val="single" w:sz="4" w:space="0" w:color="auto"/>
            </w:tcBorders>
            <w:shd w:val="clear" w:color="auto" w:fill="auto"/>
            <w:vAlign w:val="center"/>
          </w:tcPr>
          <w:p w:rsidR="00EE3212" w:rsidRPr="009F02A4" w:rsidRDefault="00EE3212" w:rsidP="00CB1409">
            <w:pPr>
              <w:pStyle w:val="Tabulka"/>
              <w:jc w:val="right"/>
              <w:rPr>
                <w:b w:val="0"/>
              </w:rPr>
            </w:pPr>
            <w:r w:rsidRPr="009F02A4">
              <w:rPr>
                <w:b w:val="0"/>
              </w:rPr>
              <w:t xml:space="preserve">                 1 028 100 </w:t>
            </w:r>
          </w:p>
        </w:tc>
      </w:tr>
    </w:tbl>
    <w:p w:rsidR="00EE3212" w:rsidRPr="00A57670" w:rsidRDefault="00EE3212" w:rsidP="00EE3212"/>
    <w:p w:rsidR="00EE3212" w:rsidRPr="00A57670" w:rsidRDefault="00EE3212" w:rsidP="00EE3212">
      <w:pPr>
        <w:rPr>
          <w:noProof/>
        </w:rPr>
      </w:pPr>
    </w:p>
    <w:p w:rsidR="00EE3212" w:rsidRPr="00A57670" w:rsidRDefault="00EE3212" w:rsidP="00EE3212">
      <w:pPr>
        <w:rPr>
          <w:noProof/>
        </w:rPr>
      </w:pPr>
    </w:p>
    <w:p w:rsidR="00EE3212" w:rsidRPr="00A57670" w:rsidRDefault="00EE3212" w:rsidP="00EE3212">
      <w:pPr>
        <w:rPr>
          <w:noProof/>
        </w:rPr>
      </w:pPr>
    </w:p>
    <w:p w:rsidR="00EE3212" w:rsidRPr="00A57670" w:rsidRDefault="00EE3212" w:rsidP="00EE3212">
      <w:pPr>
        <w:rPr>
          <w:noProof/>
        </w:rPr>
      </w:pPr>
    </w:p>
    <w:p w:rsidR="00EE3212" w:rsidRPr="00A57670" w:rsidRDefault="00EE3212" w:rsidP="00EE3212">
      <w:pPr>
        <w:rPr>
          <w:noProof/>
        </w:rPr>
      </w:pPr>
    </w:p>
    <w:p w:rsidR="00EE3212" w:rsidRPr="00A57670" w:rsidRDefault="00EE3212" w:rsidP="00EE3212">
      <w:pPr>
        <w:rPr>
          <w:noProof/>
        </w:rPr>
      </w:pPr>
    </w:p>
    <w:p w:rsidR="00EE3212" w:rsidRPr="00A57670" w:rsidRDefault="00EE3212" w:rsidP="00EE3212">
      <w:pPr>
        <w:rPr>
          <w:noProof/>
        </w:rPr>
      </w:pPr>
    </w:p>
    <w:p w:rsidR="00EE3212" w:rsidRPr="00A57670" w:rsidRDefault="00EE3212" w:rsidP="00EE3212">
      <w:pPr>
        <w:rPr>
          <w:noProof/>
        </w:rPr>
      </w:pPr>
    </w:p>
    <w:p w:rsidR="00EE3212" w:rsidRPr="00A57670" w:rsidRDefault="00EE3212" w:rsidP="00EE3212"/>
    <w:p w:rsidR="00EE3212" w:rsidRPr="00A57670" w:rsidRDefault="00EE3212" w:rsidP="00EE3212"/>
    <w:p w:rsidR="00EE3212" w:rsidRPr="00A57670" w:rsidRDefault="00EE3212" w:rsidP="00EE3212"/>
    <w:p w:rsidR="00EE3212" w:rsidRDefault="00EE3212">
      <w:pPr>
        <w:spacing w:before="0" w:after="200"/>
        <w:jc w:val="left"/>
        <w:rPr>
          <w:rFonts w:asciiTheme="minorHAnsi" w:hAnsiTheme="minorHAnsi" w:cstheme="minorBidi"/>
        </w:rPr>
      </w:pPr>
    </w:p>
    <w:sectPr w:rsidR="00EE3212" w:rsidSect="00AA58D9">
      <w:footerReference w:type="default" r:id="rId10"/>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AC" w:rsidRDefault="00F72DAC" w:rsidP="00AA58D9">
      <w:r>
        <w:separator/>
      </w:r>
    </w:p>
    <w:p w:rsidR="00F72DAC" w:rsidRDefault="00F72DAC" w:rsidP="00AA58D9"/>
  </w:endnote>
  <w:endnote w:type="continuationSeparator" w:id="0">
    <w:p w:rsidR="00F72DAC" w:rsidRDefault="00F72DAC" w:rsidP="00AA58D9">
      <w:r>
        <w:continuationSeparator/>
      </w:r>
    </w:p>
    <w:p w:rsidR="00F72DAC" w:rsidRDefault="00F72DAC" w:rsidP="00AA5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haroni">
    <w:altName w:val="Segoe UI Semibold"/>
    <w:charset w:val="B1"/>
    <w:family w:val="auto"/>
    <w:pitch w:val="variable"/>
    <w:sig w:usb0="00000800"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Inter">
    <w:panose1 w:val="02000503000000020004"/>
    <w:charset w:val="EE"/>
    <w:family w:val="auto"/>
    <w:pitch w:val="variable"/>
    <w:sig w:usb0="E00002FF" w:usb1="1200A1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56B" w:rsidRPr="00773F2F" w:rsidRDefault="0092156B" w:rsidP="00AA58D9">
    <w:pPr>
      <w:pStyle w:val="Zpat"/>
    </w:pPr>
  </w:p>
  <w:p w:rsidR="0092156B" w:rsidRDefault="0092156B" w:rsidP="00AA58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94061"/>
      <w:docPartObj>
        <w:docPartGallery w:val="Page Numbers (Bottom of Page)"/>
        <w:docPartUnique/>
      </w:docPartObj>
    </w:sdtPr>
    <w:sdtEndPr>
      <w:rPr>
        <w:sz w:val="18"/>
      </w:rPr>
    </w:sdtEndPr>
    <w:sdtContent>
      <w:p w:rsidR="0092156B" w:rsidRPr="00AA58D9" w:rsidRDefault="0092156B">
        <w:pPr>
          <w:pStyle w:val="Zpat"/>
          <w:jc w:val="right"/>
          <w:rPr>
            <w:sz w:val="18"/>
          </w:rPr>
        </w:pPr>
        <w:r w:rsidRPr="00AA58D9">
          <w:rPr>
            <w:sz w:val="18"/>
          </w:rPr>
          <w:fldChar w:fldCharType="begin"/>
        </w:r>
        <w:r w:rsidRPr="00AA58D9">
          <w:rPr>
            <w:sz w:val="18"/>
          </w:rPr>
          <w:instrText>PAGE   \* MERGEFORMAT</w:instrText>
        </w:r>
        <w:r w:rsidRPr="00AA58D9">
          <w:rPr>
            <w:sz w:val="18"/>
          </w:rPr>
          <w:fldChar w:fldCharType="separate"/>
        </w:r>
        <w:r w:rsidR="00E026A7">
          <w:rPr>
            <w:noProof/>
            <w:sz w:val="18"/>
          </w:rPr>
          <w:t>12</w:t>
        </w:r>
        <w:r w:rsidRPr="00AA58D9">
          <w:rPr>
            <w:sz w:val="18"/>
          </w:rPr>
          <w:fldChar w:fldCharType="end"/>
        </w:r>
      </w:p>
    </w:sdtContent>
  </w:sdt>
  <w:p w:rsidR="0092156B" w:rsidRDefault="0092156B" w:rsidP="00AA58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AC" w:rsidRDefault="00F72DAC" w:rsidP="00AA58D9">
      <w:r>
        <w:separator/>
      </w:r>
    </w:p>
    <w:p w:rsidR="00F72DAC" w:rsidRDefault="00F72DAC" w:rsidP="00AA58D9"/>
  </w:footnote>
  <w:footnote w:type="continuationSeparator" w:id="0">
    <w:p w:rsidR="00F72DAC" w:rsidRDefault="00F72DAC" w:rsidP="00AA58D9">
      <w:r>
        <w:continuationSeparator/>
      </w:r>
    </w:p>
    <w:p w:rsidR="00F72DAC" w:rsidRDefault="00F72DAC" w:rsidP="00AA58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8" style="width:0;height:1.5pt" o:hralign="center" o:bullet="t" o:hrstd="t" o:hr="t" fillcolor="#a0a0a0" stroked="f"/>
    </w:pict>
  </w:numPicBullet>
  <w:numPicBullet w:numPicBulletId="1">
    <w:pict>
      <v:rect id="_x0000_i1039" style="width:0;height:1.5pt" o:hralign="center" o:bullet="t" o:hrstd="t" o:hr="t" fillcolor="#a0a0a0" stroked="f"/>
    </w:pict>
  </w:numPicBullet>
  <w:abstractNum w:abstractNumId="0" w15:restartNumberingAfterBreak="0">
    <w:nsid w:val="00000001"/>
    <w:multiLevelType w:val="multilevel"/>
    <w:tmpl w:val="D25A705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80B66AC0"/>
    <w:lvl w:ilvl="0" w:tplc="A2A648E2">
      <w:start w:val="1"/>
      <w:numFmt w:val="bullet"/>
      <w:pStyle w:val="Vysvtlivky"/>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0B2B2B30"/>
    <w:multiLevelType w:val="hybridMultilevel"/>
    <w:tmpl w:val="2F8C610E"/>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D04834"/>
    <w:multiLevelType w:val="hybridMultilevel"/>
    <w:tmpl w:val="FB6E4BDE"/>
    <w:lvl w:ilvl="0" w:tplc="E38AC21C">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BD54EDF"/>
    <w:multiLevelType w:val="multilevel"/>
    <w:tmpl w:val="6DEC72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EC1584"/>
    <w:multiLevelType w:val="hybridMultilevel"/>
    <w:tmpl w:val="41387EE0"/>
    <w:lvl w:ilvl="0" w:tplc="F6A6D220">
      <w:start w:val="1"/>
      <w:numFmt w:val="lowerLetter"/>
      <w:pStyle w:val="slovn1"/>
      <w:lvlText w:val="%1)"/>
      <w:lvlJc w:val="left"/>
      <w:pPr>
        <w:ind w:left="360" w:hanging="360"/>
      </w:pPr>
      <w:rPr>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604728E"/>
    <w:multiLevelType w:val="hybridMultilevel"/>
    <w:tmpl w:val="D67CE2D4"/>
    <w:lvl w:ilvl="0" w:tplc="B15A4D10">
      <w:start w:val="1"/>
      <w:numFmt w:val="lowerLetter"/>
      <w:lvlText w:val="%1)"/>
      <w:lvlJc w:val="left"/>
      <w:pPr>
        <w:ind w:left="1128" w:hanging="4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AEE0A71"/>
    <w:multiLevelType w:val="multilevel"/>
    <w:tmpl w:val="188C3BF8"/>
    <w:lvl w:ilvl="0">
      <w:start w:val="1"/>
      <w:numFmt w:val="decimal"/>
      <w:pStyle w:val="Nadpis1"/>
      <w:lvlText w:val="ČLÁNEK %1."/>
      <w:lvlJc w:val="left"/>
      <w:pPr>
        <w:ind w:left="482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1288" w:hanging="720"/>
      </w:pPr>
      <w:rPr>
        <w:rFonts w:hint="default"/>
        <w:color w:val="auto"/>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8" w15:restartNumberingAfterBreak="0">
    <w:nsid w:val="3F154FB5"/>
    <w:multiLevelType w:val="hybridMultilevel"/>
    <w:tmpl w:val="414A46E2"/>
    <w:lvl w:ilvl="0" w:tplc="4BC099D0">
      <w:numFmt w:val="bullet"/>
      <w:lvlText w:val="-"/>
      <w:lvlJc w:val="left"/>
      <w:pPr>
        <w:ind w:left="927" w:hanging="360"/>
      </w:pPr>
      <w:rPr>
        <w:rFonts w:ascii="Arial" w:eastAsia="Arial Unicode MS"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42FB5C7F"/>
    <w:multiLevelType w:val="multilevel"/>
    <w:tmpl w:val="6DEC72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C91C84"/>
    <w:multiLevelType w:val="hybridMultilevel"/>
    <w:tmpl w:val="7A767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2C1479"/>
    <w:multiLevelType w:val="hybridMultilevel"/>
    <w:tmpl w:val="2F8C610E"/>
    <w:lvl w:ilvl="0" w:tplc="0405001B">
      <w:start w:val="1"/>
      <w:numFmt w:val="lowerRoman"/>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6AE75F2B"/>
    <w:multiLevelType w:val="hybridMultilevel"/>
    <w:tmpl w:val="CFFA342C"/>
    <w:lvl w:ilvl="0" w:tplc="9506A698">
      <w:start w:val="1"/>
      <w:numFmt w:val="bullet"/>
      <w:lvlText w:val=""/>
      <w:lvlJc w:val="left"/>
      <w:pPr>
        <w:ind w:left="360" w:hanging="360"/>
      </w:pPr>
      <w:rPr>
        <w:rFonts w:ascii="Symbol" w:hAnsi="Symbol" w:hint="default"/>
        <w:b w:val="0"/>
        <w:sz w:val="20"/>
      </w:rPr>
    </w:lvl>
    <w:lvl w:ilvl="1" w:tplc="5B00902E">
      <w:start w:val="1"/>
      <w:numFmt w:val="bullet"/>
      <w:lvlText w:val="o"/>
      <w:lvlJc w:val="left"/>
      <w:pPr>
        <w:ind w:left="1080" w:hanging="360"/>
      </w:pPr>
      <w:rPr>
        <w:rFonts w:ascii="Courier New" w:hAnsi="Courier New" w:cs="Courier New" w:hint="default"/>
        <w:sz w:val="20"/>
        <w:szCs w:val="2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
  </w:num>
  <w:num w:numId="24">
    <w:abstractNumId w:val="9"/>
  </w:num>
  <w:num w:numId="25">
    <w:abstractNumId w:val="5"/>
  </w:num>
  <w:num w:numId="26">
    <w:abstractNumId w:val="3"/>
  </w:num>
  <w:num w:numId="27">
    <w:abstractNumId w:val="3"/>
    <w:lvlOverride w:ilvl="0">
      <w:startOverride w:val="1"/>
    </w:lvlOverride>
  </w:num>
  <w:num w:numId="28">
    <w:abstractNumId w:val="3"/>
    <w:lvlOverride w:ilvl="0">
      <w:startOverride w:val="1"/>
    </w:lvlOverride>
  </w:num>
  <w:num w:numId="29">
    <w:abstractNumId w:val="5"/>
    <w:lvlOverride w:ilvl="0">
      <w:startOverride w:val="1"/>
    </w:lvlOverride>
  </w:num>
  <w:num w:numId="30">
    <w:abstractNumId w:val="0"/>
  </w:num>
  <w:num w:numId="31">
    <w:abstractNumId w:val="12"/>
  </w:num>
  <w:num w:numId="32">
    <w:abstractNumId w:val="0"/>
  </w:num>
  <w:num w:numId="33">
    <w:abstractNumId w:val="0"/>
  </w:num>
  <w:num w:numId="34">
    <w:abstractNumId w:val="2"/>
  </w:num>
  <w:num w:numId="35">
    <w:abstractNumId w:val="5"/>
  </w:num>
  <w:num w:numId="36">
    <w:abstractNumId w:val="11"/>
  </w:num>
  <w:num w:numId="37">
    <w:abstractNumId w:val="5"/>
    <w:lvlOverride w:ilvl="0">
      <w:startOverride w:val="1"/>
    </w:lvlOverride>
  </w:num>
  <w:num w:numId="38">
    <w:abstractNumId w:val="5"/>
    <w:lvlOverride w:ilvl="0">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0"/>
  </w:num>
  <w:num w:numId="48">
    <w:abstractNumId w:val="0"/>
  </w:num>
  <w:num w:numId="4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24E8"/>
    <w:rsid w:val="0000265C"/>
    <w:rsid w:val="00003B4A"/>
    <w:rsid w:val="000051EC"/>
    <w:rsid w:val="00006669"/>
    <w:rsid w:val="00006EC8"/>
    <w:rsid w:val="00007820"/>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33CA"/>
    <w:rsid w:val="000451B2"/>
    <w:rsid w:val="00046016"/>
    <w:rsid w:val="00046BF7"/>
    <w:rsid w:val="00053197"/>
    <w:rsid w:val="00054B1A"/>
    <w:rsid w:val="00057196"/>
    <w:rsid w:val="000578C6"/>
    <w:rsid w:val="00062472"/>
    <w:rsid w:val="000661B7"/>
    <w:rsid w:val="00066A8A"/>
    <w:rsid w:val="00067A72"/>
    <w:rsid w:val="00073F39"/>
    <w:rsid w:val="00074A83"/>
    <w:rsid w:val="000769B2"/>
    <w:rsid w:val="000813B3"/>
    <w:rsid w:val="00081B72"/>
    <w:rsid w:val="00082712"/>
    <w:rsid w:val="00082C72"/>
    <w:rsid w:val="00083CE4"/>
    <w:rsid w:val="000856BF"/>
    <w:rsid w:val="000871FD"/>
    <w:rsid w:val="00090A50"/>
    <w:rsid w:val="00092FA5"/>
    <w:rsid w:val="00093347"/>
    <w:rsid w:val="0009389E"/>
    <w:rsid w:val="00094F8D"/>
    <w:rsid w:val="00095218"/>
    <w:rsid w:val="00095C5B"/>
    <w:rsid w:val="00095E14"/>
    <w:rsid w:val="00096014"/>
    <w:rsid w:val="00096E5D"/>
    <w:rsid w:val="000A0F61"/>
    <w:rsid w:val="000A1B19"/>
    <w:rsid w:val="000A1CEA"/>
    <w:rsid w:val="000A29DA"/>
    <w:rsid w:val="000A4E40"/>
    <w:rsid w:val="000A7ADB"/>
    <w:rsid w:val="000B101F"/>
    <w:rsid w:val="000B18D3"/>
    <w:rsid w:val="000B24DC"/>
    <w:rsid w:val="000B30BE"/>
    <w:rsid w:val="000B4625"/>
    <w:rsid w:val="000B64DD"/>
    <w:rsid w:val="000C16B6"/>
    <w:rsid w:val="000C312E"/>
    <w:rsid w:val="000C49A1"/>
    <w:rsid w:val="000C5109"/>
    <w:rsid w:val="000C60DF"/>
    <w:rsid w:val="000D4331"/>
    <w:rsid w:val="000D5EA8"/>
    <w:rsid w:val="000E51EF"/>
    <w:rsid w:val="000E5982"/>
    <w:rsid w:val="000F0D79"/>
    <w:rsid w:val="000F2C77"/>
    <w:rsid w:val="000F339D"/>
    <w:rsid w:val="000F5C18"/>
    <w:rsid w:val="000F6275"/>
    <w:rsid w:val="000F6DD3"/>
    <w:rsid w:val="001008E5"/>
    <w:rsid w:val="00103DAB"/>
    <w:rsid w:val="00104841"/>
    <w:rsid w:val="00104A64"/>
    <w:rsid w:val="00106C30"/>
    <w:rsid w:val="00111708"/>
    <w:rsid w:val="00112208"/>
    <w:rsid w:val="0011556D"/>
    <w:rsid w:val="00116C2F"/>
    <w:rsid w:val="00127DDB"/>
    <w:rsid w:val="00130864"/>
    <w:rsid w:val="001412DF"/>
    <w:rsid w:val="00141314"/>
    <w:rsid w:val="001414AD"/>
    <w:rsid w:val="0014254D"/>
    <w:rsid w:val="00144667"/>
    <w:rsid w:val="001451AF"/>
    <w:rsid w:val="001459CF"/>
    <w:rsid w:val="00147E75"/>
    <w:rsid w:val="00150BF0"/>
    <w:rsid w:val="001510B7"/>
    <w:rsid w:val="00151FE9"/>
    <w:rsid w:val="0015252A"/>
    <w:rsid w:val="00152CA4"/>
    <w:rsid w:val="001534A5"/>
    <w:rsid w:val="00154138"/>
    <w:rsid w:val="00155E07"/>
    <w:rsid w:val="00156C67"/>
    <w:rsid w:val="00163824"/>
    <w:rsid w:val="00163965"/>
    <w:rsid w:val="001672C7"/>
    <w:rsid w:val="00171F5F"/>
    <w:rsid w:val="00173732"/>
    <w:rsid w:val="0017497A"/>
    <w:rsid w:val="00174AFE"/>
    <w:rsid w:val="0017658B"/>
    <w:rsid w:val="00176659"/>
    <w:rsid w:val="00176BF0"/>
    <w:rsid w:val="00177067"/>
    <w:rsid w:val="00177331"/>
    <w:rsid w:val="00177691"/>
    <w:rsid w:val="00182299"/>
    <w:rsid w:val="001835E8"/>
    <w:rsid w:val="00183851"/>
    <w:rsid w:val="001851D8"/>
    <w:rsid w:val="00185B4B"/>
    <w:rsid w:val="0019272A"/>
    <w:rsid w:val="00192FA9"/>
    <w:rsid w:val="0019736F"/>
    <w:rsid w:val="001A00A8"/>
    <w:rsid w:val="001A0C60"/>
    <w:rsid w:val="001A2E96"/>
    <w:rsid w:val="001A65E0"/>
    <w:rsid w:val="001B1B27"/>
    <w:rsid w:val="001B75BD"/>
    <w:rsid w:val="001C02FA"/>
    <w:rsid w:val="001C0DAF"/>
    <w:rsid w:val="001C1346"/>
    <w:rsid w:val="001C1BC8"/>
    <w:rsid w:val="001C2D12"/>
    <w:rsid w:val="001C7F17"/>
    <w:rsid w:val="001D1516"/>
    <w:rsid w:val="001D3D28"/>
    <w:rsid w:val="001E0416"/>
    <w:rsid w:val="001E1B35"/>
    <w:rsid w:val="001E38B1"/>
    <w:rsid w:val="001E3C03"/>
    <w:rsid w:val="001E3D43"/>
    <w:rsid w:val="001E4766"/>
    <w:rsid w:val="001E47F2"/>
    <w:rsid w:val="001E6EE8"/>
    <w:rsid w:val="001E7DBA"/>
    <w:rsid w:val="001F1337"/>
    <w:rsid w:val="001F2E05"/>
    <w:rsid w:val="001F508F"/>
    <w:rsid w:val="001F55D5"/>
    <w:rsid w:val="001F593F"/>
    <w:rsid w:val="0020024F"/>
    <w:rsid w:val="002023B6"/>
    <w:rsid w:val="002032A5"/>
    <w:rsid w:val="002045FA"/>
    <w:rsid w:val="00204732"/>
    <w:rsid w:val="00205419"/>
    <w:rsid w:val="00206ED5"/>
    <w:rsid w:val="00210244"/>
    <w:rsid w:val="00213F45"/>
    <w:rsid w:val="0021541B"/>
    <w:rsid w:val="002173A4"/>
    <w:rsid w:val="002201EF"/>
    <w:rsid w:val="002205C6"/>
    <w:rsid w:val="00220E5A"/>
    <w:rsid w:val="0022394F"/>
    <w:rsid w:val="00231067"/>
    <w:rsid w:val="002317F5"/>
    <w:rsid w:val="00235C6C"/>
    <w:rsid w:val="00236B64"/>
    <w:rsid w:val="0024013A"/>
    <w:rsid w:val="00240186"/>
    <w:rsid w:val="00240260"/>
    <w:rsid w:val="00240D20"/>
    <w:rsid w:val="00245D44"/>
    <w:rsid w:val="002467A4"/>
    <w:rsid w:val="00246AC8"/>
    <w:rsid w:val="00247306"/>
    <w:rsid w:val="00250827"/>
    <w:rsid w:val="00250E6B"/>
    <w:rsid w:val="002512C7"/>
    <w:rsid w:val="0025259D"/>
    <w:rsid w:val="00254323"/>
    <w:rsid w:val="002560AF"/>
    <w:rsid w:val="00260C16"/>
    <w:rsid w:val="00262479"/>
    <w:rsid w:val="00262892"/>
    <w:rsid w:val="0026466F"/>
    <w:rsid w:val="002667E3"/>
    <w:rsid w:val="00271C80"/>
    <w:rsid w:val="00272013"/>
    <w:rsid w:val="002740D7"/>
    <w:rsid w:val="00275E6C"/>
    <w:rsid w:val="0027684F"/>
    <w:rsid w:val="00277276"/>
    <w:rsid w:val="002806F1"/>
    <w:rsid w:val="00282957"/>
    <w:rsid w:val="00282F0B"/>
    <w:rsid w:val="002850DE"/>
    <w:rsid w:val="0028625A"/>
    <w:rsid w:val="0028749F"/>
    <w:rsid w:val="0029032F"/>
    <w:rsid w:val="00292314"/>
    <w:rsid w:val="00293E3D"/>
    <w:rsid w:val="00294F68"/>
    <w:rsid w:val="002967BA"/>
    <w:rsid w:val="002967DE"/>
    <w:rsid w:val="002A00C3"/>
    <w:rsid w:val="002A1B8E"/>
    <w:rsid w:val="002A27DB"/>
    <w:rsid w:val="002A4D9D"/>
    <w:rsid w:val="002A67E1"/>
    <w:rsid w:val="002A79C3"/>
    <w:rsid w:val="002B2D9B"/>
    <w:rsid w:val="002B6716"/>
    <w:rsid w:val="002B6DF6"/>
    <w:rsid w:val="002C0E0D"/>
    <w:rsid w:val="002C10A5"/>
    <w:rsid w:val="002C2844"/>
    <w:rsid w:val="002C4793"/>
    <w:rsid w:val="002C4CD1"/>
    <w:rsid w:val="002C4E76"/>
    <w:rsid w:val="002D31A2"/>
    <w:rsid w:val="002D3E78"/>
    <w:rsid w:val="002E2455"/>
    <w:rsid w:val="002E3AAB"/>
    <w:rsid w:val="002E3ED3"/>
    <w:rsid w:val="002E5314"/>
    <w:rsid w:val="002E799B"/>
    <w:rsid w:val="002F1C9A"/>
    <w:rsid w:val="002F1FA2"/>
    <w:rsid w:val="002F4E02"/>
    <w:rsid w:val="002F5E47"/>
    <w:rsid w:val="002F60D6"/>
    <w:rsid w:val="003017D1"/>
    <w:rsid w:val="00305969"/>
    <w:rsid w:val="00305F57"/>
    <w:rsid w:val="0030685E"/>
    <w:rsid w:val="003072CF"/>
    <w:rsid w:val="00307C75"/>
    <w:rsid w:val="00310714"/>
    <w:rsid w:val="00311F25"/>
    <w:rsid w:val="003124D8"/>
    <w:rsid w:val="00313DFD"/>
    <w:rsid w:val="003155A6"/>
    <w:rsid w:val="003176E7"/>
    <w:rsid w:val="003202A8"/>
    <w:rsid w:val="00321E43"/>
    <w:rsid w:val="00322117"/>
    <w:rsid w:val="00322533"/>
    <w:rsid w:val="00322DAF"/>
    <w:rsid w:val="00323F58"/>
    <w:rsid w:val="0032522A"/>
    <w:rsid w:val="00327962"/>
    <w:rsid w:val="0033047D"/>
    <w:rsid w:val="00331499"/>
    <w:rsid w:val="003323A0"/>
    <w:rsid w:val="0033546A"/>
    <w:rsid w:val="00336A35"/>
    <w:rsid w:val="0033793B"/>
    <w:rsid w:val="00337CB8"/>
    <w:rsid w:val="003420D1"/>
    <w:rsid w:val="00343130"/>
    <w:rsid w:val="0034325A"/>
    <w:rsid w:val="00343902"/>
    <w:rsid w:val="0034390E"/>
    <w:rsid w:val="0034679A"/>
    <w:rsid w:val="00350828"/>
    <w:rsid w:val="00350C24"/>
    <w:rsid w:val="00352E51"/>
    <w:rsid w:val="00353066"/>
    <w:rsid w:val="00353598"/>
    <w:rsid w:val="003536F9"/>
    <w:rsid w:val="00355E3C"/>
    <w:rsid w:val="00357E87"/>
    <w:rsid w:val="0036202E"/>
    <w:rsid w:val="003620A9"/>
    <w:rsid w:val="00362E73"/>
    <w:rsid w:val="003640D0"/>
    <w:rsid w:val="003646D1"/>
    <w:rsid w:val="003657A7"/>
    <w:rsid w:val="0036612F"/>
    <w:rsid w:val="003670C1"/>
    <w:rsid w:val="0037008A"/>
    <w:rsid w:val="003743D0"/>
    <w:rsid w:val="003745DE"/>
    <w:rsid w:val="00377826"/>
    <w:rsid w:val="00385DBC"/>
    <w:rsid w:val="00386310"/>
    <w:rsid w:val="00387C06"/>
    <w:rsid w:val="003905C7"/>
    <w:rsid w:val="00391686"/>
    <w:rsid w:val="00391F31"/>
    <w:rsid w:val="003936A8"/>
    <w:rsid w:val="00395179"/>
    <w:rsid w:val="00395CBF"/>
    <w:rsid w:val="003965E4"/>
    <w:rsid w:val="00396EEE"/>
    <w:rsid w:val="003A2E16"/>
    <w:rsid w:val="003A5DD3"/>
    <w:rsid w:val="003A7F9E"/>
    <w:rsid w:val="003B023C"/>
    <w:rsid w:val="003B0A8E"/>
    <w:rsid w:val="003B35B9"/>
    <w:rsid w:val="003B38DC"/>
    <w:rsid w:val="003B3E32"/>
    <w:rsid w:val="003C068D"/>
    <w:rsid w:val="003C101A"/>
    <w:rsid w:val="003C2BDD"/>
    <w:rsid w:val="003C4BC2"/>
    <w:rsid w:val="003C772E"/>
    <w:rsid w:val="003C7AD4"/>
    <w:rsid w:val="003C7B24"/>
    <w:rsid w:val="003D1904"/>
    <w:rsid w:val="003D2857"/>
    <w:rsid w:val="003D4823"/>
    <w:rsid w:val="003D49C7"/>
    <w:rsid w:val="003D4A3A"/>
    <w:rsid w:val="003D59A0"/>
    <w:rsid w:val="003D5DEA"/>
    <w:rsid w:val="003D64FF"/>
    <w:rsid w:val="003D6FD4"/>
    <w:rsid w:val="003E2972"/>
    <w:rsid w:val="003E4B6B"/>
    <w:rsid w:val="003E5764"/>
    <w:rsid w:val="003E7EBD"/>
    <w:rsid w:val="003F0FD3"/>
    <w:rsid w:val="003F1580"/>
    <w:rsid w:val="003F2262"/>
    <w:rsid w:val="003F3AAA"/>
    <w:rsid w:val="003F6CF8"/>
    <w:rsid w:val="00401F04"/>
    <w:rsid w:val="00403291"/>
    <w:rsid w:val="004034B3"/>
    <w:rsid w:val="00403903"/>
    <w:rsid w:val="00404C1F"/>
    <w:rsid w:val="004052B8"/>
    <w:rsid w:val="00406555"/>
    <w:rsid w:val="00411CD0"/>
    <w:rsid w:val="00413408"/>
    <w:rsid w:val="00413415"/>
    <w:rsid w:val="00414800"/>
    <w:rsid w:val="00417036"/>
    <w:rsid w:val="004172DB"/>
    <w:rsid w:val="0041744E"/>
    <w:rsid w:val="00423838"/>
    <w:rsid w:val="00424CB9"/>
    <w:rsid w:val="00424F90"/>
    <w:rsid w:val="004306FA"/>
    <w:rsid w:val="00430888"/>
    <w:rsid w:val="004367AD"/>
    <w:rsid w:val="004402AA"/>
    <w:rsid w:val="00440DF0"/>
    <w:rsid w:val="00442015"/>
    <w:rsid w:val="00442603"/>
    <w:rsid w:val="00444C48"/>
    <w:rsid w:val="00444D8C"/>
    <w:rsid w:val="00445B75"/>
    <w:rsid w:val="00446510"/>
    <w:rsid w:val="00451532"/>
    <w:rsid w:val="00452631"/>
    <w:rsid w:val="00456587"/>
    <w:rsid w:val="00460248"/>
    <w:rsid w:val="0046079B"/>
    <w:rsid w:val="00463ADE"/>
    <w:rsid w:val="00465BEA"/>
    <w:rsid w:val="00466835"/>
    <w:rsid w:val="00466BA0"/>
    <w:rsid w:val="00466C88"/>
    <w:rsid w:val="00467791"/>
    <w:rsid w:val="00467F8C"/>
    <w:rsid w:val="00470C1B"/>
    <w:rsid w:val="00472B8F"/>
    <w:rsid w:val="0047441B"/>
    <w:rsid w:val="00474DD2"/>
    <w:rsid w:val="00474E35"/>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441"/>
    <w:rsid w:val="00494ED0"/>
    <w:rsid w:val="004955B8"/>
    <w:rsid w:val="004A29C5"/>
    <w:rsid w:val="004A3215"/>
    <w:rsid w:val="004A32EE"/>
    <w:rsid w:val="004A3329"/>
    <w:rsid w:val="004A3E19"/>
    <w:rsid w:val="004A3E48"/>
    <w:rsid w:val="004A65AD"/>
    <w:rsid w:val="004A78AF"/>
    <w:rsid w:val="004B3746"/>
    <w:rsid w:val="004B410E"/>
    <w:rsid w:val="004B4672"/>
    <w:rsid w:val="004B4A8B"/>
    <w:rsid w:val="004B4BBC"/>
    <w:rsid w:val="004B4FC8"/>
    <w:rsid w:val="004B728C"/>
    <w:rsid w:val="004B7A10"/>
    <w:rsid w:val="004B7A32"/>
    <w:rsid w:val="004B7C23"/>
    <w:rsid w:val="004C074B"/>
    <w:rsid w:val="004C0AA3"/>
    <w:rsid w:val="004C2939"/>
    <w:rsid w:val="004C3DA9"/>
    <w:rsid w:val="004C5680"/>
    <w:rsid w:val="004C711F"/>
    <w:rsid w:val="004D2A3F"/>
    <w:rsid w:val="004D40B7"/>
    <w:rsid w:val="004D468A"/>
    <w:rsid w:val="004D652C"/>
    <w:rsid w:val="004D6F8E"/>
    <w:rsid w:val="004E06D8"/>
    <w:rsid w:val="004E0AE9"/>
    <w:rsid w:val="004E0DA5"/>
    <w:rsid w:val="004E1038"/>
    <w:rsid w:val="004E1967"/>
    <w:rsid w:val="004E1E8A"/>
    <w:rsid w:val="004E252C"/>
    <w:rsid w:val="004E4C5F"/>
    <w:rsid w:val="004E5136"/>
    <w:rsid w:val="004E6AF7"/>
    <w:rsid w:val="004E7815"/>
    <w:rsid w:val="004F004A"/>
    <w:rsid w:val="004F08D1"/>
    <w:rsid w:val="004F3E07"/>
    <w:rsid w:val="004F6822"/>
    <w:rsid w:val="00502846"/>
    <w:rsid w:val="00503E73"/>
    <w:rsid w:val="0050619B"/>
    <w:rsid w:val="00506833"/>
    <w:rsid w:val="0050737C"/>
    <w:rsid w:val="00510AD8"/>
    <w:rsid w:val="00515AB1"/>
    <w:rsid w:val="005165AC"/>
    <w:rsid w:val="00516C64"/>
    <w:rsid w:val="005174BA"/>
    <w:rsid w:val="0052057D"/>
    <w:rsid w:val="00520590"/>
    <w:rsid w:val="00521E6C"/>
    <w:rsid w:val="00522419"/>
    <w:rsid w:val="00522C3D"/>
    <w:rsid w:val="005257B1"/>
    <w:rsid w:val="0053041C"/>
    <w:rsid w:val="00530486"/>
    <w:rsid w:val="0053124E"/>
    <w:rsid w:val="00531903"/>
    <w:rsid w:val="00534470"/>
    <w:rsid w:val="00535E4A"/>
    <w:rsid w:val="005412E6"/>
    <w:rsid w:val="00542D21"/>
    <w:rsid w:val="00542E48"/>
    <w:rsid w:val="005434A2"/>
    <w:rsid w:val="00545600"/>
    <w:rsid w:val="005476CC"/>
    <w:rsid w:val="005513C5"/>
    <w:rsid w:val="005518F6"/>
    <w:rsid w:val="00554251"/>
    <w:rsid w:val="0055594C"/>
    <w:rsid w:val="00555FBA"/>
    <w:rsid w:val="0055607A"/>
    <w:rsid w:val="00557213"/>
    <w:rsid w:val="00557B96"/>
    <w:rsid w:val="00563B3F"/>
    <w:rsid w:val="005665DB"/>
    <w:rsid w:val="00566F66"/>
    <w:rsid w:val="00567CD4"/>
    <w:rsid w:val="00567E7A"/>
    <w:rsid w:val="005704C4"/>
    <w:rsid w:val="005712FA"/>
    <w:rsid w:val="00571604"/>
    <w:rsid w:val="00573D04"/>
    <w:rsid w:val="0057453D"/>
    <w:rsid w:val="00583C58"/>
    <w:rsid w:val="00584B08"/>
    <w:rsid w:val="00584E3B"/>
    <w:rsid w:val="0058643B"/>
    <w:rsid w:val="00586B35"/>
    <w:rsid w:val="0059181B"/>
    <w:rsid w:val="0059314C"/>
    <w:rsid w:val="00594D95"/>
    <w:rsid w:val="005958A5"/>
    <w:rsid w:val="005A2D9C"/>
    <w:rsid w:val="005A39ED"/>
    <w:rsid w:val="005A4508"/>
    <w:rsid w:val="005A56DA"/>
    <w:rsid w:val="005A7DD7"/>
    <w:rsid w:val="005B18BA"/>
    <w:rsid w:val="005B2310"/>
    <w:rsid w:val="005B2E9D"/>
    <w:rsid w:val="005B4FE3"/>
    <w:rsid w:val="005B55D4"/>
    <w:rsid w:val="005B5D95"/>
    <w:rsid w:val="005C23C5"/>
    <w:rsid w:val="005C2DAF"/>
    <w:rsid w:val="005C6609"/>
    <w:rsid w:val="005D0E23"/>
    <w:rsid w:val="005D4B2F"/>
    <w:rsid w:val="005D6B46"/>
    <w:rsid w:val="005E03CA"/>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A73"/>
    <w:rsid w:val="00607BD3"/>
    <w:rsid w:val="00607FBB"/>
    <w:rsid w:val="006133DD"/>
    <w:rsid w:val="006166B2"/>
    <w:rsid w:val="0061719C"/>
    <w:rsid w:val="006225D0"/>
    <w:rsid w:val="00624FE2"/>
    <w:rsid w:val="006259F4"/>
    <w:rsid w:val="00627564"/>
    <w:rsid w:val="00630A24"/>
    <w:rsid w:val="00631CC4"/>
    <w:rsid w:val="00632C0D"/>
    <w:rsid w:val="006337BC"/>
    <w:rsid w:val="00633C28"/>
    <w:rsid w:val="00634E29"/>
    <w:rsid w:val="00635BD9"/>
    <w:rsid w:val="006366FA"/>
    <w:rsid w:val="00637960"/>
    <w:rsid w:val="00637EC5"/>
    <w:rsid w:val="006413FB"/>
    <w:rsid w:val="0064216C"/>
    <w:rsid w:val="00642842"/>
    <w:rsid w:val="00644AC5"/>
    <w:rsid w:val="00646577"/>
    <w:rsid w:val="006467EB"/>
    <w:rsid w:val="0064742A"/>
    <w:rsid w:val="006476FE"/>
    <w:rsid w:val="006510B8"/>
    <w:rsid w:val="00651751"/>
    <w:rsid w:val="00651A70"/>
    <w:rsid w:val="00654086"/>
    <w:rsid w:val="00654E17"/>
    <w:rsid w:val="0065569B"/>
    <w:rsid w:val="00655C4B"/>
    <w:rsid w:val="00657960"/>
    <w:rsid w:val="00657B3C"/>
    <w:rsid w:val="00662D44"/>
    <w:rsid w:val="00662F20"/>
    <w:rsid w:val="00663E07"/>
    <w:rsid w:val="006642D3"/>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10B"/>
    <w:rsid w:val="00694EC3"/>
    <w:rsid w:val="00695D42"/>
    <w:rsid w:val="00696828"/>
    <w:rsid w:val="00697109"/>
    <w:rsid w:val="006973D3"/>
    <w:rsid w:val="0069775F"/>
    <w:rsid w:val="0069783D"/>
    <w:rsid w:val="006978E9"/>
    <w:rsid w:val="00697D06"/>
    <w:rsid w:val="006A06DB"/>
    <w:rsid w:val="006A173E"/>
    <w:rsid w:val="006A52BF"/>
    <w:rsid w:val="006A56E8"/>
    <w:rsid w:val="006A6317"/>
    <w:rsid w:val="006A719F"/>
    <w:rsid w:val="006B083D"/>
    <w:rsid w:val="006B08DA"/>
    <w:rsid w:val="006B0D65"/>
    <w:rsid w:val="006B1CBB"/>
    <w:rsid w:val="006B2C94"/>
    <w:rsid w:val="006B4171"/>
    <w:rsid w:val="006B634D"/>
    <w:rsid w:val="006C05F1"/>
    <w:rsid w:val="006C1395"/>
    <w:rsid w:val="006C339C"/>
    <w:rsid w:val="006C60FF"/>
    <w:rsid w:val="006C6CED"/>
    <w:rsid w:val="006C6D12"/>
    <w:rsid w:val="006C7A64"/>
    <w:rsid w:val="006C7D55"/>
    <w:rsid w:val="006D0C38"/>
    <w:rsid w:val="006D0E4C"/>
    <w:rsid w:val="006D25BA"/>
    <w:rsid w:val="006D73CD"/>
    <w:rsid w:val="006D7BEE"/>
    <w:rsid w:val="006D7E76"/>
    <w:rsid w:val="006E25BC"/>
    <w:rsid w:val="006E2E4B"/>
    <w:rsid w:val="006E54AB"/>
    <w:rsid w:val="006E5CA8"/>
    <w:rsid w:val="006E699C"/>
    <w:rsid w:val="006E6E77"/>
    <w:rsid w:val="006E74CA"/>
    <w:rsid w:val="006F11BD"/>
    <w:rsid w:val="006F1ABD"/>
    <w:rsid w:val="006F3C90"/>
    <w:rsid w:val="006F49DC"/>
    <w:rsid w:val="006F5DCB"/>
    <w:rsid w:val="006F7598"/>
    <w:rsid w:val="007005FF"/>
    <w:rsid w:val="007014BC"/>
    <w:rsid w:val="00701777"/>
    <w:rsid w:val="00702FEF"/>
    <w:rsid w:val="00703535"/>
    <w:rsid w:val="00704908"/>
    <w:rsid w:val="0070651D"/>
    <w:rsid w:val="00710E0E"/>
    <w:rsid w:val="0071198A"/>
    <w:rsid w:val="007122E2"/>
    <w:rsid w:val="0071281D"/>
    <w:rsid w:val="00712E10"/>
    <w:rsid w:val="00715C74"/>
    <w:rsid w:val="00716C51"/>
    <w:rsid w:val="00716DB4"/>
    <w:rsid w:val="00717162"/>
    <w:rsid w:val="007171FB"/>
    <w:rsid w:val="0072051A"/>
    <w:rsid w:val="0072101B"/>
    <w:rsid w:val="007215FC"/>
    <w:rsid w:val="00721906"/>
    <w:rsid w:val="007240AF"/>
    <w:rsid w:val="00724883"/>
    <w:rsid w:val="00725996"/>
    <w:rsid w:val="0073318D"/>
    <w:rsid w:val="007333A3"/>
    <w:rsid w:val="00737173"/>
    <w:rsid w:val="00737289"/>
    <w:rsid w:val="0074036B"/>
    <w:rsid w:val="007415D5"/>
    <w:rsid w:val="00745F3F"/>
    <w:rsid w:val="007465F2"/>
    <w:rsid w:val="00746EA7"/>
    <w:rsid w:val="007471A8"/>
    <w:rsid w:val="007504FF"/>
    <w:rsid w:val="0075168B"/>
    <w:rsid w:val="00753381"/>
    <w:rsid w:val="00755BAA"/>
    <w:rsid w:val="00760A88"/>
    <w:rsid w:val="00762F5F"/>
    <w:rsid w:val="0076339E"/>
    <w:rsid w:val="007646B7"/>
    <w:rsid w:val="0076491D"/>
    <w:rsid w:val="007652DB"/>
    <w:rsid w:val="0076568D"/>
    <w:rsid w:val="0076599C"/>
    <w:rsid w:val="007678FB"/>
    <w:rsid w:val="00767FE5"/>
    <w:rsid w:val="00773C08"/>
    <w:rsid w:val="00773D25"/>
    <w:rsid w:val="00773F2F"/>
    <w:rsid w:val="00774B95"/>
    <w:rsid w:val="007765E0"/>
    <w:rsid w:val="0077718A"/>
    <w:rsid w:val="00780269"/>
    <w:rsid w:val="0078026C"/>
    <w:rsid w:val="0078185D"/>
    <w:rsid w:val="00781F2F"/>
    <w:rsid w:val="00782978"/>
    <w:rsid w:val="00784CFB"/>
    <w:rsid w:val="00785EF8"/>
    <w:rsid w:val="007864F7"/>
    <w:rsid w:val="0079026C"/>
    <w:rsid w:val="007921D4"/>
    <w:rsid w:val="00794369"/>
    <w:rsid w:val="00795512"/>
    <w:rsid w:val="007A0AB6"/>
    <w:rsid w:val="007A61F3"/>
    <w:rsid w:val="007A6699"/>
    <w:rsid w:val="007B0441"/>
    <w:rsid w:val="007B1D07"/>
    <w:rsid w:val="007B23D4"/>
    <w:rsid w:val="007B3470"/>
    <w:rsid w:val="007B5D26"/>
    <w:rsid w:val="007B5F9D"/>
    <w:rsid w:val="007B77AA"/>
    <w:rsid w:val="007C17D3"/>
    <w:rsid w:val="007C1849"/>
    <w:rsid w:val="007C3DA7"/>
    <w:rsid w:val="007C515B"/>
    <w:rsid w:val="007C6A53"/>
    <w:rsid w:val="007C7EF1"/>
    <w:rsid w:val="007D095A"/>
    <w:rsid w:val="007D0F98"/>
    <w:rsid w:val="007D1116"/>
    <w:rsid w:val="007D28AE"/>
    <w:rsid w:val="007D37C1"/>
    <w:rsid w:val="007D3919"/>
    <w:rsid w:val="007D395D"/>
    <w:rsid w:val="007D4708"/>
    <w:rsid w:val="007D4FCB"/>
    <w:rsid w:val="007D521F"/>
    <w:rsid w:val="007E157B"/>
    <w:rsid w:val="007E1912"/>
    <w:rsid w:val="007E3055"/>
    <w:rsid w:val="007E35B0"/>
    <w:rsid w:val="007E4AC4"/>
    <w:rsid w:val="007E54D9"/>
    <w:rsid w:val="007E5D0C"/>
    <w:rsid w:val="007E6C2B"/>
    <w:rsid w:val="007F06B4"/>
    <w:rsid w:val="007F3C34"/>
    <w:rsid w:val="007F4FC0"/>
    <w:rsid w:val="00800CBD"/>
    <w:rsid w:val="0080247B"/>
    <w:rsid w:val="0080362E"/>
    <w:rsid w:val="00803F65"/>
    <w:rsid w:val="00804E10"/>
    <w:rsid w:val="0081055C"/>
    <w:rsid w:val="00812008"/>
    <w:rsid w:val="008123B2"/>
    <w:rsid w:val="008150C7"/>
    <w:rsid w:val="00815AF7"/>
    <w:rsid w:val="00820D11"/>
    <w:rsid w:val="0082189D"/>
    <w:rsid w:val="008238E5"/>
    <w:rsid w:val="00824146"/>
    <w:rsid w:val="008269D3"/>
    <w:rsid w:val="008301B0"/>
    <w:rsid w:val="00833E0B"/>
    <w:rsid w:val="008369BB"/>
    <w:rsid w:val="008401D8"/>
    <w:rsid w:val="008410A9"/>
    <w:rsid w:val="008429C2"/>
    <w:rsid w:val="008440FA"/>
    <w:rsid w:val="0084445B"/>
    <w:rsid w:val="00846628"/>
    <w:rsid w:val="00847B97"/>
    <w:rsid w:val="0085322C"/>
    <w:rsid w:val="00855E2E"/>
    <w:rsid w:val="00856468"/>
    <w:rsid w:val="0085696D"/>
    <w:rsid w:val="00856E8D"/>
    <w:rsid w:val="00857209"/>
    <w:rsid w:val="00857288"/>
    <w:rsid w:val="008578F1"/>
    <w:rsid w:val="0086159F"/>
    <w:rsid w:val="008633C4"/>
    <w:rsid w:val="00863777"/>
    <w:rsid w:val="0086497A"/>
    <w:rsid w:val="008660BA"/>
    <w:rsid w:val="00866DE9"/>
    <w:rsid w:val="0087023F"/>
    <w:rsid w:val="00870F52"/>
    <w:rsid w:val="00871A8A"/>
    <w:rsid w:val="00873064"/>
    <w:rsid w:val="0087395F"/>
    <w:rsid w:val="00873F0D"/>
    <w:rsid w:val="008740F0"/>
    <w:rsid w:val="00874D70"/>
    <w:rsid w:val="0087535B"/>
    <w:rsid w:val="00876CF3"/>
    <w:rsid w:val="0088001B"/>
    <w:rsid w:val="0088047D"/>
    <w:rsid w:val="00882D39"/>
    <w:rsid w:val="008834C3"/>
    <w:rsid w:val="00884B4F"/>
    <w:rsid w:val="00886005"/>
    <w:rsid w:val="00887C07"/>
    <w:rsid w:val="00887EBD"/>
    <w:rsid w:val="00893648"/>
    <w:rsid w:val="0089487D"/>
    <w:rsid w:val="008A101E"/>
    <w:rsid w:val="008A1651"/>
    <w:rsid w:val="008A3260"/>
    <w:rsid w:val="008A3E1B"/>
    <w:rsid w:val="008A74CB"/>
    <w:rsid w:val="008B1D36"/>
    <w:rsid w:val="008B5C71"/>
    <w:rsid w:val="008B5C86"/>
    <w:rsid w:val="008C2A23"/>
    <w:rsid w:val="008C2A7A"/>
    <w:rsid w:val="008C312C"/>
    <w:rsid w:val="008C45DB"/>
    <w:rsid w:val="008C479D"/>
    <w:rsid w:val="008D2B07"/>
    <w:rsid w:val="008D4379"/>
    <w:rsid w:val="008E0A65"/>
    <w:rsid w:val="008E2FCC"/>
    <w:rsid w:val="008E4193"/>
    <w:rsid w:val="008E4C2A"/>
    <w:rsid w:val="008E5B01"/>
    <w:rsid w:val="008E72DD"/>
    <w:rsid w:val="008F0B83"/>
    <w:rsid w:val="008F2141"/>
    <w:rsid w:val="008F2FF0"/>
    <w:rsid w:val="008F3F8E"/>
    <w:rsid w:val="008F4A3F"/>
    <w:rsid w:val="008F4BC5"/>
    <w:rsid w:val="008F5A4D"/>
    <w:rsid w:val="008F674D"/>
    <w:rsid w:val="008F6812"/>
    <w:rsid w:val="00900B26"/>
    <w:rsid w:val="00900FBB"/>
    <w:rsid w:val="00902079"/>
    <w:rsid w:val="00903AFA"/>
    <w:rsid w:val="00904323"/>
    <w:rsid w:val="00905D6F"/>
    <w:rsid w:val="0091202A"/>
    <w:rsid w:val="009139DB"/>
    <w:rsid w:val="00914976"/>
    <w:rsid w:val="00914CCC"/>
    <w:rsid w:val="0092156B"/>
    <w:rsid w:val="00921B66"/>
    <w:rsid w:val="009234F4"/>
    <w:rsid w:val="00924943"/>
    <w:rsid w:val="00926A02"/>
    <w:rsid w:val="00930AF2"/>
    <w:rsid w:val="00932656"/>
    <w:rsid w:val="00933992"/>
    <w:rsid w:val="00934E69"/>
    <w:rsid w:val="00936838"/>
    <w:rsid w:val="00937FB5"/>
    <w:rsid w:val="00942544"/>
    <w:rsid w:val="00944BF7"/>
    <w:rsid w:val="00946937"/>
    <w:rsid w:val="00946CC3"/>
    <w:rsid w:val="00953A78"/>
    <w:rsid w:val="009544F2"/>
    <w:rsid w:val="00956E1F"/>
    <w:rsid w:val="0095713D"/>
    <w:rsid w:val="00960479"/>
    <w:rsid w:val="00960DCF"/>
    <w:rsid w:val="00961C05"/>
    <w:rsid w:val="009622D7"/>
    <w:rsid w:val="00962C3A"/>
    <w:rsid w:val="00962F81"/>
    <w:rsid w:val="00962FF7"/>
    <w:rsid w:val="00965059"/>
    <w:rsid w:val="009663C3"/>
    <w:rsid w:val="00972C68"/>
    <w:rsid w:val="00973313"/>
    <w:rsid w:val="009745E8"/>
    <w:rsid w:val="0097463E"/>
    <w:rsid w:val="00974A31"/>
    <w:rsid w:val="00974DBA"/>
    <w:rsid w:val="0097651F"/>
    <w:rsid w:val="00977F28"/>
    <w:rsid w:val="00977F99"/>
    <w:rsid w:val="009806CF"/>
    <w:rsid w:val="00982964"/>
    <w:rsid w:val="00984B0B"/>
    <w:rsid w:val="009854F3"/>
    <w:rsid w:val="0098690D"/>
    <w:rsid w:val="009876F9"/>
    <w:rsid w:val="009906E4"/>
    <w:rsid w:val="00991D20"/>
    <w:rsid w:val="0099256A"/>
    <w:rsid w:val="009930ED"/>
    <w:rsid w:val="00996B6C"/>
    <w:rsid w:val="00996D65"/>
    <w:rsid w:val="00997D82"/>
    <w:rsid w:val="009A0954"/>
    <w:rsid w:val="009A0A3A"/>
    <w:rsid w:val="009A1629"/>
    <w:rsid w:val="009A1CA1"/>
    <w:rsid w:val="009A267D"/>
    <w:rsid w:val="009A495D"/>
    <w:rsid w:val="009A569B"/>
    <w:rsid w:val="009A5B22"/>
    <w:rsid w:val="009A5F17"/>
    <w:rsid w:val="009A6097"/>
    <w:rsid w:val="009A6C36"/>
    <w:rsid w:val="009A7AFD"/>
    <w:rsid w:val="009B058C"/>
    <w:rsid w:val="009B0A52"/>
    <w:rsid w:val="009B2EA0"/>
    <w:rsid w:val="009B2EF2"/>
    <w:rsid w:val="009B5A5D"/>
    <w:rsid w:val="009B61BB"/>
    <w:rsid w:val="009B6504"/>
    <w:rsid w:val="009B699C"/>
    <w:rsid w:val="009B745B"/>
    <w:rsid w:val="009C0875"/>
    <w:rsid w:val="009C28B2"/>
    <w:rsid w:val="009C5877"/>
    <w:rsid w:val="009C68DF"/>
    <w:rsid w:val="009D0580"/>
    <w:rsid w:val="009D0751"/>
    <w:rsid w:val="009D1AD1"/>
    <w:rsid w:val="009D1ECE"/>
    <w:rsid w:val="009D281B"/>
    <w:rsid w:val="009D3255"/>
    <w:rsid w:val="009D5E8A"/>
    <w:rsid w:val="009E2F4B"/>
    <w:rsid w:val="009E337C"/>
    <w:rsid w:val="009E463C"/>
    <w:rsid w:val="009E64AE"/>
    <w:rsid w:val="009E6CE2"/>
    <w:rsid w:val="009E76E7"/>
    <w:rsid w:val="009F02A4"/>
    <w:rsid w:val="009F0561"/>
    <w:rsid w:val="009F0E55"/>
    <w:rsid w:val="00A00746"/>
    <w:rsid w:val="00A01176"/>
    <w:rsid w:val="00A01AD6"/>
    <w:rsid w:val="00A0236D"/>
    <w:rsid w:val="00A02871"/>
    <w:rsid w:val="00A02AFC"/>
    <w:rsid w:val="00A034D6"/>
    <w:rsid w:val="00A0731E"/>
    <w:rsid w:val="00A11ABA"/>
    <w:rsid w:val="00A12B9D"/>
    <w:rsid w:val="00A1366C"/>
    <w:rsid w:val="00A15811"/>
    <w:rsid w:val="00A16DBD"/>
    <w:rsid w:val="00A177C0"/>
    <w:rsid w:val="00A17970"/>
    <w:rsid w:val="00A21416"/>
    <w:rsid w:val="00A22B0C"/>
    <w:rsid w:val="00A24852"/>
    <w:rsid w:val="00A264BD"/>
    <w:rsid w:val="00A2710A"/>
    <w:rsid w:val="00A27EE0"/>
    <w:rsid w:val="00A30970"/>
    <w:rsid w:val="00A30A8D"/>
    <w:rsid w:val="00A30EA1"/>
    <w:rsid w:val="00A30F7C"/>
    <w:rsid w:val="00A32CA9"/>
    <w:rsid w:val="00A33DAB"/>
    <w:rsid w:val="00A34204"/>
    <w:rsid w:val="00A44244"/>
    <w:rsid w:val="00A45DBD"/>
    <w:rsid w:val="00A45FFE"/>
    <w:rsid w:val="00A529F0"/>
    <w:rsid w:val="00A53535"/>
    <w:rsid w:val="00A53CFA"/>
    <w:rsid w:val="00A54989"/>
    <w:rsid w:val="00A54EF8"/>
    <w:rsid w:val="00A56168"/>
    <w:rsid w:val="00A565C7"/>
    <w:rsid w:val="00A569E7"/>
    <w:rsid w:val="00A56CE5"/>
    <w:rsid w:val="00A57670"/>
    <w:rsid w:val="00A57719"/>
    <w:rsid w:val="00A615E9"/>
    <w:rsid w:val="00A61A5B"/>
    <w:rsid w:val="00A62D40"/>
    <w:rsid w:val="00A63DDC"/>
    <w:rsid w:val="00A662DC"/>
    <w:rsid w:val="00A66A24"/>
    <w:rsid w:val="00A70B96"/>
    <w:rsid w:val="00A72999"/>
    <w:rsid w:val="00A732AC"/>
    <w:rsid w:val="00A737F1"/>
    <w:rsid w:val="00A7572B"/>
    <w:rsid w:val="00A77C7A"/>
    <w:rsid w:val="00A80D94"/>
    <w:rsid w:val="00A82C0A"/>
    <w:rsid w:val="00A84D0E"/>
    <w:rsid w:val="00A86C9E"/>
    <w:rsid w:val="00A86F14"/>
    <w:rsid w:val="00A904F6"/>
    <w:rsid w:val="00A9070C"/>
    <w:rsid w:val="00A90E9B"/>
    <w:rsid w:val="00A915CA"/>
    <w:rsid w:val="00A92223"/>
    <w:rsid w:val="00A93957"/>
    <w:rsid w:val="00A93B12"/>
    <w:rsid w:val="00A93B4D"/>
    <w:rsid w:val="00A93E8B"/>
    <w:rsid w:val="00A95516"/>
    <w:rsid w:val="00A97018"/>
    <w:rsid w:val="00AA1059"/>
    <w:rsid w:val="00AA160A"/>
    <w:rsid w:val="00AA1E18"/>
    <w:rsid w:val="00AA2993"/>
    <w:rsid w:val="00AA3A72"/>
    <w:rsid w:val="00AA3BD3"/>
    <w:rsid w:val="00AA57C4"/>
    <w:rsid w:val="00AA58D9"/>
    <w:rsid w:val="00AA6116"/>
    <w:rsid w:val="00AB164E"/>
    <w:rsid w:val="00AB19FD"/>
    <w:rsid w:val="00AB7E87"/>
    <w:rsid w:val="00AC0321"/>
    <w:rsid w:val="00AC07E6"/>
    <w:rsid w:val="00AC0BB2"/>
    <w:rsid w:val="00AC2294"/>
    <w:rsid w:val="00AC4B17"/>
    <w:rsid w:val="00AC6FD2"/>
    <w:rsid w:val="00AD69A0"/>
    <w:rsid w:val="00AD7873"/>
    <w:rsid w:val="00AE2406"/>
    <w:rsid w:val="00AE3693"/>
    <w:rsid w:val="00AE391A"/>
    <w:rsid w:val="00AF25F9"/>
    <w:rsid w:val="00AF4CB4"/>
    <w:rsid w:val="00AF4D38"/>
    <w:rsid w:val="00B06157"/>
    <w:rsid w:val="00B064D8"/>
    <w:rsid w:val="00B076FD"/>
    <w:rsid w:val="00B110A2"/>
    <w:rsid w:val="00B113FC"/>
    <w:rsid w:val="00B126DF"/>
    <w:rsid w:val="00B12FC6"/>
    <w:rsid w:val="00B14F2A"/>
    <w:rsid w:val="00B16B25"/>
    <w:rsid w:val="00B21273"/>
    <w:rsid w:val="00B23689"/>
    <w:rsid w:val="00B239DB"/>
    <w:rsid w:val="00B26629"/>
    <w:rsid w:val="00B26A29"/>
    <w:rsid w:val="00B31D22"/>
    <w:rsid w:val="00B4043E"/>
    <w:rsid w:val="00B42B7A"/>
    <w:rsid w:val="00B451CF"/>
    <w:rsid w:val="00B4663B"/>
    <w:rsid w:val="00B479EB"/>
    <w:rsid w:val="00B47B5F"/>
    <w:rsid w:val="00B508FD"/>
    <w:rsid w:val="00B50CDC"/>
    <w:rsid w:val="00B512B2"/>
    <w:rsid w:val="00B51651"/>
    <w:rsid w:val="00B5165F"/>
    <w:rsid w:val="00B51FC2"/>
    <w:rsid w:val="00B56C73"/>
    <w:rsid w:val="00B57EB8"/>
    <w:rsid w:val="00B61A1C"/>
    <w:rsid w:val="00B62AC9"/>
    <w:rsid w:val="00B63CF7"/>
    <w:rsid w:val="00B65B8F"/>
    <w:rsid w:val="00B67D77"/>
    <w:rsid w:val="00B726CD"/>
    <w:rsid w:val="00B7426E"/>
    <w:rsid w:val="00B749BB"/>
    <w:rsid w:val="00B7699F"/>
    <w:rsid w:val="00B77237"/>
    <w:rsid w:val="00B80591"/>
    <w:rsid w:val="00B80606"/>
    <w:rsid w:val="00B810DC"/>
    <w:rsid w:val="00B8381B"/>
    <w:rsid w:val="00B850BB"/>
    <w:rsid w:val="00B85498"/>
    <w:rsid w:val="00B90905"/>
    <w:rsid w:val="00B91F25"/>
    <w:rsid w:val="00B92D6D"/>
    <w:rsid w:val="00B934CE"/>
    <w:rsid w:val="00B9385E"/>
    <w:rsid w:val="00B93BF8"/>
    <w:rsid w:val="00B947F5"/>
    <w:rsid w:val="00BA1926"/>
    <w:rsid w:val="00BA314D"/>
    <w:rsid w:val="00BA5BBA"/>
    <w:rsid w:val="00BA613C"/>
    <w:rsid w:val="00BA7FF6"/>
    <w:rsid w:val="00BB283A"/>
    <w:rsid w:val="00BB3631"/>
    <w:rsid w:val="00BB4802"/>
    <w:rsid w:val="00BB786D"/>
    <w:rsid w:val="00BC1134"/>
    <w:rsid w:val="00BC143D"/>
    <w:rsid w:val="00BC19AA"/>
    <w:rsid w:val="00BC2ADD"/>
    <w:rsid w:val="00BD00B1"/>
    <w:rsid w:val="00BD144C"/>
    <w:rsid w:val="00BD23A0"/>
    <w:rsid w:val="00BD2BCE"/>
    <w:rsid w:val="00BD6A00"/>
    <w:rsid w:val="00BE0771"/>
    <w:rsid w:val="00BE1645"/>
    <w:rsid w:val="00BE2497"/>
    <w:rsid w:val="00BE3833"/>
    <w:rsid w:val="00BE4ECE"/>
    <w:rsid w:val="00BE6EE7"/>
    <w:rsid w:val="00BE7AE1"/>
    <w:rsid w:val="00BF03BF"/>
    <w:rsid w:val="00BF22E1"/>
    <w:rsid w:val="00BF292D"/>
    <w:rsid w:val="00BF3DE1"/>
    <w:rsid w:val="00BF561A"/>
    <w:rsid w:val="00BF7797"/>
    <w:rsid w:val="00C00FD9"/>
    <w:rsid w:val="00C015FC"/>
    <w:rsid w:val="00C053CD"/>
    <w:rsid w:val="00C05AC1"/>
    <w:rsid w:val="00C066E3"/>
    <w:rsid w:val="00C07EF1"/>
    <w:rsid w:val="00C10DDF"/>
    <w:rsid w:val="00C159A4"/>
    <w:rsid w:val="00C20EF7"/>
    <w:rsid w:val="00C24AA6"/>
    <w:rsid w:val="00C2523C"/>
    <w:rsid w:val="00C27DAD"/>
    <w:rsid w:val="00C34307"/>
    <w:rsid w:val="00C353C8"/>
    <w:rsid w:val="00C367A6"/>
    <w:rsid w:val="00C4111B"/>
    <w:rsid w:val="00C41A07"/>
    <w:rsid w:val="00C42E2A"/>
    <w:rsid w:val="00C437AB"/>
    <w:rsid w:val="00C50BE5"/>
    <w:rsid w:val="00C5302B"/>
    <w:rsid w:val="00C54704"/>
    <w:rsid w:val="00C56749"/>
    <w:rsid w:val="00C57E2E"/>
    <w:rsid w:val="00C625BD"/>
    <w:rsid w:val="00C62813"/>
    <w:rsid w:val="00C65B6A"/>
    <w:rsid w:val="00C67E56"/>
    <w:rsid w:val="00C713E1"/>
    <w:rsid w:val="00C727FA"/>
    <w:rsid w:val="00C73AB6"/>
    <w:rsid w:val="00C73AD9"/>
    <w:rsid w:val="00C76F99"/>
    <w:rsid w:val="00C80A79"/>
    <w:rsid w:val="00C8435D"/>
    <w:rsid w:val="00C8439A"/>
    <w:rsid w:val="00C8690E"/>
    <w:rsid w:val="00C86F66"/>
    <w:rsid w:val="00C870A4"/>
    <w:rsid w:val="00C940EA"/>
    <w:rsid w:val="00C9546A"/>
    <w:rsid w:val="00CA2040"/>
    <w:rsid w:val="00CA431F"/>
    <w:rsid w:val="00CA44C8"/>
    <w:rsid w:val="00CA6405"/>
    <w:rsid w:val="00CA6631"/>
    <w:rsid w:val="00CA6C61"/>
    <w:rsid w:val="00CB07F9"/>
    <w:rsid w:val="00CB1227"/>
    <w:rsid w:val="00CB1BA9"/>
    <w:rsid w:val="00CB3521"/>
    <w:rsid w:val="00CB4C37"/>
    <w:rsid w:val="00CB5460"/>
    <w:rsid w:val="00CB6522"/>
    <w:rsid w:val="00CB6704"/>
    <w:rsid w:val="00CB69AB"/>
    <w:rsid w:val="00CC1273"/>
    <w:rsid w:val="00CC2012"/>
    <w:rsid w:val="00CC4721"/>
    <w:rsid w:val="00CC4808"/>
    <w:rsid w:val="00CC4D57"/>
    <w:rsid w:val="00CC5480"/>
    <w:rsid w:val="00CC5705"/>
    <w:rsid w:val="00CC652C"/>
    <w:rsid w:val="00CC6C08"/>
    <w:rsid w:val="00CC79D5"/>
    <w:rsid w:val="00CD1062"/>
    <w:rsid w:val="00CD112F"/>
    <w:rsid w:val="00CD190C"/>
    <w:rsid w:val="00CD2A70"/>
    <w:rsid w:val="00CD2F7A"/>
    <w:rsid w:val="00CD5467"/>
    <w:rsid w:val="00CE1971"/>
    <w:rsid w:val="00CE23D6"/>
    <w:rsid w:val="00CE26E7"/>
    <w:rsid w:val="00CE3125"/>
    <w:rsid w:val="00CE3A92"/>
    <w:rsid w:val="00CE3D75"/>
    <w:rsid w:val="00CE4BD4"/>
    <w:rsid w:val="00CE72FA"/>
    <w:rsid w:val="00CE7566"/>
    <w:rsid w:val="00CF063B"/>
    <w:rsid w:val="00CF1E47"/>
    <w:rsid w:val="00CF36C1"/>
    <w:rsid w:val="00CF3729"/>
    <w:rsid w:val="00CF69DF"/>
    <w:rsid w:val="00D0002A"/>
    <w:rsid w:val="00D0120F"/>
    <w:rsid w:val="00D02E18"/>
    <w:rsid w:val="00D037E1"/>
    <w:rsid w:val="00D04238"/>
    <w:rsid w:val="00D10CC2"/>
    <w:rsid w:val="00D12047"/>
    <w:rsid w:val="00D13BA7"/>
    <w:rsid w:val="00D14CFD"/>
    <w:rsid w:val="00D16FBD"/>
    <w:rsid w:val="00D2293B"/>
    <w:rsid w:val="00D2398B"/>
    <w:rsid w:val="00D23FA3"/>
    <w:rsid w:val="00D24264"/>
    <w:rsid w:val="00D2455B"/>
    <w:rsid w:val="00D24879"/>
    <w:rsid w:val="00D249E3"/>
    <w:rsid w:val="00D26B8D"/>
    <w:rsid w:val="00D26F9E"/>
    <w:rsid w:val="00D303F4"/>
    <w:rsid w:val="00D31C36"/>
    <w:rsid w:val="00D34AA2"/>
    <w:rsid w:val="00D36F76"/>
    <w:rsid w:val="00D401DC"/>
    <w:rsid w:val="00D40482"/>
    <w:rsid w:val="00D4298F"/>
    <w:rsid w:val="00D438D2"/>
    <w:rsid w:val="00D43F55"/>
    <w:rsid w:val="00D44CCE"/>
    <w:rsid w:val="00D46862"/>
    <w:rsid w:val="00D50707"/>
    <w:rsid w:val="00D52FA3"/>
    <w:rsid w:val="00D54005"/>
    <w:rsid w:val="00D57197"/>
    <w:rsid w:val="00D572BE"/>
    <w:rsid w:val="00D579C1"/>
    <w:rsid w:val="00D61EFA"/>
    <w:rsid w:val="00D62603"/>
    <w:rsid w:val="00D6261E"/>
    <w:rsid w:val="00D6262A"/>
    <w:rsid w:val="00D63C87"/>
    <w:rsid w:val="00D6491B"/>
    <w:rsid w:val="00D67AF6"/>
    <w:rsid w:val="00D67FD3"/>
    <w:rsid w:val="00D710CD"/>
    <w:rsid w:val="00D71D6F"/>
    <w:rsid w:val="00D725E3"/>
    <w:rsid w:val="00D74C1F"/>
    <w:rsid w:val="00D77868"/>
    <w:rsid w:val="00D8132D"/>
    <w:rsid w:val="00D81851"/>
    <w:rsid w:val="00D83333"/>
    <w:rsid w:val="00D833EE"/>
    <w:rsid w:val="00D84D72"/>
    <w:rsid w:val="00D86F1F"/>
    <w:rsid w:val="00D91560"/>
    <w:rsid w:val="00D91925"/>
    <w:rsid w:val="00D93081"/>
    <w:rsid w:val="00D94445"/>
    <w:rsid w:val="00D94B8C"/>
    <w:rsid w:val="00D956BD"/>
    <w:rsid w:val="00D97878"/>
    <w:rsid w:val="00D97BF7"/>
    <w:rsid w:val="00DA2F5C"/>
    <w:rsid w:val="00DA2FB4"/>
    <w:rsid w:val="00DA76F4"/>
    <w:rsid w:val="00DA79D5"/>
    <w:rsid w:val="00DB112B"/>
    <w:rsid w:val="00DB1465"/>
    <w:rsid w:val="00DB418C"/>
    <w:rsid w:val="00DB4A9D"/>
    <w:rsid w:val="00DB766B"/>
    <w:rsid w:val="00DC0929"/>
    <w:rsid w:val="00DC1312"/>
    <w:rsid w:val="00DC1762"/>
    <w:rsid w:val="00DC34D6"/>
    <w:rsid w:val="00DC4C4B"/>
    <w:rsid w:val="00DC634A"/>
    <w:rsid w:val="00DD43B1"/>
    <w:rsid w:val="00DD46F1"/>
    <w:rsid w:val="00DD5E97"/>
    <w:rsid w:val="00DD745D"/>
    <w:rsid w:val="00DD7C0C"/>
    <w:rsid w:val="00DE04CC"/>
    <w:rsid w:val="00DE0F5B"/>
    <w:rsid w:val="00DE3A1D"/>
    <w:rsid w:val="00DE4258"/>
    <w:rsid w:val="00DE570F"/>
    <w:rsid w:val="00DE5A21"/>
    <w:rsid w:val="00DE5B17"/>
    <w:rsid w:val="00DE6248"/>
    <w:rsid w:val="00DF2AC6"/>
    <w:rsid w:val="00DF35D8"/>
    <w:rsid w:val="00DF5C02"/>
    <w:rsid w:val="00E01DBD"/>
    <w:rsid w:val="00E01F7E"/>
    <w:rsid w:val="00E025B6"/>
    <w:rsid w:val="00E0265A"/>
    <w:rsid w:val="00E026A7"/>
    <w:rsid w:val="00E05247"/>
    <w:rsid w:val="00E06D87"/>
    <w:rsid w:val="00E11A41"/>
    <w:rsid w:val="00E11F8E"/>
    <w:rsid w:val="00E13395"/>
    <w:rsid w:val="00E16FB1"/>
    <w:rsid w:val="00E1766E"/>
    <w:rsid w:val="00E2063C"/>
    <w:rsid w:val="00E224DF"/>
    <w:rsid w:val="00E23DBA"/>
    <w:rsid w:val="00E24B06"/>
    <w:rsid w:val="00E2744C"/>
    <w:rsid w:val="00E30E10"/>
    <w:rsid w:val="00E3412D"/>
    <w:rsid w:val="00E347FC"/>
    <w:rsid w:val="00E363CF"/>
    <w:rsid w:val="00E365A6"/>
    <w:rsid w:val="00E36AB6"/>
    <w:rsid w:val="00E36C4D"/>
    <w:rsid w:val="00E42CFC"/>
    <w:rsid w:val="00E43C5C"/>
    <w:rsid w:val="00E43C94"/>
    <w:rsid w:val="00E45013"/>
    <w:rsid w:val="00E46808"/>
    <w:rsid w:val="00E46D89"/>
    <w:rsid w:val="00E5016B"/>
    <w:rsid w:val="00E50A72"/>
    <w:rsid w:val="00E514D1"/>
    <w:rsid w:val="00E5492D"/>
    <w:rsid w:val="00E55E3D"/>
    <w:rsid w:val="00E55F99"/>
    <w:rsid w:val="00E57B22"/>
    <w:rsid w:val="00E60B12"/>
    <w:rsid w:val="00E631E8"/>
    <w:rsid w:val="00E646AF"/>
    <w:rsid w:val="00E64BA6"/>
    <w:rsid w:val="00E65C6A"/>
    <w:rsid w:val="00E66A14"/>
    <w:rsid w:val="00E66B4D"/>
    <w:rsid w:val="00E67930"/>
    <w:rsid w:val="00E70A8A"/>
    <w:rsid w:val="00E7304D"/>
    <w:rsid w:val="00E74D45"/>
    <w:rsid w:val="00E75261"/>
    <w:rsid w:val="00E75EA4"/>
    <w:rsid w:val="00E7611A"/>
    <w:rsid w:val="00E77C3F"/>
    <w:rsid w:val="00E81B99"/>
    <w:rsid w:val="00E8302D"/>
    <w:rsid w:val="00E862A7"/>
    <w:rsid w:val="00E903E6"/>
    <w:rsid w:val="00E94A00"/>
    <w:rsid w:val="00E94A78"/>
    <w:rsid w:val="00E9540A"/>
    <w:rsid w:val="00E96613"/>
    <w:rsid w:val="00E96FA4"/>
    <w:rsid w:val="00E97A56"/>
    <w:rsid w:val="00EA0CCA"/>
    <w:rsid w:val="00EA16FF"/>
    <w:rsid w:val="00EA1ADA"/>
    <w:rsid w:val="00EA28A9"/>
    <w:rsid w:val="00EA2A3E"/>
    <w:rsid w:val="00EA484B"/>
    <w:rsid w:val="00EA52BE"/>
    <w:rsid w:val="00EA56DF"/>
    <w:rsid w:val="00EB130C"/>
    <w:rsid w:val="00EB5109"/>
    <w:rsid w:val="00EB5B33"/>
    <w:rsid w:val="00EB6023"/>
    <w:rsid w:val="00EB697D"/>
    <w:rsid w:val="00EC1C2E"/>
    <w:rsid w:val="00EC5823"/>
    <w:rsid w:val="00EC5941"/>
    <w:rsid w:val="00ED067E"/>
    <w:rsid w:val="00ED0CB2"/>
    <w:rsid w:val="00ED18B4"/>
    <w:rsid w:val="00ED432E"/>
    <w:rsid w:val="00ED6EB3"/>
    <w:rsid w:val="00ED749E"/>
    <w:rsid w:val="00EE0447"/>
    <w:rsid w:val="00EE13FF"/>
    <w:rsid w:val="00EE2032"/>
    <w:rsid w:val="00EE20B4"/>
    <w:rsid w:val="00EE2AC6"/>
    <w:rsid w:val="00EE2C31"/>
    <w:rsid w:val="00EE3212"/>
    <w:rsid w:val="00EE4B6E"/>
    <w:rsid w:val="00EE6909"/>
    <w:rsid w:val="00EF12EB"/>
    <w:rsid w:val="00EF1F07"/>
    <w:rsid w:val="00EF1FB0"/>
    <w:rsid w:val="00EF330F"/>
    <w:rsid w:val="00EF4A90"/>
    <w:rsid w:val="00EF57D7"/>
    <w:rsid w:val="00EF5C6B"/>
    <w:rsid w:val="00EF6A66"/>
    <w:rsid w:val="00EF714D"/>
    <w:rsid w:val="00F0179F"/>
    <w:rsid w:val="00F020C6"/>
    <w:rsid w:val="00F02C0A"/>
    <w:rsid w:val="00F03CDA"/>
    <w:rsid w:val="00F05CF4"/>
    <w:rsid w:val="00F06504"/>
    <w:rsid w:val="00F11774"/>
    <w:rsid w:val="00F12C87"/>
    <w:rsid w:val="00F14F49"/>
    <w:rsid w:val="00F2051A"/>
    <w:rsid w:val="00F212B8"/>
    <w:rsid w:val="00F21394"/>
    <w:rsid w:val="00F21DE7"/>
    <w:rsid w:val="00F234E7"/>
    <w:rsid w:val="00F23E29"/>
    <w:rsid w:val="00F24D13"/>
    <w:rsid w:val="00F26D2F"/>
    <w:rsid w:val="00F30E39"/>
    <w:rsid w:val="00F32150"/>
    <w:rsid w:val="00F3260E"/>
    <w:rsid w:val="00F328A0"/>
    <w:rsid w:val="00F32C92"/>
    <w:rsid w:val="00F35986"/>
    <w:rsid w:val="00F359FA"/>
    <w:rsid w:val="00F37E36"/>
    <w:rsid w:val="00F37F12"/>
    <w:rsid w:val="00F410EB"/>
    <w:rsid w:val="00F414A6"/>
    <w:rsid w:val="00F428DD"/>
    <w:rsid w:val="00F42BE1"/>
    <w:rsid w:val="00F51155"/>
    <w:rsid w:val="00F51F13"/>
    <w:rsid w:val="00F57537"/>
    <w:rsid w:val="00F61879"/>
    <w:rsid w:val="00F62A9A"/>
    <w:rsid w:val="00F63116"/>
    <w:rsid w:val="00F66CA4"/>
    <w:rsid w:val="00F67879"/>
    <w:rsid w:val="00F70B6C"/>
    <w:rsid w:val="00F71470"/>
    <w:rsid w:val="00F71A66"/>
    <w:rsid w:val="00F72DAC"/>
    <w:rsid w:val="00F76DD7"/>
    <w:rsid w:val="00F7714B"/>
    <w:rsid w:val="00F77752"/>
    <w:rsid w:val="00F80E2E"/>
    <w:rsid w:val="00F82074"/>
    <w:rsid w:val="00F82F6B"/>
    <w:rsid w:val="00F84203"/>
    <w:rsid w:val="00F869F6"/>
    <w:rsid w:val="00F86C9A"/>
    <w:rsid w:val="00F91515"/>
    <w:rsid w:val="00F91679"/>
    <w:rsid w:val="00F93612"/>
    <w:rsid w:val="00F971E6"/>
    <w:rsid w:val="00FA19FE"/>
    <w:rsid w:val="00FA375C"/>
    <w:rsid w:val="00FA38A7"/>
    <w:rsid w:val="00FA3C10"/>
    <w:rsid w:val="00FA46D8"/>
    <w:rsid w:val="00FB232B"/>
    <w:rsid w:val="00FB2922"/>
    <w:rsid w:val="00FB2A7B"/>
    <w:rsid w:val="00FB3EFD"/>
    <w:rsid w:val="00FB7554"/>
    <w:rsid w:val="00FC0AA2"/>
    <w:rsid w:val="00FC1F80"/>
    <w:rsid w:val="00FC32B8"/>
    <w:rsid w:val="00FC60F9"/>
    <w:rsid w:val="00FD2381"/>
    <w:rsid w:val="00FD2D75"/>
    <w:rsid w:val="00FD31AA"/>
    <w:rsid w:val="00FD4D00"/>
    <w:rsid w:val="00FE13B8"/>
    <w:rsid w:val="00FE17A8"/>
    <w:rsid w:val="00FE2106"/>
    <w:rsid w:val="00FE2197"/>
    <w:rsid w:val="00FE3691"/>
    <w:rsid w:val="00FE3DE1"/>
    <w:rsid w:val="00FE4136"/>
    <w:rsid w:val="00FE75F7"/>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1ED66"/>
  <w15:docId w15:val="{F48C0D65-BC06-4354-B753-9924FFF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14D1"/>
    <w:pPr>
      <w:spacing w:before="120" w:after="0"/>
      <w:jc w:val="both"/>
    </w:pPr>
    <w:rPr>
      <w:rFonts w:ascii="Arial" w:hAnsi="Arial" w:cs="Arial"/>
    </w:rPr>
  </w:style>
  <w:style w:type="paragraph" w:styleId="Nadpis1">
    <w:name w:val="heading 1"/>
    <w:basedOn w:val="Normln"/>
    <w:link w:val="Nadpis1Char"/>
    <w:uiPriority w:val="9"/>
    <w:qFormat/>
    <w:rsid w:val="00886005"/>
    <w:pPr>
      <w:keepNext/>
      <w:keepLines/>
      <w:numPr>
        <w:numId w:val="5"/>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Normln"/>
    <w:link w:val="Nadpis2Char"/>
    <w:uiPriority w:val="9"/>
    <w:qFormat/>
    <w:rsid w:val="00EB697D"/>
    <w:pPr>
      <w:keepNext/>
      <w:keepLines/>
      <w:numPr>
        <w:ilvl w:val="1"/>
        <w:numId w:val="5"/>
      </w:numPr>
      <w:spacing w:before="600" w:after="240"/>
      <w:ind w:left="709" w:hanging="709"/>
      <w:jc w:val="center"/>
      <w:outlineLvl w:val="1"/>
    </w:pPr>
    <w:rPr>
      <w:rFonts w:eastAsia="Arial Unicode MS"/>
      <w:b/>
      <w:sz w:val="32"/>
      <w:szCs w:val="24"/>
      <w:lang w:eastAsia="cs-CZ"/>
    </w:rPr>
  </w:style>
  <w:style w:type="paragraph" w:styleId="Nadpis3">
    <w:name w:val="heading 3"/>
    <w:basedOn w:val="Normln"/>
    <w:next w:val="Normln"/>
    <w:link w:val="Nadpis3Char"/>
    <w:uiPriority w:val="9"/>
    <w:unhideWhenUsed/>
    <w:qFormat/>
    <w:rsid w:val="00173732"/>
    <w:pPr>
      <w:keepNext/>
      <w:keepLines/>
      <w:numPr>
        <w:ilvl w:val="2"/>
        <w:numId w:val="5"/>
      </w:numPr>
      <w:pBdr>
        <w:bottom w:val="single" w:sz="4" w:space="1" w:color="auto"/>
      </w:pBdr>
      <w:spacing w:before="600" w:after="120"/>
      <w:ind w:left="851" w:right="23" w:hanging="851"/>
      <w:outlineLvl w:val="2"/>
    </w:pPr>
    <w:rPr>
      <w:rFonts w:eastAsiaTheme="majorEastAsia"/>
      <w:bCs/>
      <w:sz w:val="28"/>
      <w:szCs w:val="26"/>
    </w:rPr>
  </w:style>
  <w:style w:type="paragraph" w:styleId="Nadpis4">
    <w:name w:val="heading 4"/>
    <w:basedOn w:val="Nadpis5"/>
    <w:next w:val="Normln"/>
    <w:link w:val="Nadpis4Char"/>
    <w:uiPriority w:val="9"/>
    <w:unhideWhenUsed/>
    <w:qFormat/>
    <w:rsid w:val="00245D44"/>
    <w:pPr>
      <w:outlineLvl w:val="3"/>
    </w:pPr>
    <w:rPr>
      <w:i w:val="0"/>
      <w:sz w:val="32"/>
    </w:rPr>
  </w:style>
  <w:style w:type="paragraph" w:styleId="Nadpis5">
    <w:name w:val="heading 5"/>
    <w:basedOn w:val="Normln"/>
    <w:next w:val="Normln"/>
    <w:link w:val="Nadpis5Char"/>
    <w:uiPriority w:val="9"/>
    <w:unhideWhenUsed/>
    <w:qFormat/>
    <w:rsid w:val="00B16B25"/>
    <w:pPr>
      <w:outlineLvl w:val="4"/>
    </w:pPr>
    <w:rPr>
      <w:b/>
      <w:i/>
      <w:sz w:val="28"/>
    </w:rPr>
  </w:style>
  <w:style w:type="paragraph" w:styleId="Nadpis6">
    <w:name w:val="heading 6"/>
    <w:basedOn w:val="Nadpis5"/>
    <w:next w:val="Normln"/>
    <w:link w:val="Nadpis6Char"/>
    <w:uiPriority w:val="9"/>
    <w:unhideWhenUsed/>
    <w:qFormat/>
    <w:rsid w:val="002F1FA2"/>
    <w:pPr>
      <w:pBdr>
        <w:bottom w:val="single" w:sz="4" w:space="1" w:color="auto"/>
      </w:pBdr>
      <w:spacing w:before="360" w:after="120"/>
      <w:outlineLvl w:val="5"/>
    </w:pPr>
  </w:style>
  <w:style w:type="paragraph" w:styleId="Nadpis7">
    <w:name w:val="heading 7"/>
    <w:basedOn w:val="Normln"/>
    <w:next w:val="Normln"/>
    <w:link w:val="Nadpis7Char"/>
    <w:uiPriority w:val="9"/>
    <w:semiHidden/>
    <w:unhideWhenUsed/>
    <w:qFormat/>
    <w:rsid w:val="00EA1AD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B697D"/>
    <w:rPr>
      <w:rFonts w:ascii="Inter" w:eastAsia="Arial Unicode MS" w:hAnsi="Inter" w:cs="Arial"/>
      <w:b/>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Normln"/>
    <w:link w:val="slovnChar"/>
    <w:qFormat/>
    <w:rsid w:val="009F02A4"/>
    <w:pPr>
      <w:keepLines/>
      <w:numPr>
        <w:ilvl w:val="1"/>
        <w:numId w:val="1"/>
      </w:numPr>
      <w:ind w:left="567" w:hanging="567"/>
    </w:pPr>
    <w:rPr>
      <w:rFonts w:eastAsia="Arial Unicode MS"/>
      <w:lang w:eastAsia="cs-CZ"/>
    </w:rPr>
  </w:style>
  <w:style w:type="paragraph" w:customStyle="1" w:styleId="slovn2">
    <w:name w:val="číslování 2"/>
    <w:basedOn w:val="Zkladntext0"/>
    <w:link w:val="slovn2Char"/>
    <w:qFormat/>
    <w:rsid w:val="00B749BB"/>
    <w:pPr>
      <w:numPr>
        <w:ilvl w:val="7"/>
        <w:numId w:val="1"/>
      </w:numPr>
      <w:spacing w:after="0"/>
      <w:ind w:left="993" w:hanging="426"/>
    </w:pPr>
    <w:rPr>
      <w:rFonts w:eastAsia="Arial Unicode MS"/>
      <w:szCs w:val="24"/>
      <w:lang w:eastAsia="cs-CZ"/>
    </w:rPr>
  </w:style>
  <w:style w:type="character" w:customStyle="1" w:styleId="slovnChar">
    <w:name w:val="číslování Char"/>
    <w:basedOn w:val="Standardnpsmoodstavce"/>
    <w:link w:val="slovn"/>
    <w:rsid w:val="009F02A4"/>
    <w:rPr>
      <w:rFonts w:ascii="Arial" w:eastAsia="Arial Unicode MS" w:hAnsi="Arial" w:cs="Arial"/>
      <w:lang w:eastAsia="cs-CZ"/>
    </w:rPr>
  </w:style>
  <w:style w:type="character" w:customStyle="1" w:styleId="slovn2Char">
    <w:name w:val="číslování 2 Char"/>
    <w:basedOn w:val="Standardnpsmoodstavce"/>
    <w:link w:val="slovn2"/>
    <w:rsid w:val="00B749BB"/>
    <w:rPr>
      <w:rFonts w:ascii="Arial" w:eastAsia="Arial Unicode MS" w:hAnsi="Arial" w:cs="Arial"/>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173732"/>
    <w:rPr>
      <w:rFonts w:ascii="Inter" w:eastAsiaTheme="majorEastAsia" w:hAnsi="Inter" w:cs="Arial"/>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245D44"/>
    <w:rPr>
      <w:rFonts w:ascii="Arial" w:hAnsi="Arial" w:cs="Arial"/>
      <w:b/>
      <w:sz w:val="32"/>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3D1904"/>
    <w:rPr>
      <w:rFonts w:ascii="Arial" w:hAnsi="Arial" w:cs="Arial"/>
      <w:sz w:val="20"/>
      <w:szCs w:val="20"/>
    </w:rPr>
  </w:style>
  <w:style w:type="character" w:styleId="Znakapoznpodarou">
    <w:name w:val="footnote reference"/>
    <w:aliases w:val="PGI Fußnote Ziffer"/>
    <w:basedOn w:val="Standardnpsmoodstavce"/>
    <w:uiPriority w:val="99"/>
    <w:unhideWhenUsed/>
    <w:rsid w:val="003D1904"/>
    <w:rPr>
      <w:vertAlign w:val="superscript"/>
    </w:rPr>
  </w:style>
  <w:style w:type="paragraph" w:styleId="Nadpisobsahu">
    <w:name w:val="TOC Heading"/>
    <w:basedOn w:val="Normln"/>
    <w:next w:val="Normln"/>
    <w:uiPriority w:val="39"/>
    <w:unhideWhenUsed/>
    <w:qFormat/>
    <w:rsid w:val="00494441"/>
    <w:pPr>
      <w:jc w:val="center"/>
    </w:pPr>
    <w:rPr>
      <w:b/>
      <w:sz w:val="40"/>
      <w:lang w:eastAsia="cs-CZ"/>
    </w:rPr>
  </w:style>
  <w:style w:type="paragraph" w:styleId="Obsah1">
    <w:name w:val="toc 1"/>
    <w:basedOn w:val="Normln"/>
    <w:next w:val="Normln"/>
    <w:autoRedefine/>
    <w:uiPriority w:val="39"/>
    <w:unhideWhenUsed/>
    <w:rsid w:val="00AA58D9"/>
    <w:pPr>
      <w:spacing w:after="120"/>
      <w:jc w:val="left"/>
    </w:pPr>
    <w:rPr>
      <w:rFonts w:cstheme="minorHAnsi"/>
      <w:b/>
      <w:bCs/>
      <w:caps/>
      <w:sz w:val="20"/>
      <w:szCs w:val="20"/>
    </w:rPr>
  </w:style>
  <w:style w:type="paragraph" w:styleId="Obsah2">
    <w:name w:val="toc 2"/>
    <w:basedOn w:val="Normln"/>
    <w:next w:val="Normln"/>
    <w:autoRedefine/>
    <w:uiPriority w:val="39"/>
    <w:unhideWhenUsed/>
    <w:rsid w:val="00AA58D9"/>
    <w:pPr>
      <w:spacing w:before="0"/>
      <w:ind w:left="240"/>
      <w:jc w:val="left"/>
    </w:pPr>
    <w:rPr>
      <w:rFonts w:cstheme="minorHAnsi"/>
      <w:smallCaps/>
      <w:sz w:val="20"/>
      <w:szCs w:val="20"/>
    </w:rPr>
  </w:style>
  <w:style w:type="paragraph" w:styleId="Obsah3">
    <w:name w:val="toc 3"/>
    <w:basedOn w:val="Normln"/>
    <w:next w:val="Normln"/>
    <w:autoRedefine/>
    <w:uiPriority w:val="39"/>
    <w:unhideWhenUsed/>
    <w:rsid w:val="00AA58D9"/>
    <w:pPr>
      <w:spacing w:before="0"/>
      <w:ind w:left="480"/>
      <w:jc w:val="left"/>
    </w:pPr>
    <w:rPr>
      <w:rFonts w:cstheme="minorHAnsi"/>
      <w:i/>
      <w:iCs/>
      <w:sz w:val="20"/>
      <w:szCs w:val="20"/>
    </w:rPr>
  </w:style>
  <w:style w:type="paragraph" w:styleId="Podnadpis">
    <w:name w:val="Subtitle"/>
    <w:aliases w:val="Obsah"/>
    <w:basedOn w:val="Normln"/>
    <w:next w:val="Normln"/>
    <w:link w:val="Podnadpis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33546A"/>
    <w:pPr>
      <w:spacing w:before="0"/>
      <w:ind w:left="720"/>
      <w:jc w:val="left"/>
    </w:pPr>
    <w:rPr>
      <w:rFonts w:cstheme="minorHAnsi"/>
      <w:sz w:val="20"/>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B16B25"/>
    <w:rPr>
      <w:rFonts w:ascii="Inter" w:hAnsi="Inter" w:cs="Arial"/>
      <w:b/>
      <w:i/>
      <w:sz w:val="28"/>
    </w:rPr>
  </w:style>
  <w:style w:type="character" w:customStyle="1" w:styleId="Nadpis6Char">
    <w:name w:val="Nadpis 6 Char"/>
    <w:basedOn w:val="Standardnpsmoodstavce"/>
    <w:link w:val="Nadpis6"/>
    <w:uiPriority w:val="9"/>
    <w:rsid w:val="002F1FA2"/>
    <w:rPr>
      <w:rFonts w:ascii="Arial" w:hAnsi="Arial" w:cs="Arial"/>
      <w:b/>
      <w:i/>
      <w:sz w:val="28"/>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33546A"/>
    <w:pPr>
      <w:spacing w:before="0"/>
      <w:ind w:left="960"/>
      <w:jc w:val="left"/>
    </w:pPr>
    <w:rPr>
      <w:rFonts w:cstheme="minorHAnsi"/>
      <w:sz w:val="20"/>
      <w:szCs w:val="18"/>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AA58D9"/>
    <w:pPr>
      <w:spacing w:before="0"/>
      <w:ind w:left="1200"/>
      <w:jc w:val="left"/>
    </w:pPr>
    <w:rPr>
      <w:rFonts w:cstheme="minorHAnsi"/>
      <w:sz w:val="18"/>
      <w:szCs w:val="18"/>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cstheme="minorHAnsi"/>
      <w:sz w:val="18"/>
      <w:szCs w:val="18"/>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 w:type="paragraph" w:styleId="Textvysvtlivek">
    <w:name w:val="endnote text"/>
    <w:basedOn w:val="Normln"/>
    <w:link w:val="TextvysvtlivekChar"/>
    <w:uiPriority w:val="99"/>
    <w:semiHidden/>
    <w:unhideWhenUsed/>
    <w:rsid w:val="00E55F99"/>
    <w:pPr>
      <w:spacing w:before="0" w:line="240" w:lineRule="auto"/>
    </w:pPr>
    <w:rPr>
      <w:sz w:val="20"/>
      <w:szCs w:val="20"/>
    </w:rPr>
  </w:style>
  <w:style w:type="character" w:customStyle="1" w:styleId="TextvysvtlivekChar">
    <w:name w:val="Text vysvětlivek Char"/>
    <w:basedOn w:val="Standardnpsmoodstavce"/>
    <w:link w:val="Textvysvtlivek"/>
    <w:uiPriority w:val="99"/>
    <w:semiHidden/>
    <w:rsid w:val="00E55F99"/>
    <w:rPr>
      <w:rFonts w:ascii="Arial" w:hAnsi="Arial" w:cs="Arial"/>
      <w:sz w:val="20"/>
      <w:szCs w:val="20"/>
    </w:rPr>
  </w:style>
  <w:style w:type="character" w:styleId="Odkaznavysvtlivky">
    <w:name w:val="endnote reference"/>
    <w:basedOn w:val="Standardnpsmoodstavce"/>
    <w:uiPriority w:val="99"/>
    <w:semiHidden/>
    <w:unhideWhenUsed/>
    <w:rsid w:val="00E55F99"/>
    <w:rPr>
      <w:vertAlign w:val="superscript"/>
    </w:rPr>
  </w:style>
  <w:style w:type="table" w:customStyle="1" w:styleId="Mkatabulky1">
    <w:name w:val="Mřížka tabulky1"/>
    <w:basedOn w:val="Normlntabulka"/>
    <w:next w:val="Mkatabulky"/>
    <w:uiPriority w:val="39"/>
    <w:rsid w:val="00C2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nmkapodarou0">
    <w:name w:val="poznámka pod čarou"/>
    <w:basedOn w:val="Textpoznpodarou"/>
    <w:link w:val="poznmkapodarouChar0"/>
    <w:qFormat/>
    <w:rsid w:val="000B64DD"/>
    <w:pPr>
      <w:spacing w:before="40"/>
      <w:ind w:left="142" w:hanging="142"/>
    </w:pPr>
    <w:rPr>
      <w:i/>
      <w:sz w:val="18"/>
    </w:rPr>
  </w:style>
  <w:style w:type="character" w:customStyle="1" w:styleId="poznmkapodarouChar0">
    <w:name w:val="poznámka pod čarou Char"/>
    <w:basedOn w:val="TextpoznpodarouChar"/>
    <w:link w:val="poznmkapodarou0"/>
    <w:rsid w:val="000B64DD"/>
    <w:rPr>
      <w:rFonts w:ascii="Arial" w:hAnsi="Arial" w:cs="Arial"/>
      <w:i/>
      <w:sz w:val="18"/>
      <w:szCs w:val="20"/>
    </w:rPr>
  </w:style>
  <w:style w:type="paragraph" w:customStyle="1" w:styleId="slovn1">
    <w:name w:val="číslování 1"/>
    <w:basedOn w:val="Odstavecseseznamem"/>
    <w:link w:val="slovn1Char"/>
    <w:rsid w:val="0099256A"/>
    <w:pPr>
      <w:numPr>
        <w:numId w:val="25"/>
      </w:numPr>
      <w:contextualSpacing w:val="0"/>
    </w:pPr>
  </w:style>
  <w:style w:type="character" w:customStyle="1" w:styleId="OdstavecseseznamemChar">
    <w:name w:val="Odstavec se seznamem Char"/>
    <w:basedOn w:val="Standardnpsmoodstavce"/>
    <w:link w:val="Odstavecseseznamem"/>
    <w:uiPriority w:val="34"/>
    <w:rsid w:val="0099256A"/>
    <w:rPr>
      <w:rFonts w:ascii="Arial" w:hAnsi="Arial" w:cs="Arial"/>
      <w:sz w:val="24"/>
    </w:rPr>
  </w:style>
  <w:style w:type="character" w:customStyle="1" w:styleId="slovn1Char">
    <w:name w:val="číslování 1 Char"/>
    <w:basedOn w:val="OdstavecseseznamemChar"/>
    <w:link w:val="slovn1"/>
    <w:rsid w:val="0099256A"/>
    <w:rPr>
      <w:rFonts w:ascii="Arial" w:hAnsi="Arial" w:cs="Arial"/>
      <w:sz w:val="24"/>
    </w:rPr>
  </w:style>
  <w:style w:type="paragraph" w:customStyle="1" w:styleId="Vysvtlivky">
    <w:name w:val="Vysvětlivky"/>
    <w:basedOn w:val="Odstavecseseznamem"/>
    <w:link w:val="VysvtlivkyChar"/>
    <w:qFormat/>
    <w:rsid w:val="0022394F"/>
    <w:pPr>
      <w:numPr>
        <w:numId w:val="4"/>
      </w:numPr>
      <w:spacing w:after="120"/>
      <w:ind w:left="993" w:hanging="426"/>
      <w:contextualSpacing w:val="0"/>
    </w:pPr>
    <w:rPr>
      <w:i/>
    </w:rPr>
  </w:style>
  <w:style w:type="character" w:customStyle="1" w:styleId="VysvtlivkyChar">
    <w:name w:val="Vysvětlivky Char"/>
    <w:basedOn w:val="OdstavecseseznamemChar"/>
    <w:link w:val="Vysvtlivky"/>
    <w:rsid w:val="0022394F"/>
    <w:rPr>
      <w:rFonts w:ascii="Arial" w:hAnsi="Arial" w:cs="Arial"/>
      <w:i/>
      <w:sz w:val="24"/>
    </w:rPr>
  </w:style>
  <w:style w:type="paragraph" w:customStyle="1" w:styleId="Nzev1">
    <w:name w:val="Název 1"/>
    <w:basedOn w:val="Normln"/>
    <w:link w:val="Nzev1Char"/>
    <w:qFormat/>
    <w:rsid w:val="003620A9"/>
    <w:pPr>
      <w:spacing w:before="1440"/>
      <w:jc w:val="center"/>
    </w:pPr>
    <w:rPr>
      <w:b/>
      <w:sz w:val="40"/>
    </w:rPr>
  </w:style>
  <w:style w:type="paragraph" w:customStyle="1" w:styleId="Nzev2">
    <w:name w:val="Název 2"/>
    <w:basedOn w:val="Normln"/>
    <w:link w:val="Nzev2Char"/>
    <w:qFormat/>
    <w:rsid w:val="00BB4802"/>
    <w:pPr>
      <w:spacing w:before="1440"/>
      <w:jc w:val="center"/>
    </w:pPr>
    <w:rPr>
      <w:b/>
      <w:sz w:val="40"/>
      <w:lang w:eastAsia="cs-CZ"/>
    </w:rPr>
  </w:style>
  <w:style w:type="character" w:customStyle="1" w:styleId="Nzev1Char">
    <w:name w:val="Název 1 Char"/>
    <w:basedOn w:val="Standardnpsmoodstavce"/>
    <w:link w:val="Nzev1"/>
    <w:rsid w:val="003620A9"/>
    <w:rPr>
      <w:rFonts w:ascii="Arial" w:hAnsi="Arial" w:cs="Arial"/>
      <w:b/>
      <w:sz w:val="40"/>
    </w:rPr>
  </w:style>
  <w:style w:type="character" w:customStyle="1" w:styleId="Nzev2Char">
    <w:name w:val="Název 2 Char"/>
    <w:basedOn w:val="Standardnpsmoodstavce"/>
    <w:link w:val="Nzev2"/>
    <w:rsid w:val="00BB4802"/>
    <w:rPr>
      <w:rFonts w:ascii="Arial" w:hAnsi="Arial" w:cs="Arial"/>
      <w:b/>
      <w:sz w:val="40"/>
      <w:lang w:eastAsia="cs-CZ"/>
    </w:rPr>
  </w:style>
  <w:style w:type="paragraph" w:customStyle="1" w:styleId="slovn10">
    <w:name w:val="Číslování 1"/>
    <w:basedOn w:val="slovn"/>
    <w:link w:val="slovn1Char0"/>
    <w:rsid w:val="00BC143D"/>
  </w:style>
  <w:style w:type="paragraph" w:customStyle="1" w:styleId="Tabulkazkratky">
    <w:name w:val="Tabulka zkratky"/>
    <w:basedOn w:val="Normln"/>
    <w:link w:val="TabulkazkratkyChar"/>
    <w:qFormat/>
    <w:rsid w:val="00BC143D"/>
    <w:pPr>
      <w:spacing w:before="0" w:after="120" w:line="240" w:lineRule="auto"/>
    </w:pPr>
  </w:style>
  <w:style w:type="character" w:customStyle="1" w:styleId="slovn1Char0">
    <w:name w:val="Číslování 1 Char"/>
    <w:basedOn w:val="slovnChar"/>
    <w:link w:val="slovn10"/>
    <w:rsid w:val="00BC143D"/>
    <w:rPr>
      <w:rFonts w:ascii="Arial" w:eastAsia="Arial Unicode MS" w:hAnsi="Arial" w:cs="Arial"/>
      <w:lang w:eastAsia="cs-CZ"/>
    </w:rPr>
  </w:style>
  <w:style w:type="paragraph" w:customStyle="1" w:styleId="Tabulka">
    <w:name w:val="Tabulka"/>
    <w:basedOn w:val="Normln"/>
    <w:link w:val="TabulkaChar"/>
    <w:qFormat/>
    <w:rsid w:val="009F02A4"/>
    <w:pPr>
      <w:spacing w:before="0" w:line="240" w:lineRule="auto"/>
    </w:pPr>
    <w:rPr>
      <w:b/>
      <w:sz w:val="20"/>
      <w:szCs w:val="20"/>
      <w:lang w:eastAsia="cs-CZ"/>
    </w:rPr>
  </w:style>
  <w:style w:type="character" w:customStyle="1" w:styleId="TabulkazkratkyChar">
    <w:name w:val="Tabulka zkratky Char"/>
    <w:basedOn w:val="Standardnpsmoodstavce"/>
    <w:link w:val="Tabulkazkratky"/>
    <w:rsid w:val="00BC143D"/>
    <w:rPr>
      <w:rFonts w:ascii="Arial" w:hAnsi="Arial" w:cs="Arial"/>
    </w:rPr>
  </w:style>
  <w:style w:type="character" w:styleId="Zdraznnjemn">
    <w:name w:val="Subtle Emphasis"/>
    <w:uiPriority w:val="19"/>
    <w:qFormat/>
    <w:rsid w:val="001672C7"/>
    <w:rPr>
      <w:b/>
      <w:i/>
      <w:u w:val="single"/>
    </w:rPr>
  </w:style>
  <w:style w:type="character" w:customStyle="1" w:styleId="TabulkaChar">
    <w:name w:val="Tabulka Char"/>
    <w:basedOn w:val="Standardnpsmoodstavce"/>
    <w:link w:val="Tabulka"/>
    <w:rsid w:val="009F02A4"/>
    <w:rPr>
      <w:rFonts w:ascii="Arial" w:hAnsi="Arial" w:cs="Arial"/>
      <w:b/>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166409707">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16942413">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669060393">
      <w:bodyDiv w:val="1"/>
      <w:marLeft w:val="0"/>
      <w:marRight w:val="0"/>
      <w:marTop w:val="0"/>
      <w:marBottom w:val="0"/>
      <w:divBdr>
        <w:top w:val="none" w:sz="0" w:space="0" w:color="auto"/>
        <w:left w:val="none" w:sz="0" w:space="0" w:color="auto"/>
        <w:bottom w:val="none" w:sz="0" w:space="0" w:color="auto"/>
        <w:right w:val="none" w:sz="0" w:space="0" w:color="auto"/>
      </w:divBdr>
    </w:div>
    <w:div w:id="690644180">
      <w:bodyDiv w:val="1"/>
      <w:marLeft w:val="0"/>
      <w:marRight w:val="0"/>
      <w:marTop w:val="0"/>
      <w:marBottom w:val="0"/>
      <w:divBdr>
        <w:top w:val="none" w:sz="0" w:space="0" w:color="auto"/>
        <w:left w:val="none" w:sz="0" w:space="0" w:color="auto"/>
        <w:bottom w:val="none" w:sz="0" w:space="0" w:color="auto"/>
        <w:right w:val="none" w:sz="0" w:space="0" w:color="auto"/>
      </w:divBdr>
    </w:div>
    <w:div w:id="712997391">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5370595">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56354509">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1658595">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A0D9D2B-D4FB-4AE1-80A2-33E009D0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3300</Words>
  <Characters>19470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Navrátilová Valerie</cp:lastModifiedBy>
  <cp:revision>2</cp:revision>
  <cp:lastPrinted>2020-09-02T05:34:00Z</cp:lastPrinted>
  <dcterms:created xsi:type="dcterms:W3CDTF">2022-09-20T08:09:00Z</dcterms:created>
  <dcterms:modified xsi:type="dcterms:W3CDTF">2022-09-20T08:09:00Z</dcterms:modified>
</cp:coreProperties>
</file>