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4164F6" w:rsidRDefault="00904B6B" w:rsidP="00951C64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:rsidR="008D7638" w:rsidRDefault="008D7638" w:rsidP="008D7638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 w:rsidRPr="003A5648">
        <w:rPr>
          <w:b/>
          <w:szCs w:val="24"/>
        </w:rPr>
        <w:t xml:space="preserve">V této důvodové zprávě předkládá Rada Olomouckého kraje Zastupitelstvu Olomouckého kraje k projednání návrh na </w:t>
      </w:r>
      <w:r w:rsidRPr="001731BB">
        <w:rPr>
          <w:rFonts w:eastAsia="Calibri"/>
          <w:b/>
          <w:bCs/>
        </w:rPr>
        <w:t xml:space="preserve">rozdělení navýšení účelové dotace </w:t>
      </w:r>
      <w:r>
        <w:rPr>
          <w:rFonts w:eastAsia="Calibri"/>
          <w:b/>
          <w:bCs/>
        </w:rPr>
        <w:t xml:space="preserve">ze státního rozpočtu </w:t>
      </w:r>
      <w:r w:rsidRPr="001731BB">
        <w:rPr>
          <w:rFonts w:eastAsia="Calibri"/>
          <w:b/>
          <w:bCs/>
        </w:rPr>
        <w:t xml:space="preserve">určené na financování běžných výdajů souvisejících s poskytováním základních druhů a forem sociálních služeb v roce </w:t>
      </w:r>
      <w:r>
        <w:rPr>
          <w:rFonts w:eastAsia="Calibri"/>
          <w:b/>
          <w:bCs/>
        </w:rPr>
        <w:t xml:space="preserve">2022 </w:t>
      </w:r>
      <w:r w:rsidRPr="00226BF6">
        <w:rPr>
          <w:rFonts w:eastAsia="Calibri"/>
          <w:b/>
          <w:bCs/>
        </w:rPr>
        <w:t>(dále jen „dotace</w:t>
      </w:r>
      <w:r>
        <w:rPr>
          <w:rFonts w:eastAsia="Calibri"/>
          <w:b/>
          <w:bCs/>
        </w:rPr>
        <w:t xml:space="preserve"> MPSV</w:t>
      </w:r>
      <w:r w:rsidRPr="00226BF6">
        <w:rPr>
          <w:rFonts w:eastAsia="Calibri"/>
          <w:b/>
          <w:bCs/>
        </w:rPr>
        <w:t>“)</w:t>
      </w:r>
      <w:r>
        <w:rPr>
          <w:rFonts w:eastAsia="Calibri"/>
          <w:b/>
          <w:bCs/>
        </w:rPr>
        <w:t xml:space="preserve">, </w:t>
      </w:r>
      <w:r w:rsidRPr="001731BB">
        <w:rPr>
          <w:rFonts w:eastAsia="Calibri"/>
          <w:b/>
          <w:bCs/>
        </w:rPr>
        <w:t xml:space="preserve">dle Programu finanční podpory poskytování sociálních služeb v Olomouckém kraji, Podprogramu </w:t>
      </w:r>
      <w:r>
        <w:rPr>
          <w:rFonts w:eastAsia="Calibri"/>
          <w:b/>
          <w:bCs/>
        </w:rPr>
        <w:t>č. 1.</w:t>
      </w:r>
    </w:p>
    <w:p w:rsidR="006B262A" w:rsidRPr="001779D8" w:rsidRDefault="00E07396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</w:rPr>
      </w:pPr>
      <w:r>
        <w:rPr>
          <w:rFonts w:eastAsia="Calibri"/>
          <w:b/>
          <w:bCs/>
        </w:rPr>
        <w:t xml:space="preserve">Návrh na </w:t>
      </w:r>
      <w:r w:rsidRPr="001731BB">
        <w:rPr>
          <w:rFonts w:eastAsia="Calibri"/>
          <w:b/>
          <w:bCs/>
        </w:rPr>
        <w:t>rozdělení navýšení</w:t>
      </w:r>
      <w:r>
        <w:rPr>
          <w:rFonts w:eastAsia="Calibri"/>
          <w:b/>
          <w:bCs/>
        </w:rPr>
        <w:t xml:space="preserve"> dotace MPSV je zpracován ve dvou variantách (A </w:t>
      </w:r>
      <w:proofErr w:type="spellStart"/>
      <w:r>
        <w:rPr>
          <w:rFonts w:eastAsia="Calibri"/>
          <w:b/>
          <w:bCs/>
        </w:rPr>
        <w:t>a</w:t>
      </w:r>
      <w:proofErr w:type="spellEnd"/>
      <w:r>
        <w:rPr>
          <w:rFonts w:eastAsia="Calibri"/>
          <w:b/>
          <w:bCs/>
        </w:rPr>
        <w:t xml:space="preserve"> B)</w:t>
      </w:r>
      <w:r w:rsidR="00096AD1">
        <w:rPr>
          <w:rFonts w:eastAsia="Calibri"/>
          <w:b/>
          <w:bCs/>
        </w:rPr>
        <w:t>, jejichž</w:t>
      </w:r>
      <w:r>
        <w:rPr>
          <w:rFonts w:eastAsia="Calibri"/>
          <w:b/>
          <w:bCs/>
        </w:rPr>
        <w:t xml:space="preserve"> </w:t>
      </w:r>
      <w:r w:rsidR="00712E09">
        <w:rPr>
          <w:rFonts w:eastAsia="Calibri"/>
          <w:b/>
          <w:bCs/>
        </w:rPr>
        <w:t xml:space="preserve">finální </w:t>
      </w:r>
      <w:r w:rsidR="00096AD1">
        <w:rPr>
          <w:rFonts w:eastAsia="Calibri"/>
          <w:b/>
          <w:bCs/>
        </w:rPr>
        <w:t xml:space="preserve">uplatnění je závislé na </w:t>
      </w:r>
      <w:r w:rsidR="00096AD1" w:rsidRPr="001779D8">
        <w:rPr>
          <w:rFonts w:eastAsia="Calibri"/>
          <w:b/>
          <w:bCs/>
        </w:rPr>
        <w:t xml:space="preserve">skutečnost, zda bude ze státního rozpočtu poskytnuta </w:t>
      </w:r>
      <w:r w:rsidR="00712E09" w:rsidRPr="001779D8">
        <w:rPr>
          <w:rFonts w:eastAsia="Calibri"/>
          <w:b/>
          <w:bCs/>
        </w:rPr>
        <w:t xml:space="preserve">Olomouckému </w:t>
      </w:r>
      <w:r w:rsidRPr="001779D8">
        <w:rPr>
          <w:rFonts w:eastAsia="Calibri"/>
          <w:b/>
          <w:bCs/>
        </w:rPr>
        <w:t xml:space="preserve">kraji </w:t>
      </w:r>
      <w:r w:rsidR="006B262A" w:rsidRPr="001779D8">
        <w:rPr>
          <w:rFonts w:eastAsia="Calibri"/>
          <w:b/>
          <w:bCs/>
        </w:rPr>
        <w:t xml:space="preserve">dotace </w:t>
      </w:r>
      <w:r w:rsidRPr="001779D8">
        <w:rPr>
          <w:rFonts w:eastAsia="Calibri"/>
          <w:b/>
          <w:bCs/>
        </w:rPr>
        <w:t>určen</w:t>
      </w:r>
      <w:r w:rsidR="006B262A" w:rsidRPr="001779D8">
        <w:rPr>
          <w:rFonts w:eastAsia="Calibri"/>
          <w:b/>
          <w:bCs/>
        </w:rPr>
        <w:t>á</w:t>
      </w:r>
      <w:r w:rsidRPr="001779D8">
        <w:rPr>
          <w:rFonts w:eastAsia="Calibri"/>
          <w:b/>
          <w:bCs/>
        </w:rPr>
        <w:t xml:space="preserve"> na </w:t>
      </w:r>
      <w:r w:rsidRPr="001779D8">
        <w:rPr>
          <w:rFonts w:eastAsia="Calibri"/>
          <w:b/>
        </w:rPr>
        <w:t>financování sociální části center duševního zdraví a multidisciplinárních týmů pro cílové skupiny dětí, lidí s demencí, lidí s problematikou závislosti a lidí s nařízeným ochranným léčením pro rok 2022</w:t>
      </w:r>
      <w:r w:rsidR="0040195A" w:rsidRPr="001779D8">
        <w:rPr>
          <w:rFonts w:eastAsia="Calibri"/>
          <w:b/>
        </w:rPr>
        <w:t xml:space="preserve"> (dále také „dotace MZ“)</w:t>
      </w:r>
      <w:r w:rsidR="00712E09" w:rsidRPr="001779D8">
        <w:rPr>
          <w:rFonts w:eastAsia="Calibri"/>
          <w:b/>
        </w:rPr>
        <w:t xml:space="preserve">, o jejichž podmíněném přiznání v rámci Podprogramu č. 4 již bylo ZOK rozhodnuto dne </w:t>
      </w:r>
      <w:proofErr w:type="gramStart"/>
      <w:r w:rsidR="00712E09" w:rsidRPr="001779D8">
        <w:rPr>
          <w:rFonts w:eastAsia="Calibri"/>
          <w:b/>
        </w:rPr>
        <w:t>27.06.2022</w:t>
      </w:r>
      <w:proofErr w:type="gramEnd"/>
      <w:r w:rsidR="00712E09" w:rsidRPr="001779D8">
        <w:rPr>
          <w:rFonts w:eastAsia="Calibri"/>
          <w:b/>
        </w:rPr>
        <w:t xml:space="preserve"> usnesením č. UZ/10/50/2022</w:t>
      </w:r>
      <w:r w:rsidRPr="001779D8">
        <w:rPr>
          <w:rFonts w:eastAsia="Calibri"/>
          <w:b/>
        </w:rPr>
        <w:t xml:space="preserve">. </w:t>
      </w:r>
      <w:r w:rsidR="003E4A3A" w:rsidRPr="001779D8">
        <w:rPr>
          <w:rFonts w:eastAsia="Calibri"/>
          <w:b/>
        </w:rPr>
        <w:t xml:space="preserve">O </w:t>
      </w:r>
      <w:r w:rsidR="009A23D2" w:rsidRPr="001779D8">
        <w:rPr>
          <w:rFonts w:eastAsia="Calibri"/>
          <w:b/>
        </w:rPr>
        <w:t xml:space="preserve">dotaci z MZ </w:t>
      </w:r>
      <w:r w:rsidR="006B262A" w:rsidRPr="001779D8">
        <w:rPr>
          <w:rFonts w:eastAsia="Calibri"/>
          <w:b/>
        </w:rPr>
        <w:t>nebylo dosud rozhodnuto, neboť její přiznání je ze strany MZ vázáno na změnu zákona o státním rozpočtu na rok 2022, jehož projednávání nebylo do dnešního dne ukončeno. Z tohoto důvodu je ZOK předkládána k rozhodnutí o dofinancování varianta A. Varianta B bude využita v případě, dojde-li k poskytnutí dotace Ministerstvem zdravotnictví.</w:t>
      </w:r>
    </w:p>
    <w:p w:rsidR="00712E09" w:rsidRDefault="00712E09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</w:rPr>
      </w:pPr>
      <w:r>
        <w:rPr>
          <w:rFonts w:eastAsia="Calibri"/>
          <w:b/>
        </w:rPr>
        <w:t>P</w:t>
      </w:r>
      <w:r w:rsidR="00FA2362">
        <w:rPr>
          <w:rFonts w:eastAsia="Calibri"/>
          <w:b/>
        </w:rPr>
        <w:t>řiznán</w:t>
      </w:r>
      <w:r>
        <w:rPr>
          <w:rFonts w:eastAsia="Calibri"/>
          <w:b/>
        </w:rPr>
        <w:t>í</w:t>
      </w:r>
      <w:r w:rsidR="00FA2362">
        <w:rPr>
          <w:rFonts w:eastAsia="Calibri"/>
          <w:b/>
        </w:rPr>
        <w:t xml:space="preserve"> (a </w:t>
      </w:r>
      <w:r>
        <w:rPr>
          <w:rFonts w:eastAsia="Calibri"/>
          <w:b/>
        </w:rPr>
        <w:t>následné vyplacení</w:t>
      </w:r>
      <w:r w:rsidR="00FA2362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dotace </w:t>
      </w:r>
      <w:r w:rsidR="00FA2362">
        <w:rPr>
          <w:rFonts w:eastAsia="Calibri"/>
          <w:b/>
        </w:rPr>
        <w:t>žadatelům</w:t>
      </w:r>
      <w:r>
        <w:rPr>
          <w:rFonts w:eastAsia="Calibri"/>
          <w:b/>
        </w:rPr>
        <w:t>/poskytovatelům sociální části center duševního zdraví</w:t>
      </w:r>
      <w:r w:rsidR="00FA2362">
        <w:rPr>
          <w:rFonts w:eastAsia="Calibri"/>
          <w:b/>
        </w:rPr>
        <w:t xml:space="preserve">) má přímý vliv na </w:t>
      </w:r>
      <w:r>
        <w:rPr>
          <w:rFonts w:eastAsia="Calibri"/>
          <w:b/>
        </w:rPr>
        <w:t xml:space="preserve">objem finančních prostředků, které mohou být v rámci dofinancování sociálních služeb přerozděleny jednotlivým sociálním službám v rámci Podprogramu č. 1. </w:t>
      </w:r>
    </w:p>
    <w:p w:rsidR="0040195A" w:rsidRDefault="00E07396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</w:rPr>
      </w:pPr>
      <w:r>
        <w:rPr>
          <w:rFonts w:eastAsia="Calibri"/>
          <w:b/>
        </w:rPr>
        <w:t>Rámcové informace</w:t>
      </w:r>
      <w:r w:rsidR="0040195A">
        <w:rPr>
          <w:rFonts w:eastAsia="Calibri"/>
          <w:b/>
        </w:rPr>
        <w:t xml:space="preserve"> k dotaci MZ a podrobněji rozpracované varianty A </w:t>
      </w:r>
      <w:proofErr w:type="spellStart"/>
      <w:r w:rsidR="0040195A">
        <w:rPr>
          <w:rFonts w:eastAsia="Calibri"/>
          <w:b/>
        </w:rPr>
        <w:t>a</w:t>
      </w:r>
      <w:proofErr w:type="spellEnd"/>
      <w:r w:rsidR="0040195A">
        <w:rPr>
          <w:rFonts w:eastAsia="Calibri"/>
          <w:b/>
        </w:rPr>
        <w:t xml:space="preserve"> B týkající se návrhu na přerozdělení navýšení dotace MPSV jsou podrobněji rozpracovány níže.</w:t>
      </w:r>
    </w:p>
    <w:p w:rsidR="00E07396" w:rsidRDefault="00E07396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</w:rPr>
      </w:pPr>
    </w:p>
    <w:p w:rsidR="00E07396" w:rsidRPr="00536052" w:rsidRDefault="00E07396" w:rsidP="00E07396">
      <w:pPr>
        <w:pBdr>
          <w:bottom w:val="single" w:sz="4" w:space="1" w:color="auto"/>
        </w:pBdr>
        <w:spacing w:line="264" w:lineRule="auto"/>
        <w:rPr>
          <w:b/>
        </w:rPr>
      </w:pPr>
      <w:r w:rsidRPr="00454182">
        <w:rPr>
          <w:b/>
        </w:rPr>
        <w:t>Rámcové informace k</w:t>
      </w:r>
      <w:r>
        <w:rPr>
          <w:b/>
        </w:rPr>
        <w:t> </w:t>
      </w:r>
      <w:r w:rsidRPr="00454182">
        <w:rPr>
          <w:b/>
        </w:rPr>
        <w:t>dotaci</w:t>
      </w:r>
      <w:r>
        <w:rPr>
          <w:b/>
        </w:rPr>
        <w:t xml:space="preserve"> </w:t>
      </w:r>
      <w:r w:rsidR="00FA2362">
        <w:rPr>
          <w:b/>
        </w:rPr>
        <w:t xml:space="preserve">MZ </w:t>
      </w:r>
    </w:p>
    <w:p w:rsidR="00E07396" w:rsidRPr="00EF4E4D" w:rsidRDefault="00FA2362" w:rsidP="00E07396">
      <w:pPr>
        <w:spacing w:line="264" w:lineRule="auto"/>
        <w:rPr>
          <w:rFonts w:eastAsia="Calibri"/>
        </w:rPr>
      </w:pPr>
      <w:r>
        <w:rPr>
          <w:rFonts w:eastAsia="Calibri"/>
        </w:rPr>
        <w:t xml:space="preserve">MZ </w:t>
      </w:r>
      <w:r w:rsidRPr="00EF4E4D">
        <w:rPr>
          <w:rFonts w:eastAsia="Calibri"/>
        </w:rPr>
        <w:t xml:space="preserve">zveřejnilo </w:t>
      </w:r>
      <w:r w:rsidR="00E07396" w:rsidRPr="00EF4E4D">
        <w:rPr>
          <w:rFonts w:eastAsia="Calibri"/>
        </w:rPr>
        <w:t xml:space="preserve">dne </w:t>
      </w:r>
      <w:proofErr w:type="gramStart"/>
      <w:r w:rsidR="00E07396" w:rsidRPr="00EF4E4D">
        <w:rPr>
          <w:rFonts w:eastAsia="Calibri"/>
        </w:rPr>
        <w:t>23.10.2021</w:t>
      </w:r>
      <w:proofErr w:type="gramEnd"/>
      <w:r w:rsidR="00E07396" w:rsidRPr="00EF4E4D">
        <w:rPr>
          <w:rFonts w:eastAsia="Calibri"/>
        </w:rPr>
        <w:t xml:space="preserve"> výzvu k podání žádostí na financování sociální části CDZ a MDT a Metodiku pro financování sociální části CDZ a MDT. Výzva byla určená pro kraje, které v jejím rámci mohly získat finanční prostředky na finanční zajištění sociálních služeb poskytovaných Centry duševního zdraví; dotační řízení se týkalo dvou konkrétních sociálních služeb, které jediné spadaly do definice oprávněných žadatelů. </w:t>
      </w:r>
    </w:p>
    <w:p w:rsidR="00E07396" w:rsidRDefault="00E07396" w:rsidP="00E07396">
      <w:pPr>
        <w:spacing w:line="264" w:lineRule="auto"/>
        <w:rPr>
          <w:rFonts w:eastAsia="Calibri"/>
        </w:rPr>
      </w:pPr>
      <w:r w:rsidRPr="00B05D95">
        <w:rPr>
          <w:rFonts w:eastAsia="Calibri"/>
        </w:rPr>
        <w:t>Jsou poskytovány organizacemi:</w:t>
      </w:r>
    </w:p>
    <w:p w:rsidR="00E07396" w:rsidRPr="00B05D95" w:rsidRDefault="00E07396" w:rsidP="00E07396">
      <w:pPr>
        <w:numPr>
          <w:ilvl w:val="0"/>
          <w:numId w:val="13"/>
        </w:numPr>
        <w:spacing w:line="264" w:lineRule="auto"/>
        <w:ind w:left="714" w:hanging="357"/>
        <w:rPr>
          <w:rFonts w:eastAsia="Calibri"/>
        </w:rPr>
      </w:pPr>
      <w:r w:rsidRPr="00B05D95">
        <w:rPr>
          <w:rFonts w:eastAsia="Calibri"/>
        </w:rPr>
        <w:t>Duševní zdraví, o. p. s., IČO 27836886</w:t>
      </w:r>
    </w:p>
    <w:p w:rsidR="00E07396" w:rsidRDefault="00E07396" w:rsidP="00E07396">
      <w:pPr>
        <w:numPr>
          <w:ilvl w:val="0"/>
          <w:numId w:val="13"/>
        </w:numPr>
        <w:spacing w:line="264" w:lineRule="auto"/>
        <w:ind w:left="714" w:hanging="357"/>
        <w:rPr>
          <w:rFonts w:eastAsia="Calibri"/>
        </w:rPr>
      </w:pPr>
      <w:r w:rsidRPr="00B05D95">
        <w:rPr>
          <w:rFonts w:eastAsia="Calibri"/>
        </w:rPr>
        <w:t>Společnost Mana, o. p. s, IČO 26660571</w:t>
      </w:r>
    </w:p>
    <w:p w:rsidR="00E07396" w:rsidRPr="00B05D95" w:rsidRDefault="00E07396" w:rsidP="00E07396">
      <w:pPr>
        <w:spacing w:line="264" w:lineRule="auto"/>
        <w:rPr>
          <w:rFonts w:eastAsia="Calibri"/>
        </w:rPr>
      </w:pPr>
      <w:r w:rsidRPr="00B05D95">
        <w:rPr>
          <w:rFonts w:eastAsia="Calibri"/>
        </w:rPr>
        <w:t xml:space="preserve">Kraj </w:t>
      </w:r>
      <w:r>
        <w:rPr>
          <w:rFonts w:eastAsia="Calibri"/>
        </w:rPr>
        <w:t xml:space="preserve">v </w:t>
      </w:r>
      <w:r w:rsidRPr="00B05D95">
        <w:rPr>
          <w:rFonts w:eastAsia="Calibri"/>
        </w:rPr>
        <w:t>této věci učinil</w:t>
      </w:r>
      <w:r>
        <w:rPr>
          <w:rFonts w:eastAsia="Calibri"/>
        </w:rPr>
        <w:t xml:space="preserve"> m. j. </w:t>
      </w:r>
      <w:r w:rsidRPr="00B05D95">
        <w:rPr>
          <w:rFonts w:eastAsia="Calibri"/>
        </w:rPr>
        <w:t>následující úkony:</w:t>
      </w:r>
    </w:p>
    <w:p w:rsidR="00443919" w:rsidRPr="00443919" w:rsidRDefault="00E07396" w:rsidP="00E07396">
      <w:pPr>
        <w:numPr>
          <w:ilvl w:val="0"/>
          <w:numId w:val="14"/>
        </w:numPr>
        <w:spacing w:line="264" w:lineRule="auto"/>
        <w:rPr>
          <w:rFonts w:eastAsia="Calibri"/>
          <w:b/>
        </w:rPr>
      </w:pPr>
      <w:r w:rsidRPr="00B26900">
        <w:rPr>
          <w:rFonts w:eastAsia="Calibri"/>
        </w:rPr>
        <w:t xml:space="preserve">V souladu s výzvou pro předkládání žádostí podal žádost o dotaci na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dne </w:t>
      </w:r>
      <w:proofErr w:type="gramStart"/>
      <w:r w:rsidRPr="00B26900">
        <w:rPr>
          <w:rFonts w:eastAsia="Calibri"/>
        </w:rPr>
        <w:t>12.11.2021</w:t>
      </w:r>
      <w:proofErr w:type="gramEnd"/>
      <w:r w:rsidR="00443919">
        <w:rPr>
          <w:rFonts w:eastAsia="Calibri"/>
        </w:rPr>
        <w:t>,</w:t>
      </w:r>
    </w:p>
    <w:p w:rsidR="00E07396" w:rsidRPr="00B26900" w:rsidRDefault="00D75D0F" w:rsidP="00E07396">
      <w:pPr>
        <w:numPr>
          <w:ilvl w:val="0"/>
          <w:numId w:val="14"/>
        </w:numPr>
        <w:spacing w:line="264" w:lineRule="auto"/>
        <w:rPr>
          <w:rFonts w:eastAsia="Calibri"/>
          <w:b/>
        </w:rPr>
      </w:pPr>
      <w:r>
        <w:rPr>
          <w:rFonts w:eastAsia="Calibri"/>
        </w:rPr>
        <w:t>z</w:t>
      </w:r>
      <w:r w:rsidR="00443919">
        <w:rPr>
          <w:rFonts w:eastAsia="Calibri"/>
        </w:rPr>
        <w:t>pracoval pravidla Podprogramu č. 4, v rámci kterého je dotace krajem administrována</w:t>
      </w:r>
      <w:r w:rsidR="00154431">
        <w:rPr>
          <w:rFonts w:eastAsia="Calibri"/>
        </w:rPr>
        <w:t>,</w:t>
      </w:r>
      <w:r w:rsidR="00443919">
        <w:rPr>
          <w:rFonts w:eastAsia="Calibri"/>
        </w:rPr>
        <w:t xml:space="preserve"> </w:t>
      </w:r>
      <w:r w:rsidR="00E07396" w:rsidRPr="00B26900">
        <w:rPr>
          <w:rFonts w:eastAsia="Calibri"/>
        </w:rPr>
        <w:t xml:space="preserve">a </w:t>
      </w:r>
    </w:p>
    <w:p w:rsidR="00E07396" w:rsidRPr="00B26900" w:rsidRDefault="00E07396" w:rsidP="00E07396">
      <w:pPr>
        <w:numPr>
          <w:ilvl w:val="0"/>
          <w:numId w:val="14"/>
        </w:numPr>
        <w:spacing w:line="264" w:lineRule="auto"/>
        <w:rPr>
          <w:rFonts w:eastAsia="Calibri"/>
        </w:rPr>
      </w:pPr>
      <w:r w:rsidRPr="00B26900">
        <w:rPr>
          <w:rFonts w:eastAsia="Calibri"/>
        </w:rPr>
        <w:lastRenderedPageBreak/>
        <w:t xml:space="preserve">vyhlásil dotační řízení pro poskytovatele sociálních služeb; lhůta pro podávání žádostí byla stanovena od </w:t>
      </w:r>
      <w:proofErr w:type="gramStart"/>
      <w:r w:rsidRPr="00B26900">
        <w:rPr>
          <w:rFonts w:eastAsia="Calibri"/>
        </w:rPr>
        <w:t>27.12.2021</w:t>
      </w:r>
      <w:proofErr w:type="gramEnd"/>
      <w:r w:rsidRPr="00B26900">
        <w:rPr>
          <w:rFonts w:eastAsia="Calibri"/>
        </w:rPr>
        <w:t xml:space="preserve"> do 06.01.2022 do 12:00 hod. Ve stanovené lhůtě byly podány dvě žádosti o dotaci oprávněných žadatelů v celkové výši 9 460 000 Kč. Požadavky na dotaci oprávněných žadatelů jsou uvedeny v tabulce </w:t>
      </w:r>
      <w:r w:rsidR="00443919">
        <w:rPr>
          <w:rFonts w:eastAsia="Calibri"/>
        </w:rPr>
        <w:t>1</w:t>
      </w:r>
      <w:r>
        <w:rPr>
          <w:rFonts w:eastAsia="Calibri"/>
        </w:rPr>
        <w:t>.</w:t>
      </w:r>
    </w:p>
    <w:p w:rsidR="00443919" w:rsidRPr="00443919" w:rsidRDefault="00443919" w:rsidP="004A03D4">
      <w:pPr>
        <w:pStyle w:val="titulek0"/>
      </w:pPr>
      <w:r w:rsidRPr="00443919">
        <w:t xml:space="preserve">Tabulka </w:t>
      </w:r>
      <w:fldSimple w:instr=" SEQ Tabulka \* ARABIC ">
        <w:r w:rsidR="00BA2F23">
          <w:rPr>
            <w:noProof/>
          </w:rPr>
          <w:t>1</w:t>
        </w:r>
      </w:fldSimple>
      <w:r w:rsidR="00284E94">
        <w:t>- Požadavky v rámci Podprogramu č. 4 (v Kč)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171"/>
        <w:gridCol w:w="1721"/>
        <w:gridCol w:w="2072"/>
        <w:gridCol w:w="941"/>
        <w:gridCol w:w="882"/>
        <w:gridCol w:w="1071"/>
        <w:gridCol w:w="1341"/>
      </w:tblGrid>
      <w:tr w:rsidR="00E07396" w:rsidRPr="00AD2005" w:rsidTr="00443919">
        <w:trPr>
          <w:trHeight w:val="454"/>
          <w:jc w:val="right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§</w:t>
            </w:r>
          </w:p>
        </w:tc>
        <w:tc>
          <w:tcPr>
            <w:tcW w:w="60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Identifikátor služby</w:t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Druh</w:t>
            </w:r>
          </w:p>
        </w:tc>
        <w:tc>
          <w:tcPr>
            <w:tcW w:w="106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Poskytovatel</w:t>
            </w:r>
          </w:p>
        </w:tc>
        <w:tc>
          <w:tcPr>
            <w:tcW w:w="4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IČO</w:t>
            </w:r>
          </w:p>
        </w:tc>
        <w:tc>
          <w:tcPr>
            <w:tcW w:w="45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bCs/>
                <w:sz w:val="18"/>
              </w:rPr>
            </w:pPr>
            <w:r w:rsidRPr="00ED4EA5">
              <w:rPr>
                <w:b/>
                <w:bCs/>
                <w:sz w:val="18"/>
              </w:rPr>
              <w:t xml:space="preserve">Počet jednotek </w:t>
            </w:r>
          </w:p>
        </w:tc>
        <w:tc>
          <w:tcPr>
            <w:tcW w:w="5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Požadavek kraje</w:t>
            </w:r>
          </w:p>
        </w:tc>
        <w:tc>
          <w:tcPr>
            <w:tcW w:w="6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bCs/>
                <w:sz w:val="18"/>
              </w:rPr>
            </w:pPr>
            <w:r w:rsidRPr="00ED4EA5">
              <w:rPr>
                <w:b/>
                <w:bCs/>
                <w:sz w:val="18"/>
              </w:rPr>
              <w:t>Požadavek poskytovatele</w:t>
            </w:r>
          </w:p>
        </w:tc>
      </w:tr>
      <w:tr w:rsidR="00E07396" w:rsidRPr="00AD2005" w:rsidTr="00443919">
        <w:trPr>
          <w:trHeight w:val="503"/>
          <w:jc w:val="right"/>
        </w:trPr>
        <w:tc>
          <w:tcPr>
            <w:tcW w:w="2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70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4183576</w:t>
            </w:r>
          </w:p>
        </w:tc>
        <w:tc>
          <w:tcPr>
            <w:tcW w:w="8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sociální rehabilitace</w:t>
            </w:r>
          </w:p>
        </w:tc>
        <w:tc>
          <w:tcPr>
            <w:tcW w:w="106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Duševní zdraví, o.p.s.</w:t>
            </w:r>
          </w:p>
        </w:tc>
        <w:tc>
          <w:tcPr>
            <w:tcW w:w="4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27836886</w:t>
            </w:r>
          </w:p>
        </w:tc>
        <w:tc>
          <w:tcPr>
            <w:tcW w:w="452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284E94" w:rsidP="00BA2F23">
            <w:pPr>
              <w:spacing w:befor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7</w:t>
            </w:r>
            <w:r w:rsidR="00E07396">
              <w:rPr>
                <w:b/>
                <w:bCs/>
                <w:color w:val="000000"/>
                <w:sz w:val="18"/>
              </w:rPr>
              <w:t>,0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7 140 000</w:t>
            </w:r>
          </w:p>
        </w:tc>
        <w:tc>
          <w:tcPr>
            <w:tcW w:w="68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6 060 000</w:t>
            </w:r>
          </w:p>
        </w:tc>
      </w:tr>
      <w:tr w:rsidR="00E07396" w:rsidRPr="00AD2005" w:rsidTr="00443919">
        <w:trPr>
          <w:trHeight w:val="503"/>
          <w:jc w:val="right"/>
        </w:trPr>
        <w:tc>
          <w:tcPr>
            <w:tcW w:w="2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70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7227642</w:t>
            </w:r>
          </w:p>
        </w:tc>
        <w:tc>
          <w:tcPr>
            <w:tcW w:w="8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sociální rehabilitace</w:t>
            </w:r>
          </w:p>
        </w:tc>
        <w:tc>
          <w:tcPr>
            <w:tcW w:w="106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Společnost Mana, o.p.s.</w:t>
            </w:r>
          </w:p>
        </w:tc>
        <w:tc>
          <w:tcPr>
            <w:tcW w:w="4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26660571</w:t>
            </w:r>
          </w:p>
        </w:tc>
        <w:tc>
          <w:tcPr>
            <w:tcW w:w="452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4,0</w:t>
            </w:r>
            <w:r w:rsidRPr="00AD2005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3 400 000</w:t>
            </w:r>
          </w:p>
        </w:tc>
        <w:tc>
          <w:tcPr>
            <w:tcW w:w="68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3 400 000</w:t>
            </w:r>
          </w:p>
        </w:tc>
      </w:tr>
      <w:tr w:rsidR="00E07396" w:rsidRPr="00AD2005" w:rsidTr="00443919">
        <w:trPr>
          <w:trHeight w:val="503"/>
          <w:jc w:val="right"/>
        </w:trPr>
        <w:tc>
          <w:tcPr>
            <w:tcW w:w="3762" w:type="pct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b/>
                <w:sz w:val="18"/>
                <w:szCs w:val="20"/>
              </w:rPr>
            </w:pPr>
            <w:r w:rsidRPr="00AD2005">
              <w:rPr>
                <w:b/>
                <w:sz w:val="18"/>
                <w:lang w:eastAsia="en-US"/>
              </w:rPr>
              <w:t>CELKEM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10 540 000</w:t>
            </w:r>
          </w:p>
        </w:tc>
        <w:tc>
          <w:tcPr>
            <w:tcW w:w="68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9 460 000</w:t>
            </w:r>
          </w:p>
        </w:tc>
      </w:tr>
    </w:tbl>
    <w:p w:rsidR="00E07396" w:rsidRPr="00B05D95" w:rsidRDefault="00E07396" w:rsidP="00E07396">
      <w:pPr>
        <w:spacing w:line="264" w:lineRule="auto"/>
        <w:contextualSpacing/>
        <w:rPr>
          <w:rFonts w:eastAsia="Calibri"/>
        </w:rPr>
      </w:pPr>
    </w:p>
    <w:p w:rsidR="00E07396" w:rsidRPr="00443919" w:rsidRDefault="00443919" w:rsidP="00E07396">
      <w:pPr>
        <w:spacing w:line="264" w:lineRule="auto"/>
        <w:rPr>
          <w:rFonts w:eastAsia="Calibri"/>
          <w:b/>
        </w:rPr>
      </w:pPr>
      <w:r w:rsidRPr="00443919">
        <w:rPr>
          <w:rFonts w:eastAsia="Calibri"/>
          <w:b/>
        </w:rPr>
        <w:t xml:space="preserve">S poskytnutím dotace MZ </w:t>
      </w:r>
      <w:r w:rsidR="00E07396" w:rsidRPr="00443919">
        <w:rPr>
          <w:rFonts w:eastAsia="Calibri"/>
          <w:b/>
        </w:rPr>
        <w:t xml:space="preserve">v době realizace výše uvedených úkonů počítal návrh státního rozpočtu ČR pro rok 2022, který však v té době nebyl schválen. </w:t>
      </w:r>
    </w:p>
    <w:p w:rsidR="00E07396" w:rsidRPr="00B26900" w:rsidRDefault="00E07396" w:rsidP="00E07396">
      <w:pPr>
        <w:spacing w:line="264" w:lineRule="auto"/>
        <w:rPr>
          <w:rFonts w:eastAsia="Calibri"/>
        </w:rPr>
      </w:pPr>
      <w:r w:rsidRPr="00B26900">
        <w:rPr>
          <w:rFonts w:eastAsia="Calibri"/>
        </w:rPr>
        <w:t xml:space="preserve">O vyčlenění finančních prostředků na příslušný dotační program Ministerstva zdravotnictví rozhodla vláda na své schůzi dne </w:t>
      </w:r>
      <w:proofErr w:type="gramStart"/>
      <w:r w:rsidRPr="00B26900">
        <w:rPr>
          <w:rFonts w:eastAsia="Calibri"/>
        </w:rPr>
        <w:t>04.05.2022</w:t>
      </w:r>
      <w:proofErr w:type="gramEnd"/>
      <w:r w:rsidRPr="00B26900">
        <w:rPr>
          <w:rFonts w:eastAsia="Calibri"/>
        </w:rPr>
        <w:t>.</w:t>
      </w:r>
    </w:p>
    <w:p w:rsidR="00E07396" w:rsidRDefault="00E07396" w:rsidP="00E07396">
      <w:pPr>
        <w:spacing w:line="264" w:lineRule="auto"/>
        <w:rPr>
          <w:rFonts w:eastAsia="Calibri"/>
        </w:rPr>
      </w:pPr>
      <w:r w:rsidRPr="00B26900">
        <w:rPr>
          <w:rFonts w:eastAsia="Calibri"/>
        </w:rPr>
        <w:t xml:space="preserve">Dne </w:t>
      </w:r>
      <w:proofErr w:type="gramStart"/>
      <w:r w:rsidRPr="00B26900">
        <w:rPr>
          <w:rFonts w:eastAsia="Calibri"/>
        </w:rPr>
        <w:t>06.06.2022</w:t>
      </w:r>
      <w:proofErr w:type="gramEnd"/>
      <w:r w:rsidRPr="00B26900">
        <w:rPr>
          <w:rFonts w:eastAsia="Calibri"/>
        </w:rPr>
        <w:t xml:space="preserve"> kraj obdržel informativní dopis ze strany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č. j. MZDR 41436/2021-2/ORDZ, ve kterém je uvedeno, že ministr zdravotnictví prof. MUDr. Vlastimil Válek, CSc., MBA, EBIR, dne 20.05.2022 podmíněně schválil vydat rozhodnutí o poskytnutí dotace krajům, a to po uvolnění finančních prostředků do rozpočtové kapitoly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ze strany MF ČR.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dále </w:t>
      </w:r>
      <w:r w:rsidR="009A27A4">
        <w:rPr>
          <w:rFonts w:eastAsia="Calibri"/>
        </w:rPr>
        <w:t>sdělilo</w:t>
      </w:r>
      <w:r w:rsidRPr="00B26900">
        <w:rPr>
          <w:rFonts w:eastAsia="Calibri"/>
        </w:rPr>
        <w:t xml:space="preserve">, že je připraveno vydat rozhodnutí o poskytnutí dotace ve výši 10 540 000 Kč; tato výše dotace odpovídá výši dotace, kterou kraj požadoval na financování sociální části CDZ a MDT. </w:t>
      </w:r>
    </w:p>
    <w:p w:rsidR="00E07396" w:rsidRPr="00443919" w:rsidRDefault="00E07396" w:rsidP="00E07396">
      <w:pPr>
        <w:spacing w:line="264" w:lineRule="auto"/>
        <w:rPr>
          <w:rFonts w:eastAsia="Calibri"/>
          <w:b/>
        </w:rPr>
      </w:pPr>
      <w:r w:rsidRPr="0025648B">
        <w:rPr>
          <w:rFonts w:eastAsia="Calibri"/>
        </w:rPr>
        <w:t xml:space="preserve">Zastupitelstvo Olomouckého </w:t>
      </w:r>
      <w:r w:rsidRPr="00366F32">
        <w:rPr>
          <w:rFonts w:eastAsia="Calibri"/>
        </w:rPr>
        <w:t xml:space="preserve">kraje svým usnesením č. UZ/10/50/2022 ze dne </w:t>
      </w:r>
      <w:proofErr w:type="gramStart"/>
      <w:r w:rsidRPr="00366F32">
        <w:rPr>
          <w:rFonts w:eastAsia="Calibri"/>
        </w:rPr>
        <w:t>27.06.2022</w:t>
      </w:r>
      <w:proofErr w:type="gramEnd"/>
      <w:r w:rsidRPr="00366F32">
        <w:rPr>
          <w:rFonts w:eastAsia="Calibri"/>
        </w:rPr>
        <w:t xml:space="preserve"> </w:t>
      </w:r>
      <w:r w:rsidRPr="00443919">
        <w:rPr>
          <w:rFonts w:eastAsia="Calibri"/>
        </w:rPr>
        <w:t xml:space="preserve">rozhodlo o poskytnutí účelově určené dotace ze státního rozpočtu v rámci Podprogramu č. 4 Programu jednotlivým sociálním službám. </w:t>
      </w:r>
      <w:r w:rsidRPr="00443919">
        <w:rPr>
          <w:rFonts w:eastAsia="Calibri"/>
          <w:b/>
        </w:rPr>
        <w:t xml:space="preserve">Pokud však k poskytnutí dotace ze strany </w:t>
      </w:r>
      <w:r w:rsidR="004A03D4">
        <w:rPr>
          <w:rFonts w:eastAsia="Calibri"/>
          <w:b/>
        </w:rPr>
        <w:t>MZ</w:t>
      </w:r>
      <w:r w:rsidRPr="00443919">
        <w:rPr>
          <w:rFonts w:eastAsia="Calibri"/>
          <w:b/>
        </w:rPr>
        <w:t xml:space="preserve"> nedojde (vzhledem ke skutečnosti, že je vydání rozhodnutí o poskytnutí dotace krajům vázáno na uvolnění finančních prostředků ze strany MF ČR), bude nutno výše uvedené rozhodnutí ZOK revokovat.</w:t>
      </w:r>
    </w:p>
    <w:p w:rsidR="00E07396" w:rsidRDefault="00443919" w:rsidP="00E07396">
      <w:pPr>
        <w:spacing w:line="264" w:lineRule="auto"/>
        <w:rPr>
          <w:rFonts w:eastAsia="Calibri"/>
        </w:rPr>
      </w:pPr>
      <w:r>
        <w:rPr>
          <w:rFonts w:eastAsia="Calibri"/>
        </w:rPr>
        <w:t>Jak již bylo uvedeno v úvodu této důvodové zprávy, mají t</w:t>
      </w:r>
      <w:r w:rsidR="00E07396">
        <w:rPr>
          <w:rFonts w:eastAsia="Calibri"/>
        </w:rPr>
        <w:t xml:space="preserve">yto skutečnosti podstatný vliv na přerozdělení </w:t>
      </w:r>
      <w:r>
        <w:rPr>
          <w:rFonts w:eastAsia="Calibri"/>
        </w:rPr>
        <w:t xml:space="preserve">navýšení </w:t>
      </w:r>
      <w:r w:rsidR="00E07396">
        <w:rPr>
          <w:rFonts w:eastAsia="Calibri"/>
        </w:rPr>
        <w:t>dotace z</w:t>
      </w:r>
      <w:r>
        <w:rPr>
          <w:rFonts w:eastAsia="Calibri"/>
        </w:rPr>
        <w:t> </w:t>
      </w:r>
      <w:r w:rsidR="00E07396">
        <w:rPr>
          <w:rFonts w:eastAsia="Calibri"/>
        </w:rPr>
        <w:t>MPSV</w:t>
      </w:r>
      <w:r>
        <w:rPr>
          <w:rFonts w:eastAsia="Calibri"/>
        </w:rPr>
        <w:t>.</w:t>
      </w:r>
    </w:p>
    <w:p w:rsidR="00E07396" w:rsidRDefault="00E07396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</w:p>
    <w:p w:rsidR="00443919" w:rsidRPr="00443919" w:rsidRDefault="00443919" w:rsidP="00443919">
      <w:pPr>
        <w:pBdr>
          <w:bottom w:val="single" w:sz="4" w:space="1" w:color="auto"/>
        </w:pBdr>
        <w:spacing w:line="264" w:lineRule="auto"/>
        <w:rPr>
          <w:b/>
        </w:rPr>
      </w:pPr>
      <w:r w:rsidRPr="00443919">
        <w:rPr>
          <w:b/>
        </w:rPr>
        <w:t>Informace k účelově určené dotaci z MPSV na poskytování sociálních služeb</w:t>
      </w:r>
    </w:p>
    <w:p w:rsidR="00226BF6" w:rsidRDefault="00226BF6" w:rsidP="00951C64">
      <w:pPr>
        <w:spacing w:line="264" w:lineRule="auto"/>
        <w:rPr>
          <w:b/>
          <w:bCs/>
        </w:rPr>
      </w:pPr>
      <w:r w:rsidRPr="003D6DD9">
        <w:rPr>
          <w:bCs/>
        </w:rPr>
        <w:t xml:space="preserve">Dne </w:t>
      </w:r>
      <w:proofErr w:type="gramStart"/>
      <w:r>
        <w:rPr>
          <w:bCs/>
        </w:rPr>
        <w:t>0</w:t>
      </w:r>
      <w:r w:rsidR="00216661">
        <w:rPr>
          <w:bCs/>
        </w:rPr>
        <w:t>6</w:t>
      </w:r>
      <w:r>
        <w:rPr>
          <w:bCs/>
        </w:rPr>
        <w:t>.0</w:t>
      </w:r>
      <w:r w:rsidR="00216661">
        <w:rPr>
          <w:bCs/>
        </w:rPr>
        <w:t>4</w:t>
      </w:r>
      <w:r>
        <w:rPr>
          <w:bCs/>
        </w:rPr>
        <w:t>.</w:t>
      </w:r>
      <w:r w:rsidRPr="003D6DD9">
        <w:rPr>
          <w:bCs/>
        </w:rPr>
        <w:t>202</w:t>
      </w:r>
      <w:r w:rsidR="00216661">
        <w:rPr>
          <w:bCs/>
        </w:rPr>
        <w:t>2</w:t>
      </w:r>
      <w:proofErr w:type="gramEnd"/>
      <w:r w:rsidR="00216661">
        <w:rPr>
          <w:bCs/>
        </w:rPr>
        <w:t xml:space="preserve"> </w:t>
      </w:r>
      <w:r w:rsidRPr="003D6DD9">
        <w:rPr>
          <w:bCs/>
        </w:rPr>
        <w:t>obdržel</w:t>
      </w:r>
      <w:r w:rsidRPr="009854B1">
        <w:rPr>
          <w:bCs/>
        </w:rPr>
        <w:t xml:space="preserve"> Olomoucký kraj ROZHODNUTÍ č. 1 o poskytnutí dotace z kapitoly 313 – MPSV státního rozpočtu na rok 202</w:t>
      </w:r>
      <w:r w:rsidR="00216661">
        <w:rPr>
          <w:bCs/>
        </w:rPr>
        <w:t>2</w:t>
      </w:r>
      <w:r w:rsidRPr="0037158B">
        <w:rPr>
          <w:bCs/>
        </w:rPr>
        <w:t xml:space="preserve">. Tímto rozhodnutím byla Olomouckému kraji poskytnuta účelově určená dotace na financování běžných výdajů souvisejících s poskytováním základních druhů a forem sociálních služeb v rozsahu stanoveném základními činnostmi u jednotlivých druhů sociálních služeb </w:t>
      </w:r>
      <w:r w:rsidRPr="0037158B">
        <w:rPr>
          <w:b/>
          <w:bCs/>
        </w:rPr>
        <w:t xml:space="preserve">v celkové maximální výši </w:t>
      </w:r>
      <w:r w:rsidRPr="003D6DD9">
        <w:rPr>
          <w:b/>
          <w:bCs/>
        </w:rPr>
        <w:t>1</w:t>
      </w:r>
      <w:r w:rsidR="001A780C">
        <w:rPr>
          <w:b/>
          <w:bCs/>
        </w:rPr>
        <w:t> 507 933 983 Kč.</w:t>
      </w:r>
    </w:p>
    <w:p w:rsidR="00D16980" w:rsidRDefault="00D16980" w:rsidP="00D16980">
      <w:pPr>
        <w:spacing w:line="264" w:lineRule="auto"/>
        <w:rPr>
          <w:rFonts w:eastAsia="Calibri"/>
          <w:bCs/>
        </w:rPr>
      </w:pPr>
      <w:r w:rsidRPr="00D05502">
        <w:rPr>
          <w:bCs/>
          <w:szCs w:val="24"/>
        </w:rPr>
        <w:t xml:space="preserve">Na základě </w:t>
      </w:r>
      <w:r w:rsidR="003201AE">
        <w:rPr>
          <w:bCs/>
          <w:szCs w:val="24"/>
        </w:rPr>
        <w:t xml:space="preserve">Dodatku č. 1 k </w:t>
      </w:r>
      <w:r w:rsidR="003201AE" w:rsidRPr="009854B1">
        <w:rPr>
          <w:bCs/>
        </w:rPr>
        <w:t>ROZHODNUTÍ č. 1 o poskytnutí dotace z kapitoly 313 – MPSV státního rozpočtu na rok 202</w:t>
      </w:r>
      <w:r w:rsidR="003201AE">
        <w:rPr>
          <w:bCs/>
        </w:rPr>
        <w:t xml:space="preserve">2 (č. j. MPSV-2022/159152-227 ze dne </w:t>
      </w:r>
      <w:proofErr w:type="gramStart"/>
      <w:r w:rsidR="003201AE">
        <w:rPr>
          <w:bCs/>
        </w:rPr>
        <w:t>08.08.2022</w:t>
      </w:r>
      <w:proofErr w:type="gramEnd"/>
      <w:r w:rsidR="003201AE">
        <w:rPr>
          <w:bCs/>
        </w:rPr>
        <w:t xml:space="preserve">) </w:t>
      </w:r>
      <w:r w:rsidRPr="00D05502">
        <w:rPr>
          <w:bCs/>
          <w:szCs w:val="24"/>
        </w:rPr>
        <w:t xml:space="preserve">byla Olomouckému kraji navýšena účelově určená dotace na financování běžných výdajů </w:t>
      </w:r>
      <w:r w:rsidRPr="00D05502">
        <w:rPr>
          <w:bCs/>
          <w:szCs w:val="24"/>
        </w:rPr>
        <w:lastRenderedPageBreak/>
        <w:t xml:space="preserve">souvisejících s poskytováním základních druhů a forem sociálních služeb v rozsahu stanoveném základními činnostmi u jednotlivých druhů sociálních služeb o částku </w:t>
      </w:r>
      <w:r w:rsidRPr="00D16980">
        <w:rPr>
          <w:b/>
          <w:bCs/>
          <w:szCs w:val="24"/>
        </w:rPr>
        <w:t>221 804 000 Kč</w:t>
      </w:r>
      <w:r>
        <w:rPr>
          <w:bCs/>
          <w:szCs w:val="24"/>
        </w:rPr>
        <w:t xml:space="preserve"> </w:t>
      </w:r>
      <w:r w:rsidRPr="00D05502">
        <w:rPr>
          <w:bCs/>
          <w:szCs w:val="24"/>
        </w:rPr>
        <w:t xml:space="preserve">na celkových </w:t>
      </w:r>
      <w:r w:rsidRPr="00D16980">
        <w:rPr>
          <w:b/>
          <w:bCs/>
          <w:szCs w:val="24"/>
        </w:rPr>
        <w:t>1 729 737 983 Kč.</w:t>
      </w:r>
      <w:r w:rsidRPr="00D16980">
        <w:rPr>
          <w:bCs/>
          <w:szCs w:val="24"/>
        </w:rPr>
        <w:t xml:space="preserve"> </w:t>
      </w:r>
    </w:p>
    <w:p w:rsidR="00046492" w:rsidRDefault="00154431" w:rsidP="00951C64">
      <w:pPr>
        <w:spacing w:line="264" w:lineRule="auto"/>
        <w:rPr>
          <w:bCs/>
          <w:szCs w:val="24"/>
        </w:rPr>
      </w:pPr>
      <w:r>
        <w:rPr>
          <w:bCs/>
          <w:szCs w:val="24"/>
        </w:rPr>
        <w:t>V roce 2022 do financování sociálních služeb zasáhla</w:t>
      </w:r>
      <w:r w:rsidR="008E7FDD">
        <w:rPr>
          <w:bCs/>
          <w:szCs w:val="24"/>
        </w:rPr>
        <w:t xml:space="preserve"> </w:t>
      </w:r>
      <w:r>
        <w:rPr>
          <w:bCs/>
          <w:szCs w:val="24"/>
        </w:rPr>
        <w:t xml:space="preserve">řada zásadních skutečností. Bezprecedentní inflace, navýšení cen energií, zvyšování cen potravin či pohonných hmot. </w:t>
      </w:r>
      <w:r w:rsidR="0058513E">
        <w:rPr>
          <w:bCs/>
          <w:szCs w:val="24"/>
        </w:rPr>
        <w:t>Současně však došlo ke změnám na straně výnosů sociálních služeb</w:t>
      </w:r>
      <w:r w:rsidR="00207FC6">
        <w:rPr>
          <w:bCs/>
          <w:szCs w:val="24"/>
        </w:rPr>
        <w:t xml:space="preserve">. </w:t>
      </w:r>
      <w:r w:rsidR="00207FC6" w:rsidRPr="00207FC6">
        <w:rPr>
          <w:bCs/>
          <w:szCs w:val="24"/>
        </w:rPr>
        <w:t xml:space="preserve">Od </w:t>
      </w:r>
      <w:proofErr w:type="gramStart"/>
      <w:r w:rsidR="00207FC6">
        <w:rPr>
          <w:bCs/>
          <w:szCs w:val="24"/>
        </w:rPr>
        <w:t>0</w:t>
      </w:r>
      <w:r w:rsidR="00207FC6" w:rsidRPr="00207FC6">
        <w:rPr>
          <w:bCs/>
          <w:szCs w:val="24"/>
        </w:rPr>
        <w:t>1.</w:t>
      </w:r>
      <w:r w:rsidR="00207FC6">
        <w:rPr>
          <w:bCs/>
          <w:szCs w:val="24"/>
        </w:rPr>
        <w:t>0</w:t>
      </w:r>
      <w:r w:rsidR="00207FC6" w:rsidRPr="00207FC6">
        <w:rPr>
          <w:bCs/>
          <w:szCs w:val="24"/>
        </w:rPr>
        <w:t>3.2022</w:t>
      </w:r>
      <w:proofErr w:type="gramEnd"/>
      <w:r w:rsidR="00207FC6" w:rsidRPr="00207FC6">
        <w:rPr>
          <w:bCs/>
          <w:szCs w:val="24"/>
        </w:rPr>
        <w:t xml:space="preserve"> </w:t>
      </w:r>
      <w:r w:rsidR="00207FC6">
        <w:rPr>
          <w:bCs/>
          <w:szCs w:val="24"/>
        </w:rPr>
        <w:t xml:space="preserve">vešla </w:t>
      </w:r>
      <w:r w:rsidR="00207FC6" w:rsidRPr="00207FC6">
        <w:rPr>
          <w:bCs/>
          <w:szCs w:val="24"/>
        </w:rPr>
        <w:t>v účinnost novela vyhlášk</w:t>
      </w:r>
      <w:r w:rsidR="00207FC6">
        <w:rPr>
          <w:bCs/>
          <w:szCs w:val="24"/>
        </w:rPr>
        <w:t xml:space="preserve">y </w:t>
      </w:r>
      <w:r w:rsidR="00207FC6" w:rsidRPr="00207FC6">
        <w:rPr>
          <w:bCs/>
          <w:szCs w:val="24"/>
        </w:rPr>
        <w:t>č.</w:t>
      </w:r>
      <w:hyperlink r:id="rId8" w:history="1">
        <w:r w:rsidR="00207FC6" w:rsidRPr="00207FC6">
          <w:rPr>
            <w:bCs/>
            <w:szCs w:val="24"/>
          </w:rPr>
          <w:t> 505/2006 Sb</w:t>
        </w:r>
      </w:hyperlink>
      <w:r w:rsidR="00207FC6" w:rsidRPr="00207FC6">
        <w:rPr>
          <w:bCs/>
          <w:szCs w:val="24"/>
        </w:rPr>
        <w:t>., kterou se provádějí některá ustanovení zákona o sociálních službách</w:t>
      </w:r>
      <w:r w:rsidR="00046492">
        <w:rPr>
          <w:bCs/>
          <w:szCs w:val="24"/>
        </w:rPr>
        <w:t xml:space="preserve">, která </w:t>
      </w:r>
      <w:r w:rsidR="00207FC6" w:rsidRPr="00207FC6">
        <w:rPr>
          <w:bCs/>
          <w:szCs w:val="24"/>
        </w:rPr>
        <w:t>stanovuje maximální </w:t>
      </w:r>
      <w:r w:rsidR="00046492">
        <w:rPr>
          <w:bCs/>
          <w:szCs w:val="24"/>
        </w:rPr>
        <w:t xml:space="preserve">výši úhrady </w:t>
      </w:r>
      <w:r w:rsidR="00207FC6" w:rsidRPr="00207FC6">
        <w:rPr>
          <w:bCs/>
          <w:szCs w:val="24"/>
        </w:rPr>
        <w:t>za jednotlivé úkony</w:t>
      </w:r>
      <w:r w:rsidR="00046492">
        <w:rPr>
          <w:bCs/>
          <w:szCs w:val="24"/>
        </w:rPr>
        <w:t xml:space="preserve"> sociálních služeb. </w:t>
      </w:r>
      <w:r w:rsidR="00626393">
        <w:rPr>
          <w:bCs/>
          <w:szCs w:val="24"/>
        </w:rPr>
        <w:t xml:space="preserve">Rovněž byla </w:t>
      </w:r>
      <w:r w:rsidR="00D57CA1">
        <w:rPr>
          <w:bCs/>
          <w:szCs w:val="24"/>
        </w:rPr>
        <w:t>schválena</w:t>
      </w:r>
      <w:r w:rsidR="00626393">
        <w:rPr>
          <w:bCs/>
          <w:szCs w:val="24"/>
        </w:rPr>
        <w:t xml:space="preserve"> </w:t>
      </w:r>
      <w:r w:rsidR="00D57CA1">
        <w:rPr>
          <w:bCs/>
          <w:szCs w:val="24"/>
        </w:rPr>
        <w:t xml:space="preserve">s účinností od </w:t>
      </w:r>
      <w:proofErr w:type="gramStart"/>
      <w:r w:rsidR="00D57CA1">
        <w:rPr>
          <w:bCs/>
          <w:szCs w:val="24"/>
        </w:rPr>
        <w:t>01.01.2022</w:t>
      </w:r>
      <w:proofErr w:type="gramEnd"/>
      <w:r w:rsidR="00D57CA1">
        <w:rPr>
          <w:bCs/>
          <w:szCs w:val="24"/>
        </w:rPr>
        <w:t xml:space="preserve"> </w:t>
      </w:r>
      <w:r w:rsidR="00626393">
        <w:rPr>
          <w:bCs/>
          <w:szCs w:val="24"/>
        </w:rPr>
        <w:t xml:space="preserve">novela zákona č. 108/2006 Sb., o sociálních službách (zákonem č. </w:t>
      </w:r>
      <w:r w:rsidR="00D57CA1">
        <w:rPr>
          <w:bCs/>
          <w:szCs w:val="24"/>
        </w:rPr>
        <w:t>261/2021), kterým dochází k navýšení výnosů z příspěvku na péči u uživatelů ve III. a IV. stupni závislosti.</w:t>
      </w:r>
    </w:p>
    <w:p w:rsidR="006A35C0" w:rsidRDefault="00154431">
      <w:pPr>
        <w:spacing w:line="264" w:lineRule="auto"/>
      </w:pPr>
      <w:r>
        <w:rPr>
          <w:bCs/>
          <w:szCs w:val="24"/>
        </w:rPr>
        <w:t xml:space="preserve">S ohledem na takto významné rozkolísání financování sociálních služeb </w:t>
      </w:r>
      <w:r w:rsidR="00716570">
        <w:rPr>
          <w:bCs/>
          <w:szCs w:val="24"/>
        </w:rPr>
        <w:t xml:space="preserve">nebylo možné vycházet při dofinancování jednotlivých sociálních služeb ze žádostí o dotaci, kterou poskytovatelé podávali v závěru roku 2021. Bylo tak nezbytné </w:t>
      </w:r>
      <w:r w:rsidR="001A780C" w:rsidRPr="00D57CA1">
        <w:rPr>
          <w:b/>
        </w:rPr>
        <w:t>vyhlá</w:t>
      </w:r>
      <w:r w:rsidR="00716570">
        <w:rPr>
          <w:b/>
        </w:rPr>
        <w:t>sit</w:t>
      </w:r>
      <w:r w:rsidR="001A780C" w:rsidRPr="00D57CA1">
        <w:rPr>
          <w:b/>
        </w:rPr>
        <w:t xml:space="preserve"> mimořádné </w:t>
      </w:r>
      <w:r w:rsidR="00716570" w:rsidRPr="00D57CA1">
        <w:rPr>
          <w:b/>
        </w:rPr>
        <w:t>kol</w:t>
      </w:r>
      <w:r w:rsidR="00716570">
        <w:rPr>
          <w:b/>
        </w:rPr>
        <w:t>o</w:t>
      </w:r>
      <w:r w:rsidR="00716570" w:rsidRPr="00D57CA1">
        <w:rPr>
          <w:b/>
        </w:rPr>
        <w:t xml:space="preserve"> </w:t>
      </w:r>
      <w:r w:rsidR="001A780C" w:rsidRPr="00D57CA1">
        <w:rPr>
          <w:b/>
        </w:rPr>
        <w:t>dotačního řízení</w:t>
      </w:r>
      <w:r w:rsidR="001A780C" w:rsidRPr="00AD19AC">
        <w:t xml:space="preserve">, v rámci kterého bylo poskytovatelům sociálních služeb umožněno podat žádost o dotaci, </w:t>
      </w:r>
      <w:r w:rsidR="00046492">
        <w:t xml:space="preserve">která bude reflektovat reálné </w:t>
      </w:r>
      <w:r w:rsidR="00773450">
        <w:t>aktualizovan</w:t>
      </w:r>
      <w:r w:rsidR="00046492">
        <w:t xml:space="preserve">é náklady </w:t>
      </w:r>
      <w:r w:rsidR="00773450">
        <w:t>a výnos</w:t>
      </w:r>
      <w:r w:rsidR="00046492">
        <w:t>y</w:t>
      </w:r>
      <w:r w:rsidR="005D727E">
        <w:t xml:space="preserve"> </w:t>
      </w:r>
      <w:r w:rsidR="00EF4E4D">
        <w:t>r</w:t>
      </w:r>
      <w:r w:rsidR="005D727E">
        <w:t>oku 2022</w:t>
      </w:r>
      <w:r w:rsidR="00046492">
        <w:t>, na základě kterých bude stanoven požadavek na dofinancování sociálních služeb.</w:t>
      </w:r>
    </w:p>
    <w:p w:rsidR="001A780C" w:rsidRDefault="006A35C0" w:rsidP="00951C64">
      <w:pPr>
        <w:spacing w:line="264" w:lineRule="auto"/>
        <w:rPr>
          <w:b/>
        </w:rPr>
      </w:pPr>
      <w:r>
        <w:t xml:space="preserve">Aplikace OK služby – poskytovatel byla pro podávání žádostí do mimořádného kola dotačního řízení </w:t>
      </w:r>
      <w:r w:rsidR="005D727E">
        <w:t xml:space="preserve">zpřístupněna od </w:t>
      </w:r>
      <w:proofErr w:type="gramStart"/>
      <w:r w:rsidR="005D727E">
        <w:t>01.08.2022</w:t>
      </w:r>
      <w:proofErr w:type="gramEnd"/>
      <w:r w:rsidR="005D727E">
        <w:t xml:space="preserve"> do 15.08.2022. </w:t>
      </w:r>
      <w:r w:rsidR="005D727E" w:rsidRPr="005D727E">
        <w:rPr>
          <w:b/>
        </w:rPr>
        <w:t>Podáno bylo celkem 264 žádostí v celkové výši 375 901 311 Kč.</w:t>
      </w:r>
    </w:p>
    <w:p w:rsidR="00607F57" w:rsidRDefault="00607F57" w:rsidP="00951C64">
      <w:pPr>
        <w:spacing w:line="264" w:lineRule="auto"/>
        <w:rPr>
          <w:szCs w:val="24"/>
        </w:rPr>
      </w:pPr>
      <w:r w:rsidRPr="005C771C">
        <w:rPr>
          <w:szCs w:val="24"/>
        </w:rPr>
        <w:t xml:space="preserve">Podrobnější přehled je uveden v tabulce </w:t>
      </w:r>
      <w:r w:rsidR="00D57CA1">
        <w:rPr>
          <w:szCs w:val="24"/>
        </w:rPr>
        <w:t>2</w:t>
      </w:r>
      <w:r w:rsidRPr="005C771C">
        <w:rPr>
          <w:szCs w:val="24"/>
        </w:rPr>
        <w:t>.</w:t>
      </w:r>
    </w:p>
    <w:p w:rsidR="00607F57" w:rsidRPr="00A5230F" w:rsidRDefault="00D57CA1" w:rsidP="004A03D4">
      <w:pPr>
        <w:pStyle w:val="titulek0"/>
        <w:rPr>
          <w:szCs w:val="24"/>
        </w:rPr>
      </w:pPr>
      <w:r>
        <w:t xml:space="preserve">Tabulka </w:t>
      </w:r>
      <w:fldSimple w:instr=" SEQ Tabulka \* ARABIC ">
        <w:r w:rsidR="00BA2F23">
          <w:rPr>
            <w:noProof/>
          </w:rPr>
          <w:t>2</w:t>
        </w:r>
      </w:fldSimple>
      <w:r w:rsidR="00BE7FE6">
        <w:t xml:space="preserve"> – Přehled požadavků na poskytnutí navýšení dotace (v Kč)</w:t>
      </w:r>
    </w:p>
    <w:tbl>
      <w:tblPr>
        <w:tblW w:w="503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859"/>
        <w:gridCol w:w="1765"/>
        <w:gridCol w:w="2191"/>
        <w:gridCol w:w="1522"/>
      </w:tblGrid>
      <w:tr w:rsidR="00607F57" w:rsidRPr="00B3522E" w:rsidTr="004F0BDD">
        <w:trPr>
          <w:trHeight w:val="567"/>
          <w:tblHeader/>
        </w:trPr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57" w:rsidRPr="00B3522E" w:rsidRDefault="00607F57" w:rsidP="004F0BDD">
            <w:pPr>
              <w:spacing w:before="0" w:line="264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B3522E" w:rsidRDefault="00607F57" w:rsidP="004F0BDD">
            <w:pPr>
              <w:spacing w:before="0" w:line="264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péče</w:t>
            </w:r>
          </w:p>
        </w:tc>
        <w:tc>
          <w:tcPr>
            <w:tcW w:w="89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B3522E" w:rsidRDefault="00607F57" w:rsidP="004F0BDD">
            <w:pPr>
              <w:spacing w:before="0" w:line="264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služby sociální prevence</w:t>
            </w:r>
          </w:p>
        </w:tc>
        <w:tc>
          <w:tcPr>
            <w:tcW w:w="111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B3522E" w:rsidRDefault="00607F57" w:rsidP="004F0BDD">
            <w:pPr>
              <w:spacing w:before="0" w:line="264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775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B3522E" w:rsidRDefault="00607F57" w:rsidP="004F0BDD">
            <w:pPr>
              <w:spacing w:before="0" w:line="264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607F57" w:rsidRPr="00B3522E" w:rsidTr="00607F57">
        <w:trPr>
          <w:trHeight w:val="567"/>
        </w:trPr>
        <w:tc>
          <w:tcPr>
            <w:tcW w:w="1263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B3522E" w:rsidRDefault="00607F57" w:rsidP="00607F57">
            <w:pPr>
              <w:spacing w:before="0" w:line="264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 xml:space="preserve">počet služeb, na které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je </w:t>
            </w: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dotace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požadována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607F57" w:rsidRDefault="00607F57" w:rsidP="00607F57">
            <w:pPr>
              <w:spacing w:before="0" w:line="26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607F57" w:rsidRDefault="00607F57" w:rsidP="00607F57">
            <w:pPr>
              <w:spacing w:before="0" w:line="26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607F57" w:rsidRDefault="00607F57" w:rsidP="00607F57">
            <w:pPr>
              <w:spacing w:before="0" w:line="26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F57" w:rsidRPr="00607F57" w:rsidRDefault="00607F57" w:rsidP="00607F57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b/>
                <w:color w:val="000000"/>
                <w:sz w:val="20"/>
                <w:szCs w:val="20"/>
              </w:rPr>
              <w:t>264</w:t>
            </w:r>
          </w:p>
        </w:tc>
      </w:tr>
      <w:tr w:rsidR="00607F57" w:rsidRPr="00B3522E" w:rsidTr="00607F57">
        <w:trPr>
          <w:trHeight w:val="567"/>
        </w:trPr>
        <w:tc>
          <w:tcPr>
            <w:tcW w:w="126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57" w:rsidRPr="00B3522E" w:rsidRDefault="00607F57" w:rsidP="00607F57">
            <w:pPr>
              <w:spacing w:before="0" w:line="264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B3522E">
              <w:rPr>
                <w:rFonts w:eastAsia="Calibri"/>
                <w:bCs/>
                <w:color w:val="000000"/>
                <w:sz w:val="20"/>
                <w:szCs w:val="20"/>
              </w:rPr>
              <w:t>požadovaná dotace</w:t>
            </w:r>
          </w:p>
        </w:tc>
        <w:tc>
          <w:tcPr>
            <w:tcW w:w="94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57" w:rsidRPr="00033CD0" w:rsidRDefault="00607F57" w:rsidP="00607F57">
            <w:pPr>
              <w:spacing w:before="0" w:line="26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color w:val="000000"/>
                <w:sz w:val="20"/>
                <w:szCs w:val="20"/>
              </w:rPr>
              <w:t>300 106 163</w:t>
            </w:r>
          </w:p>
        </w:tc>
        <w:tc>
          <w:tcPr>
            <w:tcW w:w="89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57" w:rsidRPr="00033CD0" w:rsidRDefault="00607F57" w:rsidP="00607F57">
            <w:pPr>
              <w:spacing w:before="0" w:line="26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color w:val="000000"/>
                <w:sz w:val="20"/>
                <w:szCs w:val="20"/>
              </w:rPr>
              <w:t>67 529 492</w:t>
            </w:r>
          </w:p>
        </w:tc>
        <w:tc>
          <w:tcPr>
            <w:tcW w:w="111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57" w:rsidRPr="00033CD0" w:rsidRDefault="00607F57" w:rsidP="00607F57">
            <w:pPr>
              <w:spacing w:before="0" w:line="264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color w:val="000000"/>
                <w:sz w:val="20"/>
                <w:szCs w:val="20"/>
              </w:rPr>
              <w:t>8 265 656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F57" w:rsidRPr="00607F57" w:rsidRDefault="00607F57" w:rsidP="00607F57">
            <w:pPr>
              <w:spacing w:before="0" w:line="264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07F57">
              <w:rPr>
                <w:rFonts w:eastAsia="Times New Roman"/>
                <w:b/>
                <w:color w:val="000000"/>
                <w:sz w:val="20"/>
                <w:szCs w:val="20"/>
              </w:rPr>
              <w:t>375 901 311</w:t>
            </w:r>
          </w:p>
        </w:tc>
      </w:tr>
    </w:tbl>
    <w:p w:rsidR="00D57CA1" w:rsidRDefault="00607F57" w:rsidP="00951C64">
      <w:pPr>
        <w:spacing w:line="264" w:lineRule="auto"/>
      </w:pPr>
      <w:r w:rsidRPr="00773A0A">
        <w:t xml:space="preserve">V souladu s Podprogramem č. 1 </w:t>
      </w:r>
      <w:r>
        <w:t>Programu</w:t>
      </w:r>
      <w:r w:rsidRPr="00773A0A">
        <w:t xml:space="preserve"> </w:t>
      </w:r>
      <w:r w:rsidR="00CB7663" w:rsidRPr="00BB713C">
        <w:rPr>
          <w:szCs w:val="24"/>
        </w:rPr>
        <w:t>finanční podpory poskytování sociálních služeb v Olomouckém kraji</w:t>
      </w:r>
      <w:r w:rsidR="00CB7663" w:rsidRPr="00773A0A">
        <w:t xml:space="preserve"> </w:t>
      </w:r>
      <w:r w:rsidR="00CB7663">
        <w:t xml:space="preserve">(dále jen „Program“) </w:t>
      </w:r>
      <w:r w:rsidRPr="00773A0A">
        <w:t>bylo provedeno formální a věcné posouzení jednotlivých žádostí o dotac</w:t>
      </w:r>
      <w:r>
        <w:t>i</w:t>
      </w:r>
      <w:r w:rsidRPr="00773A0A">
        <w:t xml:space="preserve">, kontrola přiměřenosti a hospodárnosti rozpočtu sociálních služeb, požadavku na dotaci a vymezení neuznatelných </w:t>
      </w:r>
      <w:r>
        <w:t xml:space="preserve">a nadhodnocených </w:t>
      </w:r>
      <w:r w:rsidRPr="00773A0A">
        <w:t xml:space="preserve">nákladů zahrnutých v požadavcích na dotaci. </w:t>
      </w:r>
    </w:p>
    <w:p w:rsidR="00D57CA1" w:rsidRDefault="00D57CA1" w:rsidP="00951C64">
      <w:pPr>
        <w:spacing w:line="264" w:lineRule="auto"/>
      </w:pPr>
      <w:r>
        <w:t>Maximální, optimální a reálný návrh dotace byl stanoven s ohledem na příslušnou variantu návrhu na přerozdělení dotace – způsob stanovení těchto návrhů je uvedena v rámci popisu variant.</w:t>
      </w:r>
    </w:p>
    <w:p w:rsidR="00CB7663" w:rsidRPr="00CB7663" w:rsidRDefault="00CB7663" w:rsidP="00CB7663">
      <w:pPr>
        <w:pBdr>
          <w:bottom w:val="single" w:sz="4" w:space="1" w:color="auto"/>
        </w:pBdr>
        <w:spacing w:line="264" w:lineRule="auto"/>
        <w:rPr>
          <w:b/>
        </w:rPr>
      </w:pPr>
      <w:r w:rsidRPr="00CB7663">
        <w:rPr>
          <w:b/>
        </w:rPr>
        <w:t>Varianta</w:t>
      </w:r>
      <w:r w:rsidR="00EF4E4D">
        <w:rPr>
          <w:b/>
        </w:rPr>
        <w:t xml:space="preserve"> dofinancování </w:t>
      </w:r>
      <w:r w:rsidRPr="00CB7663">
        <w:rPr>
          <w:b/>
        </w:rPr>
        <w:t>A</w:t>
      </w:r>
    </w:p>
    <w:p w:rsidR="00CB7663" w:rsidRDefault="004A03D4" w:rsidP="00607F57">
      <w:pPr>
        <w:spacing w:line="264" w:lineRule="auto"/>
      </w:pPr>
      <w:r>
        <w:t xml:space="preserve">Tato varianta </w:t>
      </w:r>
      <w:r w:rsidR="00EF4E4D">
        <w:t xml:space="preserve">nezahrnuje </w:t>
      </w:r>
      <w:r w:rsidR="00951C64">
        <w:t xml:space="preserve">poskytnutí dotace </w:t>
      </w:r>
      <w:r w:rsidR="00EF4E4D">
        <w:t>z MZ</w:t>
      </w:r>
      <w:r w:rsidR="00951C64">
        <w:t xml:space="preserve">. </w:t>
      </w:r>
      <w:r w:rsidR="0090357D">
        <w:t>S</w:t>
      </w:r>
      <w:r w:rsidR="00951C64">
        <w:t xml:space="preserve">ociální služby </w:t>
      </w:r>
      <w:r w:rsidR="0090357D">
        <w:t xml:space="preserve">uvedené v tabulce </w:t>
      </w:r>
      <w:r>
        <w:t xml:space="preserve">1 jsou </w:t>
      </w:r>
      <w:r w:rsidR="00BE7FE6">
        <w:t xml:space="preserve">v rámci této varianty </w:t>
      </w:r>
      <w:r w:rsidR="00951C64">
        <w:t>financovány z dotace MPSV.</w:t>
      </w:r>
    </w:p>
    <w:p w:rsidR="00951C64" w:rsidRDefault="00BA2F23" w:rsidP="00607F57">
      <w:pPr>
        <w:spacing w:line="264" w:lineRule="auto"/>
      </w:pPr>
      <w:r>
        <w:t xml:space="preserve">K </w:t>
      </w:r>
      <w:r w:rsidR="00951C64" w:rsidRPr="004A03D4">
        <w:t xml:space="preserve">přerozdělení </w:t>
      </w:r>
      <w:r>
        <w:t xml:space="preserve">je </w:t>
      </w:r>
      <w:r w:rsidR="00951C64" w:rsidRPr="004A03D4">
        <w:t>určena výše finančních prostředků</w:t>
      </w:r>
      <w:r>
        <w:t xml:space="preserve"> dotace MPSV</w:t>
      </w:r>
      <w:r w:rsidR="00951C64" w:rsidRPr="004A03D4">
        <w:t>, která je navýšena o vratky v průběhu roku.</w:t>
      </w:r>
    </w:p>
    <w:p w:rsidR="00716570" w:rsidRDefault="00716570" w:rsidP="00607F57">
      <w:pPr>
        <w:spacing w:line="264" w:lineRule="auto"/>
      </w:pPr>
    </w:p>
    <w:p w:rsidR="00951C64" w:rsidRDefault="004A03D4" w:rsidP="00607F57">
      <w:pPr>
        <w:spacing w:line="264" w:lineRule="auto"/>
      </w:pPr>
      <w:r>
        <w:lastRenderedPageBreak/>
        <w:t xml:space="preserve">Podrobný přehled </w:t>
      </w:r>
      <w:r w:rsidR="00951C64">
        <w:t>je uveden v tabulce 3.</w:t>
      </w:r>
    </w:p>
    <w:p w:rsidR="004A03D4" w:rsidRDefault="004A03D4" w:rsidP="004A03D4">
      <w:pPr>
        <w:pStyle w:val="titulek0"/>
      </w:pPr>
      <w:r>
        <w:t xml:space="preserve">Tabulka </w:t>
      </w:r>
      <w:fldSimple w:instr=" SEQ Tabulka \* ARABIC ">
        <w:r w:rsidR="00BA2F23">
          <w:rPr>
            <w:noProof/>
          </w:rPr>
          <w:t>3</w:t>
        </w:r>
      </w:fldSimple>
      <w:r w:rsidR="00BE7FE6">
        <w:t xml:space="preserve"> – Finanční prostředky určené k přerozdělení (v Kč)</w:t>
      </w:r>
      <w:r w:rsidR="00BA2F23">
        <w:t xml:space="preserve"> – varianta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951C64" w:rsidRPr="00951C64" w:rsidTr="00951C64">
        <w:trPr>
          <w:trHeight w:val="454"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left"/>
              <w:rPr>
                <w:sz w:val="20"/>
              </w:rPr>
            </w:pPr>
            <w:r w:rsidRPr="00951C64">
              <w:rPr>
                <w:sz w:val="20"/>
              </w:rPr>
              <w:t xml:space="preserve">Zdroj 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left"/>
              <w:rPr>
                <w:sz w:val="20"/>
              </w:rPr>
            </w:pPr>
            <w:r w:rsidRPr="00951C64">
              <w:rPr>
                <w:sz w:val="20"/>
              </w:rPr>
              <w:t>Subjekt</w:t>
            </w:r>
          </w:p>
        </w:tc>
        <w:tc>
          <w:tcPr>
            <w:tcW w:w="3248" w:type="dxa"/>
            <w:shd w:val="clear" w:color="auto" w:fill="D9D9D9" w:themeFill="background1" w:themeFillShade="D9"/>
            <w:vAlign w:val="center"/>
          </w:tcPr>
          <w:p w:rsidR="00951C64" w:rsidRPr="00951C64" w:rsidRDefault="00951C64" w:rsidP="00BE7FE6">
            <w:pPr>
              <w:spacing w:before="0" w:line="264" w:lineRule="auto"/>
              <w:jc w:val="center"/>
              <w:rPr>
                <w:sz w:val="20"/>
              </w:rPr>
            </w:pPr>
            <w:r w:rsidRPr="00951C64">
              <w:rPr>
                <w:sz w:val="20"/>
              </w:rPr>
              <w:t>Výše finančních prostředků</w:t>
            </w:r>
          </w:p>
        </w:tc>
      </w:tr>
      <w:tr w:rsidR="00951C64" w:rsidRPr="00951C64" w:rsidTr="00951C64">
        <w:trPr>
          <w:trHeight w:val="454"/>
        </w:trPr>
        <w:tc>
          <w:tcPr>
            <w:tcW w:w="3247" w:type="dxa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Pr="00951C64">
              <w:rPr>
                <w:sz w:val="20"/>
              </w:rPr>
              <w:t xml:space="preserve">avýšení dotace </w:t>
            </w:r>
          </w:p>
        </w:tc>
        <w:tc>
          <w:tcPr>
            <w:tcW w:w="3247" w:type="dxa"/>
            <w:vAlign w:val="center"/>
          </w:tcPr>
          <w:p w:rsidR="00951C64" w:rsidRPr="00951C64" w:rsidRDefault="004A03D4" w:rsidP="00951C64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MPSV</w:t>
            </w:r>
          </w:p>
        </w:tc>
        <w:tc>
          <w:tcPr>
            <w:tcW w:w="3248" w:type="dxa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221 804 000</w:t>
            </w:r>
          </w:p>
        </w:tc>
      </w:tr>
      <w:tr w:rsidR="00951C64" w:rsidRPr="00951C64" w:rsidTr="00951C64">
        <w:trPr>
          <w:trHeight w:val="454"/>
        </w:trPr>
        <w:tc>
          <w:tcPr>
            <w:tcW w:w="3247" w:type="dxa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51C64">
              <w:rPr>
                <w:sz w:val="20"/>
              </w:rPr>
              <w:t>ratka</w:t>
            </w:r>
          </w:p>
        </w:tc>
        <w:tc>
          <w:tcPr>
            <w:tcW w:w="3247" w:type="dxa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Domov Hrubá Voda, příspěvková organizace</w:t>
            </w:r>
          </w:p>
        </w:tc>
        <w:tc>
          <w:tcPr>
            <w:tcW w:w="3248" w:type="dxa"/>
            <w:vAlign w:val="center"/>
          </w:tcPr>
          <w:p w:rsidR="00951C64" w:rsidRPr="00951C64" w:rsidRDefault="00951C64" w:rsidP="00951C64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1 190 000</w:t>
            </w:r>
          </w:p>
        </w:tc>
      </w:tr>
      <w:tr w:rsidR="005A37C4" w:rsidRPr="00951C64" w:rsidTr="004F0BDD">
        <w:trPr>
          <w:trHeight w:val="454"/>
        </w:trPr>
        <w:tc>
          <w:tcPr>
            <w:tcW w:w="6494" w:type="dxa"/>
            <w:gridSpan w:val="2"/>
            <w:vAlign w:val="center"/>
          </w:tcPr>
          <w:p w:rsidR="005A37C4" w:rsidRPr="00951C64" w:rsidRDefault="005A37C4" w:rsidP="00951C64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K přerozdělení CELKEM</w:t>
            </w:r>
          </w:p>
        </w:tc>
        <w:tc>
          <w:tcPr>
            <w:tcW w:w="3248" w:type="dxa"/>
            <w:vAlign w:val="center"/>
          </w:tcPr>
          <w:p w:rsidR="005A37C4" w:rsidRPr="00951C64" w:rsidRDefault="005A37C4" w:rsidP="00951C64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222 994 000</w:t>
            </w:r>
          </w:p>
        </w:tc>
      </w:tr>
    </w:tbl>
    <w:p w:rsidR="00E618F5" w:rsidRDefault="00E618F5" w:rsidP="00607F57">
      <w:pPr>
        <w:spacing w:line="264" w:lineRule="auto"/>
        <w:rPr>
          <w:b/>
        </w:rPr>
      </w:pPr>
    </w:p>
    <w:p w:rsidR="00DA46C2" w:rsidRPr="00DA46C2" w:rsidRDefault="00DA46C2" w:rsidP="00607F57">
      <w:pPr>
        <w:spacing w:line="264" w:lineRule="auto"/>
        <w:rPr>
          <w:b/>
          <w:szCs w:val="24"/>
        </w:rPr>
      </w:pPr>
      <w:r w:rsidRPr="00DA46C2">
        <w:rPr>
          <w:b/>
          <w:szCs w:val="24"/>
        </w:rPr>
        <w:t xml:space="preserve">Popis způsobu </w:t>
      </w:r>
      <w:r w:rsidR="00E52B7F">
        <w:rPr>
          <w:b/>
          <w:szCs w:val="24"/>
        </w:rPr>
        <w:t xml:space="preserve">návrhu na </w:t>
      </w:r>
      <w:r w:rsidRPr="00DA46C2">
        <w:rPr>
          <w:b/>
          <w:szCs w:val="24"/>
        </w:rPr>
        <w:t>přerozdělení dofinancování:</w:t>
      </w:r>
    </w:p>
    <w:p w:rsidR="00EB20C6" w:rsidRDefault="00EB20C6" w:rsidP="00607F57">
      <w:pPr>
        <w:spacing w:line="264" w:lineRule="auto"/>
        <w:rPr>
          <w:szCs w:val="24"/>
        </w:rPr>
      </w:pPr>
      <w:r w:rsidRPr="000E391B">
        <w:rPr>
          <w:szCs w:val="24"/>
        </w:rPr>
        <w:t>Návrh výše dotace jednotlivým poskytovatelům sociálních služeb předkládaný v </w:t>
      </w:r>
      <w:r w:rsidR="00446D2F">
        <w:rPr>
          <w:szCs w:val="24"/>
        </w:rPr>
        <w:t>p</w:t>
      </w:r>
      <w:r w:rsidRPr="000E391B">
        <w:rPr>
          <w:szCs w:val="24"/>
        </w:rPr>
        <w:t xml:space="preserve">říloze </w:t>
      </w:r>
      <w:r w:rsidR="00446D2F">
        <w:rPr>
          <w:szCs w:val="24"/>
        </w:rPr>
        <w:t xml:space="preserve">usnesení </w:t>
      </w:r>
      <w:r w:rsidRPr="000E391B">
        <w:rPr>
          <w:szCs w:val="24"/>
        </w:rPr>
        <w:t xml:space="preserve">č. 1 byl zpracován </w:t>
      </w:r>
      <w:r w:rsidRPr="00EB20C6">
        <w:rPr>
          <w:szCs w:val="24"/>
        </w:rPr>
        <w:t>v souladu s Podprogramem č. 1 Programu</w:t>
      </w:r>
      <w:r w:rsidR="00446D2F">
        <w:rPr>
          <w:szCs w:val="24"/>
        </w:rPr>
        <w:t xml:space="preserve"> </w:t>
      </w:r>
      <w:r w:rsidR="00446D2F" w:rsidRPr="00446D2F">
        <w:rPr>
          <w:szCs w:val="24"/>
        </w:rPr>
        <w:t xml:space="preserve">č. UR/55/55/2022 ze dne </w:t>
      </w:r>
      <w:proofErr w:type="gramStart"/>
      <w:r w:rsidR="00446D2F" w:rsidRPr="00446D2F">
        <w:rPr>
          <w:szCs w:val="24"/>
        </w:rPr>
        <w:t>06.06.2022</w:t>
      </w:r>
      <w:proofErr w:type="gramEnd"/>
      <w:r w:rsidR="00446D2F">
        <w:rPr>
          <w:szCs w:val="24"/>
        </w:rPr>
        <w:t>.</w:t>
      </w:r>
    </w:p>
    <w:p w:rsidR="00DC5DB3" w:rsidRPr="00DC5DB3" w:rsidRDefault="00DC5DB3" w:rsidP="00607F57">
      <w:pPr>
        <w:spacing w:line="264" w:lineRule="auto"/>
        <w:rPr>
          <w:szCs w:val="24"/>
          <w:u w:val="single"/>
        </w:rPr>
      </w:pPr>
      <w:r w:rsidRPr="00DC5DB3">
        <w:rPr>
          <w:szCs w:val="24"/>
          <w:u w:val="single"/>
        </w:rPr>
        <w:t>Stanovení maximálního, optimálního a reálného návrhu dotace:</w:t>
      </w:r>
    </w:p>
    <w:p w:rsidR="00446D2F" w:rsidRDefault="00DC5DB3" w:rsidP="00607F57">
      <w:pPr>
        <w:spacing w:line="264" w:lineRule="auto"/>
        <w:rPr>
          <w:szCs w:val="24"/>
        </w:rPr>
      </w:pPr>
      <w:r>
        <w:rPr>
          <w:szCs w:val="24"/>
        </w:rPr>
        <w:t xml:space="preserve">Východiskem pro stanovení maximálního návrhu dotace byl požadavek na dotaci snížený </w:t>
      </w:r>
      <w:r w:rsidR="00574CE7">
        <w:rPr>
          <w:szCs w:val="24"/>
        </w:rPr>
        <w:t>o nadhodnocené a neuznatelné náklady</w:t>
      </w:r>
      <w:r w:rsidR="00716570">
        <w:rPr>
          <w:szCs w:val="24"/>
        </w:rPr>
        <w:t xml:space="preserve"> v souladu s Podprogramem č. 1</w:t>
      </w:r>
      <w:r w:rsidR="00BE7FE6">
        <w:rPr>
          <w:szCs w:val="24"/>
        </w:rPr>
        <w:t xml:space="preserve">. Maximální návrh dotace </w:t>
      </w:r>
      <w:r w:rsidR="00574CE7">
        <w:rPr>
          <w:szCs w:val="24"/>
        </w:rPr>
        <w:t>byl zaokrouhlen na stovky dolů a tím byl stanoven optimální návrh dotace.</w:t>
      </w:r>
    </w:p>
    <w:p w:rsidR="00574CE7" w:rsidRPr="00BE7FE6" w:rsidRDefault="00716570" w:rsidP="00607F57">
      <w:pPr>
        <w:spacing w:line="264" w:lineRule="auto"/>
        <w:rPr>
          <w:szCs w:val="24"/>
        </w:rPr>
      </w:pPr>
      <w:r>
        <w:rPr>
          <w:szCs w:val="24"/>
        </w:rPr>
        <w:t>Předkladatel navrhuje, aby byla zásadní část finančních prostředků ze státního rozpočtu byla směřována sociálním službám nezřizovaným Olomouckým krajem. U</w:t>
      </w:r>
      <w:r w:rsidR="00BE7FE6">
        <w:rPr>
          <w:szCs w:val="24"/>
        </w:rPr>
        <w:t xml:space="preserve"> příspěvkových organizací zřízených krajem (dále jen „PO OK“) </w:t>
      </w:r>
      <w:r>
        <w:rPr>
          <w:szCs w:val="24"/>
        </w:rPr>
        <w:t xml:space="preserve">tak byl </w:t>
      </w:r>
      <w:r w:rsidR="00664FA7" w:rsidRPr="00BE7FE6">
        <w:rPr>
          <w:szCs w:val="24"/>
        </w:rPr>
        <w:t>optimální návrh dotace upraven na reálný návrh dotace podle následujících principů:</w:t>
      </w:r>
    </w:p>
    <w:p w:rsidR="00664FA7" w:rsidRDefault="00716570" w:rsidP="00DF3B37">
      <w:pPr>
        <w:pStyle w:val="Odstavecseseznamem"/>
        <w:numPr>
          <w:ilvl w:val="0"/>
          <w:numId w:val="17"/>
        </w:numPr>
        <w:spacing w:line="264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poskytovatelům sociálních služeb nezřizovaným </w:t>
      </w:r>
      <w:r w:rsidR="00664FA7">
        <w:rPr>
          <w:szCs w:val="24"/>
        </w:rPr>
        <w:t xml:space="preserve">Olomouckým krajem </w:t>
      </w:r>
      <w:r w:rsidR="00DF3B37">
        <w:rPr>
          <w:szCs w:val="24"/>
        </w:rPr>
        <w:t>(dále jen „nezřizované OK“)</w:t>
      </w:r>
      <w:r w:rsidR="00664FA7">
        <w:rPr>
          <w:szCs w:val="24"/>
        </w:rPr>
        <w:t xml:space="preserve"> byl reálný návrh dotace stanoven ve výši optimálního návrhu dotace;</w:t>
      </w:r>
    </w:p>
    <w:p w:rsidR="00664FA7" w:rsidRDefault="00664FA7" w:rsidP="00DF3B37">
      <w:pPr>
        <w:pStyle w:val="Odstavecseseznamem"/>
        <w:numPr>
          <w:ilvl w:val="0"/>
          <w:numId w:val="17"/>
        </w:numPr>
        <w:spacing w:line="264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zbývající finanční prostředky byly poměrně přerozděleny mezi </w:t>
      </w:r>
      <w:r w:rsidR="00BE7FE6">
        <w:rPr>
          <w:szCs w:val="24"/>
        </w:rPr>
        <w:t>PO OK</w:t>
      </w:r>
      <w:r>
        <w:rPr>
          <w:szCs w:val="24"/>
        </w:rPr>
        <w:t>.</w:t>
      </w:r>
    </w:p>
    <w:p w:rsidR="00664FA7" w:rsidRDefault="00DD7331" w:rsidP="00664FA7">
      <w:pPr>
        <w:spacing w:line="264" w:lineRule="auto"/>
      </w:pPr>
      <w:r>
        <w:t>Podrobný p</w:t>
      </w:r>
      <w:r w:rsidR="00664FA7">
        <w:t>řehled je uveden</w:t>
      </w:r>
      <w:r w:rsidR="00A865C3">
        <w:t xml:space="preserve"> </w:t>
      </w:r>
      <w:r w:rsidR="00664FA7">
        <w:t>v tabulce 4.</w:t>
      </w:r>
    </w:p>
    <w:p w:rsidR="00664FA7" w:rsidRPr="006F5BB7" w:rsidRDefault="00BE7FE6" w:rsidP="00BE7FE6">
      <w:pPr>
        <w:pStyle w:val="titulek0"/>
      </w:pPr>
      <w:r>
        <w:t xml:space="preserve">Tabulka </w:t>
      </w:r>
      <w:fldSimple w:instr=" SEQ Tabulka \* ARABIC ">
        <w:r w:rsidR="00BA2F23">
          <w:rPr>
            <w:noProof/>
          </w:rPr>
          <w:t>4</w:t>
        </w:r>
      </w:fldSimple>
      <w:r w:rsidR="00DD7331">
        <w:t xml:space="preserve"> – Přehled požadavku a návrhů dotace (v Kč)</w:t>
      </w:r>
      <w:r w:rsidR="00BA2F23">
        <w:t xml:space="preserve"> – varianta 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1641"/>
        <w:gridCol w:w="2102"/>
        <w:gridCol w:w="2063"/>
        <w:gridCol w:w="1833"/>
      </w:tblGrid>
      <w:tr w:rsidR="00DF3B37" w:rsidRPr="00DF3B37" w:rsidTr="00C1372A">
        <w:trPr>
          <w:trHeight w:val="567"/>
          <w:jc w:val="center"/>
        </w:trPr>
        <w:tc>
          <w:tcPr>
            <w:tcW w:w="813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DF3B37" w:rsidP="00DF3B37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Organizace</w:t>
            </w:r>
          </w:p>
        </w:tc>
        <w:tc>
          <w:tcPr>
            <w:tcW w:w="639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Požadavek na kraj</w:t>
            </w:r>
          </w:p>
        </w:tc>
        <w:tc>
          <w:tcPr>
            <w:tcW w:w="813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DF3B37" w:rsidP="00DF3B37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Maximální návrh dotace</w:t>
            </w:r>
          </w:p>
        </w:tc>
        <w:tc>
          <w:tcPr>
            <w:tcW w:w="1079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DF3B37" w:rsidP="00DF3B37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Optimální návrh dotace</w:t>
            </w:r>
          </w:p>
        </w:tc>
        <w:tc>
          <w:tcPr>
            <w:tcW w:w="1656" w:type="pct"/>
            <w:shd w:val="clear" w:color="auto" w:fill="D9D9D9" w:themeFill="background1" w:themeFillShade="D9"/>
            <w:noWrap/>
            <w:vAlign w:val="center"/>
            <w:hideMark/>
          </w:tcPr>
          <w:p w:rsidR="00DF3B37" w:rsidRDefault="00664FA7" w:rsidP="00DF3B37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Reálný návrh dotace</w:t>
            </w:r>
            <w:r w:rsid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64FA7" w:rsidRPr="00664FA7" w:rsidRDefault="00DF3B37" w:rsidP="00DF3B37">
            <w:pPr>
              <w:spacing w:before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Cs/>
                <w:color w:val="000000"/>
                <w:sz w:val="18"/>
                <w:szCs w:val="20"/>
              </w:rPr>
              <w:t>(návrh výše dotace)</w:t>
            </w:r>
          </w:p>
        </w:tc>
      </w:tr>
      <w:tr w:rsidR="00DF3B37" w:rsidRPr="00DF3B37" w:rsidTr="00C1372A">
        <w:trPr>
          <w:trHeight w:val="567"/>
          <w:jc w:val="center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64FA7" w:rsidRPr="00664FA7" w:rsidRDefault="00DF3B37" w:rsidP="00DF3B3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color w:val="000000"/>
                <w:sz w:val="20"/>
                <w:szCs w:val="20"/>
              </w:rPr>
              <w:t>nezřizované OK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201 958 825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200 598 249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200 594 400</w:t>
            </w:r>
          </w:p>
        </w:tc>
        <w:tc>
          <w:tcPr>
            <w:tcW w:w="1656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200 594 400</w:t>
            </w:r>
          </w:p>
        </w:tc>
      </w:tr>
      <w:tr w:rsidR="00DF3B37" w:rsidRPr="00DF3B37" w:rsidTr="00C1372A">
        <w:trPr>
          <w:trHeight w:val="567"/>
          <w:jc w:val="center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64FA7" w:rsidRPr="00664FA7" w:rsidRDefault="00DF3B37" w:rsidP="00DF3B3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color w:val="000000"/>
                <w:sz w:val="20"/>
                <w:szCs w:val="20"/>
              </w:rPr>
              <w:t>PO OK – zdravotní oblast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1 786 383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1 786 383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1 786 300</w:t>
            </w:r>
          </w:p>
        </w:tc>
        <w:tc>
          <w:tcPr>
            <w:tcW w:w="1656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237 300</w:t>
            </w:r>
          </w:p>
        </w:tc>
      </w:tr>
      <w:tr w:rsidR="00DF3B37" w:rsidRPr="00DF3B37" w:rsidTr="00C1372A">
        <w:trPr>
          <w:trHeight w:val="567"/>
          <w:jc w:val="center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64FA7" w:rsidRPr="00664FA7" w:rsidRDefault="00DF3B37" w:rsidP="00DF3B3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color w:val="000000"/>
                <w:sz w:val="20"/>
                <w:szCs w:val="20"/>
              </w:rPr>
              <w:t>PO OK – sociální oblast</w:t>
            </w:r>
            <w:r w:rsidR="00664FA7" w:rsidRPr="00664FA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172 156 103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166 851 204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166 849 900</w:t>
            </w:r>
          </w:p>
        </w:tc>
        <w:tc>
          <w:tcPr>
            <w:tcW w:w="1656" w:type="pct"/>
            <w:shd w:val="clear" w:color="auto" w:fill="auto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color w:val="000000"/>
                <w:sz w:val="20"/>
                <w:szCs w:val="20"/>
              </w:rPr>
              <w:t>22 162 300</w:t>
            </w:r>
          </w:p>
        </w:tc>
      </w:tr>
      <w:tr w:rsidR="00DF3B37" w:rsidRPr="00DF3B37" w:rsidTr="00C1372A">
        <w:trPr>
          <w:trHeight w:val="567"/>
          <w:jc w:val="center"/>
        </w:trPr>
        <w:tc>
          <w:tcPr>
            <w:tcW w:w="813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639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375 901 311</w:t>
            </w:r>
          </w:p>
        </w:tc>
        <w:tc>
          <w:tcPr>
            <w:tcW w:w="813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369 235 836</w:t>
            </w:r>
          </w:p>
        </w:tc>
        <w:tc>
          <w:tcPr>
            <w:tcW w:w="1079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369 230 600</w:t>
            </w:r>
          </w:p>
        </w:tc>
        <w:tc>
          <w:tcPr>
            <w:tcW w:w="1656" w:type="pct"/>
            <w:shd w:val="clear" w:color="auto" w:fill="D9D9D9" w:themeFill="background1" w:themeFillShade="D9"/>
            <w:noWrap/>
            <w:vAlign w:val="center"/>
            <w:hideMark/>
          </w:tcPr>
          <w:p w:rsidR="00664FA7" w:rsidRPr="00664FA7" w:rsidRDefault="00664FA7" w:rsidP="00DF3B37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222 994 000</w:t>
            </w:r>
          </w:p>
        </w:tc>
      </w:tr>
    </w:tbl>
    <w:p w:rsidR="00C07733" w:rsidRDefault="00C07733" w:rsidP="00C07733">
      <w:pPr>
        <w:spacing w:line="264" w:lineRule="auto"/>
      </w:pPr>
      <w:r w:rsidRPr="00337CF1">
        <w:rPr>
          <w:b/>
        </w:rPr>
        <w:t xml:space="preserve">Návrh </w:t>
      </w:r>
      <w:r>
        <w:rPr>
          <w:b/>
        </w:rPr>
        <w:t xml:space="preserve">na rozdělení dofinancování </w:t>
      </w:r>
      <w:r w:rsidR="0039040D">
        <w:rPr>
          <w:b/>
        </w:rPr>
        <w:t xml:space="preserve">(včetně vratek) </w:t>
      </w:r>
      <w:r w:rsidRPr="00337CF1">
        <w:rPr>
          <w:b/>
        </w:rPr>
        <w:t xml:space="preserve">je předkládán k projednání v příloze </w:t>
      </w:r>
      <w:r>
        <w:rPr>
          <w:b/>
        </w:rPr>
        <w:t>usnesení</w:t>
      </w:r>
      <w:r w:rsidRPr="00337CF1">
        <w:rPr>
          <w:b/>
        </w:rPr>
        <w:t xml:space="preserve"> č. 1</w:t>
      </w:r>
      <w:r>
        <w:rPr>
          <w:b/>
        </w:rPr>
        <w:t xml:space="preserve">. </w:t>
      </w:r>
    </w:p>
    <w:p w:rsidR="0039040D" w:rsidRDefault="0039040D" w:rsidP="005A37C4">
      <w:pPr>
        <w:pBdr>
          <w:bottom w:val="single" w:sz="4" w:space="1" w:color="auto"/>
        </w:pBdr>
        <w:spacing w:line="264" w:lineRule="auto"/>
        <w:rPr>
          <w:b/>
        </w:rPr>
      </w:pPr>
    </w:p>
    <w:p w:rsidR="00FD0B6A" w:rsidRDefault="00FD0B6A" w:rsidP="005A37C4">
      <w:pPr>
        <w:pBdr>
          <w:bottom w:val="single" w:sz="4" w:space="1" w:color="auto"/>
        </w:pBdr>
        <w:spacing w:line="264" w:lineRule="auto"/>
        <w:rPr>
          <w:b/>
        </w:rPr>
      </w:pPr>
    </w:p>
    <w:p w:rsidR="005A37C4" w:rsidRPr="00CB7663" w:rsidRDefault="005A37C4" w:rsidP="005A37C4">
      <w:pPr>
        <w:pBdr>
          <w:bottom w:val="single" w:sz="4" w:space="1" w:color="auto"/>
        </w:pBdr>
        <w:spacing w:line="264" w:lineRule="auto"/>
        <w:rPr>
          <w:b/>
        </w:rPr>
      </w:pPr>
      <w:r w:rsidRPr="00CB7663">
        <w:rPr>
          <w:b/>
        </w:rPr>
        <w:lastRenderedPageBreak/>
        <w:t>Varianta</w:t>
      </w:r>
      <w:r>
        <w:rPr>
          <w:b/>
        </w:rPr>
        <w:t xml:space="preserve"> dofinancování B</w:t>
      </w:r>
    </w:p>
    <w:p w:rsidR="005A37C4" w:rsidRDefault="005A37C4" w:rsidP="005A37C4">
      <w:pPr>
        <w:spacing w:line="264" w:lineRule="auto"/>
      </w:pPr>
      <w:r w:rsidRPr="00EF4E4D">
        <w:t xml:space="preserve">Jedná se o variantu, která </w:t>
      </w:r>
      <w:r>
        <w:t>zahrnuje poskytnutí dotace z </w:t>
      </w:r>
      <w:r w:rsidR="004A03D4">
        <w:t>MZ</w:t>
      </w:r>
      <w:r>
        <w:t>. Vzhledem ke skutečnosti, že dotace z </w:t>
      </w:r>
      <w:r w:rsidR="004A03D4">
        <w:t>MZ</w:t>
      </w:r>
      <w:r>
        <w:t xml:space="preserve"> nahrazuje finanční prostředky z dotace </w:t>
      </w:r>
      <w:r w:rsidR="004A03D4">
        <w:t>MPSV</w:t>
      </w:r>
      <w:r>
        <w:t xml:space="preserve"> jsou v této variantě zahrnuty vratky finančních prostředků z dotace </w:t>
      </w:r>
      <w:r w:rsidR="004A03D4">
        <w:t>MPSV</w:t>
      </w:r>
      <w:r>
        <w:t xml:space="preserve">, </w:t>
      </w:r>
      <w:r w:rsidR="00883D68">
        <w:t xml:space="preserve">na které </w:t>
      </w:r>
      <w:r>
        <w:t>příjemcům dotace z </w:t>
      </w:r>
      <w:r w:rsidR="004A03D4">
        <w:t>MZ</w:t>
      </w:r>
      <w:r>
        <w:t xml:space="preserve"> </w:t>
      </w:r>
      <w:r w:rsidR="00883D68">
        <w:t>zanikl nárok</w:t>
      </w:r>
      <w:r>
        <w:t>.</w:t>
      </w:r>
    </w:p>
    <w:p w:rsidR="00BA2F23" w:rsidRPr="004A03D4" w:rsidRDefault="00BA2F23" w:rsidP="00BA2F23">
      <w:pPr>
        <w:spacing w:line="264" w:lineRule="auto"/>
      </w:pPr>
      <w:r>
        <w:t xml:space="preserve">K </w:t>
      </w:r>
      <w:r w:rsidRPr="004A03D4">
        <w:t xml:space="preserve">přerozdělení </w:t>
      </w:r>
      <w:r>
        <w:t xml:space="preserve">je </w:t>
      </w:r>
      <w:r w:rsidRPr="004A03D4">
        <w:t>určena výše finančních prostředků</w:t>
      </w:r>
      <w:r>
        <w:t xml:space="preserve"> dotace MPSV</w:t>
      </w:r>
      <w:r w:rsidRPr="004A03D4">
        <w:t>, která je navýšena o vratky v průběhu roku.</w:t>
      </w:r>
    </w:p>
    <w:p w:rsidR="00BA2F23" w:rsidRDefault="00BA2F23" w:rsidP="00BA2F23">
      <w:pPr>
        <w:spacing w:line="264" w:lineRule="auto"/>
      </w:pPr>
      <w:r>
        <w:t>Podrobný přehled je uveden v tabulce 5.</w:t>
      </w:r>
    </w:p>
    <w:p w:rsidR="00BA2F23" w:rsidRDefault="005A37C4" w:rsidP="00BA2F23">
      <w:pPr>
        <w:pStyle w:val="titulek0"/>
      </w:pPr>
      <w:r w:rsidRPr="006F5BB7">
        <w:t xml:space="preserve">Tabulka č. </w:t>
      </w:r>
      <w:r w:rsidR="002C4728" w:rsidRPr="006F5BB7">
        <w:t>5</w:t>
      </w:r>
      <w:r w:rsidR="00BA2F23">
        <w:t xml:space="preserve"> – Finanční prostředky určené k přerozdělení (v Kč) – varianta B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402"/>
      </w:tblGrid>
      <w:tr w:rsidR="002976E7" w:rsidRPr="00951C64" w:rsidTr="002976E7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976E7" w:rsidRPr="00951C64" w:rsidRDefault="002976E7" w:rsidP="004F0BDD">
            <w:pPr>
              <w:spacing w:before="0" w:line="264" w:lineRule="auto"/>
              <w:jc w:val="left"/>
              <w:rPr>
                <w:sz w:val="20"/>
              </w:rPr>
            </w:pPr>
            <w:r w:rsidRPr="00951C64">
              <w:rPr>
                <w:sz w:val="20"/>
              </w:rPr>
              <w:t xml:space="preserve">Zdroj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976E7" w:rsidRPr="00951C64" w:rsidRDefault="002976E7" w:rsidP="004F0BDD">
            <w:pPr>
              <w:spacing w:before="0" w:line="264" w:lineRule="auto"/>
              <w:jc w:val="left"/>
              <w:rPr>
                <w:sz w:val="20"/>
              </w:rPr>
            </w:pPr>
            <w:r w:rsidRPr="00951C64">
              <w:rPr>
                <w:sz w:val="20"/>
              </w:rPr>
              <w:t>Subjekt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6E7" w:rsidRPr="00951C64" w:rsidRDefault="002976E7" w:rsidP="00F9074C">
            <w:pPr>
              <w:spacing w:before="0" w:line="264" w:lineRule="auto"/>
              <w:jc w:val="center"/>
              <w:rPr>
                <w:sz w:val="20"/>
              </w:rPr>
            </w:pPr>
            <w:r w:rsidRPr="00951C64">
              <w:rPr>
                <w:sz w:val="20"/>
              </w:rPr>
              <w:t>Výše finančních prostředků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976E7" w:rsidRPr="00951C64" w:rsidRDefault="002976E7" w:rsidP="002976E7">
            <w:pPr>
              <w:spacing w:before="0"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Komentář</w:t>
            </w:r>
          </w:p>
        </w:tc>
      </w:tr>
      <w:tr w:rsidR="002976E7" w:rsidRPr="00951C64" w:rsidTr="002976E7">
        <w:trPr>
          <w:trHeight w:val="454"/>
        </w:trPr>
        <w:tc>
          <w:tcPr>
            <w:tcW w:w="1838" w:type="dxa"/>
            <w:vAlign w:val="center"/>
          </w:tcPr>
          <w:p w:rsidR="002976E7" w:rsidRPr="00951C64" w:rsidRDefault="002976E7" w:rsidP="004F0BDD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Pr="00951C64">
              <w:rPr>
                <w:sz w:val="20"/>
              </w:rPr>
              <w:t xml:space="preserve">avýšení dotace </w:t>
            </w:r>
          </w:p>
        </w:tc>
        <w:tc>
          <w:tcPr>
            <w:tcW w:w="2835" w:type="dxa"/>
            <w:vAlign w:val="center"/>
          </w:tcPr>
          <w:p w:rsidR="002976E7" w:rsidRPr="00951C64" w:rsidRDefault="004A03D4" w:rsidP="004F0BDD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MPSV</w:t>
            </w:r>
          </w:p>
        </w:tc>
        <w:tc>
          <w:tcPr>
            <w:tcW w:w="1701" w:type="dxa"/>
            <w:vAlign w:val="center"/>
          </w:tcPr>
          <w:p w:rsidR="002976E7" w:rsidRPr="00951C64" w:rsidRDefault="002976E7" w:rsidP="004F0BDD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221 804 000</w:t>
            </w:r>
          </w:p>
        </w:tc>
        <w:tc>
          <w:tcPr>
            <w:tcW w:w="3402" w:type="dxa"/>
            <w:vAlign w:val="center"/>
          </w:tcPr>
          <w:p w:rsidR="002976E7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</w:p>
        </w:tc>
      </w:tr>
      <w:tr w:rsidR="002976E7" w:rsidRPr="00951C64" w:rsidTr="002976E7">
        <w:trPr>
          <w:trHeight w:val="454"/>
        </w:trPr>
        <w:tc>
          <w:tcPr>
            <w:tcW w:w="1838" w:type="dxa"/>
            <w:vAlign w:val="center"/>
          </w:tcPr>
          <w:p w:rsidR="002976E7" w:rsidRDefault="002976E7" w:rsidP="00737032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51C64">
              <w:rPr>
                <w:sz w:val="20"/>
              </w:rPr>
              <w:t>ratka</w:t>
            </w:r>
          </w:p>
        </w:tc>
        <w:tc>
          <w:tcPr>
            <w:tcW w:w="2835" w:type="dxa"/>
            <w:vAlign w:val="center"/>
          </w:tcPr>
          <w:p w:rsidR="002976E7" w:rsidRDefault="002976E7" w:rsidP="00737032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Společnost Mana, o. p. s.</w:t>
            </w:r>
          </w:p>
        </w:tc>
        <w:tc>
          <w:tcPr>
            <w:tcW w:w="1701" w:type="dxa"/>
            <w:vAlign w:val="center"/>
          </w:tcPr>
          <w:p w:rsidR="002976E7" w:rsidRDefault="002976E7" w:rsidP="00737032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2 198 000</w:t>
            </w:r>
          </w:p>
        </w:tc>
        <w:tc>
          <w:tcPr>
            <w:tcW w:w="3402" w:type="dxa"/>
            <w:vAlign w:val="center"/>
          </w:tcPr>
          <w:p w:rsidR="002976E7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Vratka je vyčíslena ve výši přiznaných prostředků z dotace </w:t>
            </w:r>
            <w:r w:rsidR="004A03D4">
              <w:rPr>
                <w:sz w:val="20"/>
              </w:rPr>
              <w:t>MPSV</w:t>
            </w:r>
          </w:p>
        </w:tc>
      </w:tr>
      <w:tr w:rsidR="002976E7" w:rsidRPr="00951C64" w:rsidTr="002976E7">
        <w:trPr>
          <w:trHeight w:val="454"/>
        </w:trPr>
        <w:tc>
          <w:tcPr>
            <w:tcW w:w="1838" w:type="dxa"/>
            <w:vAlign w:val="center"/>
          </w:tcPr>
          <w:p w:rsidR="002976E7" w:rsidRDefault="002976E7" w:rsidP="00737032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51C64">
              <w:rPr>
                <w:sz w:val="20"/>
              </w:rPr>
              <w:t>ratka</w:t>
            </w:r>
          </w:p>
        </w:tc>
        <w:tc>
          <w:tcPr>
            <w:tcW w:w="2835" w:type="dxa"/>
            <w:vAlign w:val="center"/>
          </w:tcPr>
          <w:p w:rsidR="002976E7" w:rsidRDefault="002976E7" w:rsidP="00737032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Duševní zdraví, o. p. s.</w:t>
            </w:r>
          </w:p>
        </w:tc>
        <w:tc>
          <w:tcPr>
            <w:tcW w:w="1701" w:type="dxa"/>
            <w:vAlign w:val="center"/>
          </w:tcPr>
          <w:p w:rsidR="002976E7" w:rsidRDefault="002976E7" w:rsidP="00284016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rFonts w:ascii="Inter" w:hAnsi="Inter" w:cs="Calibri"/>
                <w:b/>
                <w:bCs/>
                <w:color w:val="000000"/>
                <w:sz w:val="22"/>
              </w:rPr>
              <w:t xml:space="preserve">         </w:t>
            </w:r>
            <w:r w:rsidRPr="00284016">
              <w:rPr>
                <w:sz w:val="20"/>
              </w:rPr>
              <w:t>5 421 800</w:t>
            </w:r>
          </w:p>
        </w:tc>
        <w:tc>
          <w:tcPr>
            <w:tcW w:w="3402" w:type="dxa"/>
            <w:vAlign w:val="center"/>
          </w:tcPr>
          <w:p w:rsidR="002976E7" w:rsidRDefault="002976E7" w:rsidP="00BA2F23">
            <w:pPr>
              <w:spacing w:before="0" w:line="264" w:lineRule="auto"/>
              <w:jc w:val="left"/>
              <w:rPr>
                <w:rFonts w:ascii="Inter" w:hAnsi="Inter" w:cs="Calibri"/>
                <w:b/>
                <w:bCs/>
                <w:color w:val="000000"/>
                <w:sz w:val="22"/>
              </w:rPr>
            </w:pPr>
            <w:r w:rsidRPr="00BA2F23">
              <w:rPr>
                <w:sz w:val="20"/>
              </w:rPr>
              <w:t xml:space="preserve">Vratka je vyčíslena ve výši části přiznaných prostředků z dotace </w:t>
            </w:r>
            <w:r w:rsidR="004A03D4" w:rsidRPr="00BA2F23">
              <w:rPr>
                <w:sz w:val="20"/>
              </w:rPr>
              <w:t>MPSV</w:t>
            </w:r>
            <w:r w:rsidRPr="00BA2F23">
              <w:rPr>
                <w:sz w:val="20"/>
              </w:rPr>
              <w:t>; částí kapacity</w:t>
            </w:r>
            <w:r w:rsidR="00BA2F23" w:rsidRPr="00BA2F23">
              <w:rPr>
                <w:sz w:val="20"/>
              </w:rPr>
              <w:t xml:space="preserve"> je tato sociální služba financována z dotace MPSV</w:t>
            </w:r>
            <w:r w:rsidR="00BA2F23">
              <w:rPr>
                <w:sz w:val="20"/>
              </w:rPr>
              <w:t xml:space="preserve"> </w:t>
            </w:r>
          </w:p>
        </w:tc>
      </w:tr>
      <w:tr w:rsidR="002976E7" w:rsidRPr="00951C64" w:rsidTr="002976E7">
        <w:trPr>
          <w:trHeight w:val="454"/>
        </w:trPr>
        <w:tc>
          <w:tcPr>
            <w:tcW w:w="1838" w:type="dxa"/>
            <w:vAlign w:val="center"/>
          </w:tcPr>
          <w:p w:rsidR="002976E7" w:rsidRPr="00951C64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51C64">
              <w:rPr>
                <w:sz w:val="20"/>
              </w:rPr>
              <w:t>ratka</w:t>
            </w:r>
          </w:p>
        </w:tc>
        <w:tc>
          <w:tcPr>
            <w:tcW w:w="2835" w:type="dxa"/>
            <w:vAlign w:val="center"/>
          </w:tcPr>
          <w:p w:rsidR="002976E7" w:rsidRPr="00951C64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Domov Hrubá Voda, příspěvková organizace</w:t>
            </w:r>
          </w:p>
        </w:tc>
        <w:tc>
          <w:tcPr>
            <w:tcW w:w="1701" w:type="dxa"/>
            <w:vAlign w:val="center"/>
          </w:tcPr>
          <w:p w:rsidR="002976E7" w:rsidRPr="00951C64" w:rsidRDefault="002976E7" w:rsidP="002976E7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1 190 000</w:t>
            </w:r>
          </w:p>
        </w:tc>
        <w:tc>
          <w:tcPr>
            <w:tcW w:w="3402" w:type="dxa"/>
            <w:vAlign w:val="center"/>
          </w:tcPr>
          <w:p w:rsidR="002976E7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</w:p>
        </w:tc>
      </w:tr>
      <w:tr w:rsidR="002976E7" w:rsidRPr="00951C64" w:rsidTr="002976E7">
        <w:trPr>
          <w:trHeight w:val="454"/>
        </w:trPr>
        <w:tc>
          <w:tcPr>
            <w:tcW w:w="4673" w:type="dxa"/>
            <w:gridSpan w:val="2"/>
            <w:vAlign w:val="center"/>
          </w:tcPr>
          <w:p w:rsidR="002976E7" w:rsidRPr="00951C64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K přerozdělení CELKEM</w:t>
            </w:r>
          </w:p>
        </w:tc>
        <w:tc>
          <w:tcPr>
            <w:tcW w:w="1701" w:type="dxa"/>
            <w:vAlign w:val="center"/>
          </w:tcPr>
          <w:p w:rsidR="002976E7" w:rsidRPr="00951C64" w:rsidRDefault="002976E7" w:rsidP="002976E7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230 613 800</w:t>
            </w:r>
          </w:p>
        </w:tc>
        <w:tc>
          <w:tcPr>
            <w:tcW w:w="3402" w:type="dxa"/>
            <w:vAlign w:val="center"/>
          </w:tcPr>
          <w:p w:rsidR="002976E7" w:rsidRDefault="002976E7" w:rsidP="002976E7">
            <w:pPr>
              <w:spacing w:before="0" w:line="264" w:lineRule="auto"/>
              <w:jc w:val="left"/>
              <w:rPr>
                <w:sz w:val="20"/>
              </w:rPr>
            </w:pPr>
          </w:p>
        </w:tc>
      </w:tr>
    </w:tbl>
    <w:p w:rsidR="005A37C4" w:rsidRDefault="005A37C4" w:rsidP="005A37C4">
      <w:pPr>
        <w:spacing w:line="264" w:lineRule="auto"/>
        <w:rPr>
          <w:b/>
        </w:rPr>
      </w:pPr>
    </w:p>
    <w:p w:rsidR="00BA2F23" w:rsidRPr="00DA46C2" w:rsidRDefault="00BA2F23" w:rsidP="00BA2F23">
      <w:pPr>
        <w:spacing w:line="264" w:lineRule="auto"/>
        <w:rPr>
          <w:b/>
          <w:szCs w:val="24"/>
        </w:rPr>
      </w:pPr>
      <w:r w:rsidRPr="00DA46C2">
        <w:rPr>
          <w:b/>
          <w:szCs w:val="24"/>
        </w:rPr>
        <w:t xml:space="preserve">Popis způsobu </w:t>
      </w:r>
      <w:r>
        <w:rPr>
          <w:b/>
          <w:szCs w:val="24"/>
        </w:rPr>
        <w:t xml:space="preserve">návrhu na </w:t>
      </w:r>
      <w:r w:rsidRPr="00DA46C2">
        <w:rPr>
          <w:b/>
          <w:szCs w:val="24"/>
        </w:rPr>
        <w:t>přerozdělení dofinancování:</w:t>
      </w:r>
    </w:p>
    <w:p w:rsidR="00BA2F23" w:rsidRDefault="00BA2F23" w:rsidP="00BA2F23">
      <w:pPr>
        <w:spacing w:line="264" w:lineRule="auto"/>
        <w:rPr>
          <w:szCs w:val="24"/>
        </w:rPr>
      </w:pPr>
      <w:r w:rsidRPr="000E391B">
        <w:rPr>
          <w:szCs w:val="24"/>
        </w:rPr>
        <w:t>Návrh výše dotace jednotlivým poskytovatelům sociálních služeb předkládaný v </w:t>
      </w:r>
      <w:r>
        <w:rPr>
          <w:szCs w:val="24"/>
        </w:rPr>
        <w:t>p</w:t>
      </w:r>
      <w:r w:rsidRPr="000E391B">
        <w:rPr>
          <w:szCs w:val="24"/>
        </w:rPr>
        <w:t xml:space="preserve">říloze </w:t>
      </w:r>
      <w:r>
        <w:rPr>
          <w:szCs w:val="24"/>
        </w:rPr>
        <w:t xml:space="preserve">usnesení </w:t>
      </w:r>
      <w:r w:rsidRPr="000E391B">
        <w:rPr>
          <w:szCs w:val="24"/>
        </w:rPr>
        <w:t xml:space="preserve">č. </w:t>
      </w:r>
      <w:r w:rsidR="00651D34">
        <w:rPr>
          <w:szCs w:val="24"/>
        </w:rPr>
        <w:t>2</w:t>
      </w:r>
      <w:r w:rsidRPr="000E391B">
        <w:rPr>
          <w:szCs w:val="24"/>
        </w:rPr>
        <w:t xml:space="preserve"> byl zpracován </w:t>
      </w:r>
      <w:r w:rsidRPr="00EB20C6">
        <w:rPr>
          <w:szCs w:val="24"/>
        </w:rPr>
        <w:t>v souladu s Podprogramem č. 1 Programu</w:t>
      </w:r>
      <w:r>
        <w:rPr>
          <w:szCs w:val="24"/>
        </w:rPr>
        <w:t xml:space="preserve"> </w:t>
      </w:r>
      <w:r w:rsidRPr="00446D2F">
        <w:rPr>
          <w:szCs w:val="24"/>
        </w:rPr>
        <w:t xml:space="preserve">č. UR/55/55/2022 ze dne </w:t>
      </w:r>
      <w:proofErr w:type="gramStart"/>
      <w:r w:rsidRPr="00446D2F">
        <w:rPr>
          <w:szCs w:val="24"/>
        </w:rPr>
        <w:t>06.06.2022</w:t>
      </w:r>
      <w:proofErr w:type="gramEnd"/>
      <w:r>
        <w:rPr>
          <w:szCs w:val="24"/>
        </w:rPr>
        <w:t>.</w:t>
      </w:r>
    </w:p>
    <w:p w:rsidR="00BA2F23" w:rsidRPr="00DC5DB3" w:rsidRDefault="00BA2F23" w:rsidP="00BA2F23">
      <w:pPr>
        <w:spacing w:line="264" w:lineRule="auto"/>
        <w:rPr>
          <w:szCs w:val="24"/>
          <w:u w:val="single"/>
        </w:rPr>
      </w:pPr>
      <w:r w:rsidRPr="00DC5DB3">
        <w:rPr>
          <w:szCs w:val="24"/>
          <w:u w:val="single"/>
        </w:rPr>
        <w:t>Stanovení maximálního, optimálního a reálného návrhu dotace:</w:t>
      </w:r>
    </w:p>
    <w:p w:rsidR="00BA2F23" w:rsidRDefault="00BA2F23" w:rsidP="00BA2F23">
      <w:pPr>
        <w:spacing w:line="264" w:lineRule="auto"/>
        <w:rPr>
          <w:szCs w:val="24"/>
        </w:rPr>
      </w:pPr>
      <w:r>
        <w:rPr>
          <w:szCs w:val="24"/>
        </w:rPr>
        <w:t xml:space="preserve">Východiskem pro stanovení maximálního návrhu dotace byl požadavek na dotaci snížený o nadhodnocené a neuznatelné náklady. </w:t>
      </w:r>
    </w:p>
    <w:p w:rsidR="00BA2F23" w:rsidRDefault="00BA2F23" w:rsidP="00BA2F23">
      <w:pPr>
        <w:spacing w:line="264" w:lineRule="auto"/>
        <w:rPr>
          <w:szCs w:val="24"/>
        </w:rPr>
      </w:pPr>
      <w:r w:rsidRPr="00DA46C2">
        <w:rPr>
          <w:szCs w:val="24"/>
        </w:rPr>
        <w:t>Organizac</w:t>
      </w:r>
      <w:r>
        <w:rPr>
          <w:szCs w:val="24"/>
        </w:rPr>
        <w:t>i</w:t>
      </w:r>
      <w:r w:rsidRPr="00DA46C2">
        <w:rPr>
          <w:szCs w:val="24"/>
        </w:rPr>
        <w:t xml:space="preserve"> Společnost Mana, o. p. s. byl na sociální službu sociální rehabilitace (</w:t>
      </w:r>
      <w:r>
        <w:rPr>
          <w:szCs w:val="24"/>
        </w:rPr>
        <w:t xml:space="preserve">identifikátor služby: </w:t>
      </w:r>
      <w:r w:rsidRPr="00DA46C2">
        <w:rPr>
          <w:szCs w:val="24"/>
        </w:rPr>
        <w:t>7227642</w:t>
      </w:r>
      <w:r>
        <w:rPr>
          <w:szCs w:val="24"/>
        </w:rPr>
        <w:t>) stanoven maximální návrh dotace ve výši 0 Kč</w:t>
      </w:r>
      <w:r w:rsidR="0003200E">
        <w:rPr>
          <w:szCs w:val="24"/>
        </w:rPr>
        <w:t xml:space="preserve">; uvedená </w:t>
      </w:r>
      <w:r>
        <w:rPr>
          <w:szCs w:val="24"/>
        </w:rPr>
        <w:t xml:space="preserve">sociální </w:t>
      </w:r>
      <w:r w:rsidRPr="00BA2F23">
        <w:rPr>
          <w:szCs w:val="24"/>
        </w:rPr>
        <w:t>služba</w:t>
      </w:r>
      <w:r w:rsidR="00353613">
        <w:rPr>
          <w:szCs w:val="24"/>
        </w:rPr>
        <w:t xml:space="preserve"> </w:t>
      </w:r>
      <w:r>
        <w:rPr>
          <w:szCs w:val="24"/>
        </w:rPr>
        <w:t>je v rámci této varianty financována z dotace MZ.</w:t>
      </w:r>
    </w:p>
    <w:p w:rsidR="00BA2F23" w:rsidRDefault="00BA2F23" w:rsidP="00BA2F23">
      <w:pPr>
        <w:spacing w:line="264" w:lineRule="auto"/>
        <w:rPr>
          <w:szCs w:val="24"/>
        </w:rPr>
      </w:pPr>
      <w:r>
        <w:rPr>
          <w:szCs w:val="24"/>
        </w:rPr>
        <w:t>Maximální návrh dotace byl zaokrouhlen na stovky dolů a tím byl stanoven optimální návrh dotace.</w:t>
      </w:r>
    </w:p>
    <w:p w:rsidR="00F907CB" w:rsidRPr="00BE7FE6" w:rsidRDefault="00F907CB" w:rsidP="00F907CB">
      <w:pPr>
        <w:spacing w:line="264" w:lineRule="auto"/>
        <w:rPr>
          <w:szCs w:val="24"/>
        </w:rPr>
      </w:pPr>
      <w:r>
        <w:rPr>
          <w:szCs w:val="24"/>
        </w:rPr>
        <w:t xml:space="preserve">Předkladatel navrhuje, aby byla zásadní část finančních prostředků ze státního rozpočtu byla směřována sociálním službám nezřizovaným Olomouckým krajem. U PO OK tak byl </w:t>
      </w:r>
      <w:r w:rsidRPr="00BE7FE6">
        <w:rPr>
          <w:szCs w:val="24"/>
        </w:rPr>
        <w:t>optimální návrh dotace upraven na reálný návrh dotace podle následujících principů:</w:t>
      </w:r>
    </w:p>
    <w:p w:rsidR="00F907CB" w:rsidRDefault="00F907CB" w:rsidP="00F907CB">
      <w:pPr>
        <w:pStyle w:val="Odstavecseseznamem"/>
        <w:numPr>
          <w:ilvl w:val="0"/>
          <w:numId w:val="17"/>
        </w:numPr>
        <w:spacing w:line="264" w:lineRule="auto"/>
        <w:ind w:left="714" w:hanging="357"/>
        <w:contextualSpacing w:val="0"/>
        <w:rPr>
          <w:szCs w:val="24"/>
        </w:rPr>
      </w:pPr>
      <w:r>
        <w:rPr>
          <w:szCs w:val="24"/>
        </w:rPr>
        <w:t>poskytovatelům sociálních služeb nezřizovaným OK byl reálný návrh dotace stanoven ve výši optimálního návrhu dotace;</w:t>
      </w:r>
    </w:p>
    <w:p w:rsidR="00F907CB" w:rsidRDefault="00F907CB" w:rsidP="00F907CB">
      <w:pPr>
        <w:pStyle w:val="Odstavecseseznamem"/>
        <w:numPr>
          <w:ilvl w:val="0"/>
          <w:numId w:val="17"/>
        </w:numPr>
        <w:spacing w:line="264" w:lineRule="auto"/>
        <w:ind w:left="714" w:hanging="357"/>
        <w:contextualSpacing w:val="0"/>
        <w:rPr>
          <w:szCs w:val="24"/>
        </w:rPr>
      </w:pPr>
      <w:r>
        <w:rPr>
          <w:szCs w:val="24"/>
        </w:rPr>
        <w:t>zbývající finanční prostředky byly poměrně přerozděleny mezi PO OK.</w:t>
      </w:r>
    </w:p>
    <w:p w:rsidR="00BA2F23" w:rsidRDefault="00BA2F23" w:rsidP="00BA2F23">
      <w:pPr>
        <w:spacing w:line="264" w:lineRule="auto"/>
      </w:pPr>
      <w:r>
        <w:lastRenderedPageBreak/>
        <w:t>Podrobný přehled je uveden v</w:t>
      </w:r>
      <w:r w:rsidR="006D45DD">
        <w:t> </w:t>
      </w:r>
      <w:r>
        <w:t>tabulce</w:t>
      </w:r>
      <w:r w:rsidR="006D45DD">
        <w:t xml:space="preserve"> 6</w:t>
      </w:r>
      <w:r>
        <w:t>.</w:t>
      </w:r>
    </w:p>
    <w:p w:rsidR="00DA46C2" w:rsidRPr="006F5BB7" w:rsidRDefault="00BA2F23" w:rsidP="00BA2F23">
      <w:pPr>
        <w:pStyle w:val="titulek0"/>
      </w:pPr>
      <w:r>
        <w:t xml:space="preserve">Tabulka </w:t>
      </w:r>
      <w:fldSimple w:instr=" SEQ Tabulka \* ARABIC ">
        <w:r>
          <w:rPr>
            <w:noProof/>
          </w:rPr>
          <w:t>6</w:t>
        </w:r>
      </w:fldSimple>
      <w:r w:rsidR="006D45DD">
        <w:t xml:space="preserve"> – Přehled požadavku a návrhů dotace (v Kč) – varianta 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1641"/>
        <w:gridCol w:w="2102"/>
        <w:gridCol w:w="2063"/>
        <w:gridCol w:w="1833"/>
      </w:tblGrid>
      <w:tr w:rsidR="00DA46C2" w:rsidRPr="00DF3B37" w:rsidTr="004F0BDD">
        <w:trPr>
          <w:trHeight w:val="567"/>
          <w:jc w:val="center"/>
        </w:trPr>
        <w:tc>
          <w:tcPr>
            <w:tcW w:w="1079" w:type="pct"/>
            <w:shd w:val="clear" w:color="auto" w:fill="D9D9D9" w:themeFill="background1" w:themeFillShade="D9"/>
            <w:noWrap/>
            <w:vAlign w:val="center"/>
            <w:hideMark/>
          </w:tcPr>
          <w:p w:rsidR="00DA46C2" w:rsidRPr="00664FA7" w:rsidRDefault="00DA46C2" w:rsidP="004F0BDD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Organizace</w:t>
            </w:r>
          </w:p>
        </w:tc>
        <w:tc>
          <w:tcPr>
            <w:tcW w:w="842" w:type="pct"/>
            <w:shd w:val="clear" w:color="auto" w:fill="D9D9D9" w:themeFill="background1" w:themeFillShade="D9"/>
            <w:noWrap/>
            <w:vAlign w:val="center"/>
            <w:hideMark/>
          </w:tcPr>
          <w:p w:rsidR="00DA46C2" w:rsidRPr="00664FA7" w:rsidRDefault="00DA46C2" w:rsidP="004F0BDD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Požadavek na kraj</w:t>
            </w:r>
          </w:p>
        </w:tc>
        <w:tc>
          <w:tcPr>
            <w:tcW w:w="1079" w:type="pct"/>
            <w:shd w:val="clear" w:color="auto" w:fill="D9D9D9" w:themeFill="background1" w:themeFillShade="D9"/>
            <w:noWrap/>
            <w:vAlign w:val="center"/>
            <w:hideMark/>
          </w:tcPr>
          <w:p w:rsidR="00DA46C2" w:rsidRPr="00664FA7" w:rsidRDefault="00DA46C2" w:rsidP="004F0BDD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Maximální návrh dotace</w:t>
            </w:r>
          </w:p>
        </w:tc>
        <w:tc>
          <w:tcPr>
            <w:tcW w:w="1059" w:type="pct"/>
            <w:shd w:val="clear" w:color="auto" w:fill="D9D9D9" w:themeFill="background1" w:themeFillShade="D9"/>
            <w:noWrap/>
            <w:vAlign w:val="center"/>
            <w:hideMark/>
          </w:tcPr>
          <w:p w:rsidR="00DA46C2" w:rsidRPr="00664FA7" w:rsidRDefault="00DA46C2" w:rsidP="004F0BDD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Optimální návrh dotace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:rsidR="00DA46C2" w:rsidRDefault="00DA46C2" w:rsidP="004F0BDD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Reálný návrh dotace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A46C2" w:rsidRPr="00664FA7" w:rsidRDefault="00DA46C2" w:rsidP="004F0BDD">
            <w:pPr>
              <w:spacing w:before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bCs/>
                <w:color w:val="000000"/>
                <w:sz w:val="18"/>
                <w:szCs w:val="20"/>
              </w:rPr>
              <w:t>(návrh výše dotace)</w:t>
            </w:r>
          </w:p>
        </w:tc>
      </w:tr>
      <w:tr w:rsidR="004F0BDD" w:rsidRPr="00DF3B37" w:rsidTr="00462234">
        <w:trPr>
          <w:trHeight w:val="567"/>
          <w:jc w:val="center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F0BD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color w:val="000000"/>
                <w:sz w:val="20"/>
                <w:szCs w:val="20"/>
              </w:rPr>
              <w:t>nezřizované OK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201 958 825    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199 739 372    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199 735 600    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199 735 600    </w:t>
            </w:r>
          </w:p>
        </w:tc>
      </w:tr>
      <w:tr w:rsidR="004F0BDD" w:rsidRPr="00DF3B37" w:rsidTr="00462234">
        <w:trPr>
          <w:trHeight w:val="567"/>
          <w:jc w:val="center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F0BD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color w:val="000000"/>
                <w:sz w:val="20"/>
                <w:szCs w:val="20"/>
              </w:rPr>
              <w:t>PO OK – zdravotní oblast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1 786 383    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1 786 383    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1 786 300    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327 100    </w:t>
            </w:r>
          </w:p>
        </w:tc>
      </w:tr>
      <w:tr w:rsidR="004F0BDD" w:rsidRPr="00DF3B37" w:rsidTr="00462234">
        <w:trPr>
          <w:trHeight w:val="567"/>
          <w:jc w:val="center"/>
        </w:trPr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F0BDD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DF3B37">
              <w:rPr>
                <w:rFonts w:eastAsia="Times New Roman"/>
                <w:color w:val="000000"/>
                <w:sz w:val="20"/>
                <w:szCs w:val="20"/>
              </w:rPr>
              <w:t>PO OK – sociální oblast</w:t>
            </w:r>
            <w:r w:rsidRPr="00664FA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172 156 103    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166 851 204    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166 849 900    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4F0BDD" w:rsidRPr="00664FA7" w:rsidRDefault="004F0BDD" w:rsidP="00462234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color w:val="000000"/>
                <w:sz w:val="20"/>
                <w:szCs w:val="20"/>
              </w:rPr>
              <w:t xml:space="preserve"> 30 551 100    </w:t>
            </w:r>
          </w:p>
        </w:tc>
      </w:tr>
      <w:tr w:rsidR="004F0BDD" w:rsidRPr="00DF3B37" w:rsidTr="00462234">
        <w:trPr>
          <w:trHeight w:val="567"/>
          <w:jc w:val="center"/>
        </w:trPr>
        <w:tc>
          <w:tcPr>
            <w:tcW w:w="1079" w:type="pct"/>
            <w:shd w:val="clear" w:color="auto" w:fill="D9D9D9" w:themeFill="background1" w:themeFillShade="D9"/>
            <w:noWrap/>
            <w:vAlign w:val="center"/>
            <w:hideMark/>
          </w:tcPr>
          <w:p w:rsidR="004F0BDD" w:rsidRPr="00664FA7" w:rsidRDefault="004F0BDD" w:rsidP="004F0BDD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64FA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842" w:type="pct"/>
            <w:shd w:val="clear" w:color="auto" w:fill="D9D9D9" w:themeFill="background1" w:themeFillShade="D9"/>
            <w:noWrap/>
            <w:vAlign w:val="center"/>
            <w:hideMark/>
          </w:tcPr>
          <w:p w:rsidR="004F0BDD" w:rsidRPr="00462234" w:rsidRDefault="004F0BDD" w:rsidP="00462234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375 901 311    </w:t>
            </w:r>
          </w:p>
        </w:tc>
        <w:tc>
          <w:tcPr>
            <w:tcW w:w="1079" w:type="pct"/>
            <w:shd w:val="clear" w:color="auto" w:fill="D9D9D9" w:themeFill="background1" w:themeFillShade="D9"/>
            <w:noWrap/>
            <w:vAlign w:val="center"/>
            <w:hideMark/>
          </w:tcPr>
          <w:p w:rsidR="004F0BDD" w:rsidRPr="00462234" w:rsidRDefault="004F0BDD" w:rsidP="00462234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368 376 959    </w:t>
            </w:r>
          </w:p>
        </w:tc>
        <w:tc>
          <w:tcPr>
            <w:tcW w:w="1059" w:type="pct"/>
            <w:shd w:val="clear" w:color="auto" w:fill="D9D9D9" w:themeFill="background1" w:themeFillShade="D9"/>
            <w:noWrap/>
            <w:vAlign w:val="center"/>
            <w:hideMark/>
          </w:tcPr>
          <w:p w:rsidR="004F0BDD" w:rsidRPr="00462234" w:rsidRDefault="004F0BDD" w:rsidP="00462234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368 371 800   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:rsidR="004F0BDD" w:rsidRPr="00462234" w:rsidRDefault="004F0BDD" w:rsidP="00462234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462234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230 613 800    </w:t>
            </w:r>
          </w:p>
        </w:tc>
      </w:tr>
    </w:tbl>
    <w:p w:rsidR="0039040D" w:rsidRDefault="0039040D" w:rsidP="0039040D">
      <w:pPr>
        <w:spacing w:line="264" w:lineRule="auto"/>
      </w:pPr>
      <w:r w:rsidRPr="00337CF1">
        <w:rPr>
          <w:b/>
        </w:rPr>
        <w:t xml:space="preserve">Návrh </w:t>
      </w:r>
      <w:r>
        <w:rPr>
          <w:b/>
        </w:rPr>
        <w:t xml:space="preserve">na rozdělení dofinancování (včetně vratek) </w:t>
      </w:r>
      <w:r w:rsidRPr="00337CF1">
        <w:rPr>
          <w:b/>
        </w:rPr>
        <w:t xml:space="preserve">je předkládán k projednání v příloze </w:t>
      </w:r>
      <w:r>
        <w:rPr>
          <w:b/>
        </w:rPr>
        <w:t>usnesení</w:t>
      </w:r>
      <w:r w:rsidRPr="00337CF1">
        <w:rPr>
          <w:b/>
        </w:rPr>
        <w:t xml:space="preserve"> č. </w:t>
      </w:r>
      <w:r>
        <w:rPr>
          <w:b/>
        </w:rPr>
        <w:t xml:space="preserve">2. </w:t>
      </w:r>
    </w:p>
    <w:p w:rsidR="0039040D" w:rsidRDefault="0039040D" w:rsidP="00D23AA4">
      <w:pPr>
        <w:pBdr>
          <w:bottom w:val="single" w:sz="4" w:space="1" w:color="auto"/>
        </w:pBdr>
        <w:spacing w:line="264" w:lineRule="auto"/>
        <w:rPr>
          <w:b/>
        </w:rPr>
      </w:pPr>
    </w:p>
    <w:p w:rsidR="000E391B" w:rsidRPr="00D23AA4" w:rsidRDefault="000E391B" w:rsidP="00D23AA4">
      <w:pPr>
        <w:pBdr>
          <w:bottom w:val="single" w:sz="4" w:space="1" w:color="auto"/>
        </w:pBdr>
        <w:spacing w:line="264" w:lineRule="auto"/>
        <w:rPr>
          <w:b/>
        </w:rPr>
      </w:pPr>
      <w:r w:rsidRPr="00D23AA4">
        <w:rPr>
          <w:b/>
        </w:rPr>
        <w:t>Přerozdělení a distribuce finančních prostředků</w:t>
      </w:r>
    </w:p>
    <w:p w:rsidR="003A4758" w:rsidRPr="00A52D3D" w:rsidRDefault="003A4758" w:rsidP="003A4758">
      <w:pPr>
        <w:spacing w:line="264" w:lineRule="auto"/>
        <w:rPr>
          <w:bCs/>
          <w:szCs w:val="24"/>
          <w:u w:val="single"/>
        </w:rPr>
      </w:pPr>
      <w:r w:rsidRPr="00A52D3D">
        <w:rPr>
          <w:bCs/>
          <w:szCs w:val="24"/>
          <w:u w:val="single"/>
        </w:rPr>
        <w:t>Dotace bude vyplácena:</w:t>
      </w:r>
    </w:p>
    <w:p w:rsidR="003A4758" w:rsidRPr="00DD0470" w:rsidRDefault="003A4758" w:rsidP="00D24D3B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 xml:space="preserve">příjemcům, kteří jsou příspěvkovými organizacemi zřizovanými OK, formou finančního transferu na základě vztahu </w:t>
      </w:r>
      <w:r w:rsidR="005B4BFA">
        <w:rPr>
          <w:rFonts w:eastAsia="Arial Unicode MS"/>
          <w:szCs w:val="24"/>
        </w:rPr>
        <w:t xml:space="preserve">mezi </w:t>
      </w:r>
      <w:r w:rsidRPr="00DD0470">
        <w:rPr>
          <w:rFonts w:eastAsia="Arial Unicode MS"/>
          <w:szCs w:val="24"/>
        </w:rPr>
        <w:t>zřizovatel</w:t>
      </w:r>
      <w:r w:rsidR="005B4BFA">
        <w:rPr>
          <w:rFonts w:eastAsia="Arial Unicode MS"/>
          <w:szCs w:val="24"/>
        </w:rPr>
        <w:t xml:space="preserve">em a </w:t>
      </w:r>
      <w:r w:rsidRPr="00DD0470">
        <w:rPr>
          <w:rFonts w:eastAsia="Arial Unicode MS"/>
          <w:szCs w:val="24"/>
        </w:rPr>
        <w:t>příspěvkov</w:t>
      </w:r>
      <w:r w:rsidR="005B4BFA">
        <w:rPr>
          <w:rFonts w:eastAsia="Arial Unicode MS"/>
          <w:szCs w:val="24"/>
        </w:rPr>
        <w:t xml:space="preserve">ou </w:t>
      </w:r>
      <w:r w:rsidRPr="00DD0470">
        <w:rPr>
          <w:rFonts w:eastAsia="Arial Unicode MS"/>
          <w:szCs w:val="24"/>
        </w:rPr>
        <w:t>organizac</w:t>
      </w:r>
      <w:r w:rsidR="005B4BFA">
        <w:rPr>
          <w:rFonts w:eastAsia="Arial Unicode MS"/>
          <w:szCs w:val="24"/>
        </w:rPr>
        <w:t>í</w:t>
      </w:r>
      <w:r w:rsidRPr="00DD0470">
        <w:rPr>
          <w:rFonts w:eastAsia="Arial Unicode MS"/>
          <w:szCs w:val="24"/>
        </w:rPr>
        <w:t>, v souladu se zákonem o rozpočtových pravidlech na účet příjemce;</w:t>
      </w:r>
    </w:p>
    <w:p w:rsidR="003A4758" w:rsidRDefault="003A4758" w:rsidP="00D24D3B">
      <w:pPr>
        <w:numPr>
          <w:ilvl w:val="1"/>
          <w:numId w:val="9"/>
        </w:numPr>
        <w:spacing w:line="264" w:lineRule="auto"/>
        <w:ind w:left="425" w:hanging="397"/>
        <w:rPr>
          <w:rFonts w:eastAsia="Arial Unicode MS"/>
          <w:szCs w:val="24"/>
        </w:rPr>
      </w:pPr>
      <w:r w:rsidRPr="00DD0470">
        <w:rPr>
          <w:rFonts w:eastAsia="Arial Unicode MS"/>
          <w:szCs w:val="24"/>
        </w:rPr>
        <w:t xml:space="preserve">organizacím, které nejsou zřizovány OK, na </w:t>
      </w:r>
      <w:r>
        <w:rPr>
          <w:rFonts w:eastAsia="Arial Unicode MS"/>
          <w:szCs w:val="24"/>
        </w:rPr>
        <w:t>základě smlouvy</w:t>
      </w:r>
      <w:r w:rsidRPr="00DD0470">
        <w:rPr>
          <w:rFonts w:eastAsia="Arial Unicode MS"/>
          <w:szCs w:val="24"/>
        </w:rPr>
        <w:t xml:space="preserve"> o poskytnutí dotace na účet příjemce, v případě příspěvkových organizací obcí na účet zřizovatele (obce).</w:t>
      </w:r>
    </w:p>
    <w:p w:rsidR="00260716" w:rsidRDefault="00260716" w:rsidP="001F482F">
      <w:pPr>
        <w:spacing w:line="264" w:lineRule="auto"/>
        <w:ind w:left="28"/>
        <w:rPr>
          <w:rFonts w:eastAsia="Calibri"/>
          <w:b/>
          <w:bCs/>
          <w:iCs/>
        </w:rPr>
      </w:pPr>
    </w:p>
    <w:p w:rsidR="007A77A6" w:rsidRPr="00935CFB" w:rsidRDefault="007A77A6" w:rsidP="00935CFB">
      <w:pPr>
        <w:pBdr>
          <w:bottom w:val="single" w:sz="4" w:space="1" w:color="auto"/>
        </w:pBdr>
        <w:spacing w:line="264" w:lineRule="auto"/>
        <w:rPr>
          <w:rFonts w:eastAsia="Calibri"/>
          <w:b/>
          <w:bCs/>
          <w:iCs/>
        </w:rPr>
      </w:pPr>
      <w:r w:rsidRPr="00935CFB">
        <w:rPr>
          <w:rFonts w:eastAsia="Calibri"/>
          <w:b/>
          <w:bCs/>
          <w:iCs/>
        </w:rPr>
        <w:t>Návrh usnesení</w:t>
      </w:r>
    </w:p>
    <w:p w:rsidR="007A77A6" w:rsidRPr="00935CFB" w:rsidRDefault="007A77A6" w:rsidP="007A77A6">
      <w:pPr>
        <w:spacing w:before="0" w:line="120" w:lineRule="auto"/>
        <w:rPr>
          <w:rFonts w:eastAsia="Calibri"/>
          <w:i/>
        </w:rPr>
      </w:pPr>
    </w:p>
    <w:p w:rsidR="008D7638" w:rsidRPr="003F0E49" w:rsidRDefault="008D7638" w:rsidP="008D7638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3A5648">
        <w:rPr>
          <w:b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 w:rsidRPr="003A5648">
        <w:rPr>
          <w:b/>
          <w:bCs/>
          <w:u w:val="single"/>
        </w:rPr>
        <w:t xml:space="preserve">na svém jednání dne </w:t>
      </w:r>
      <w:proofErr w:type="gramStart"/>
      <w:r>
        <w:rPr>
          <w:b/>
          <w:bCs/>
          <w:u w:val="single"/>
        </w:rPr>
        <w:t>19.09.2022</w:t>
      </w:r>
      <w:proofErr w:type="gramEnd"/>
      <w:r>
        <w:rPr>
          <w:b/>
          <w:bCs/>
          <w:u w:val="single"/>
        </w:rPr>
        <w:t xml:space="preserve">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="002F36C5">
        <w:rPr>
          <w:rFonts w:eastAsia="Calibri"/>
          <w:b/>
          <w:bCs/>
          <w:u w:val="single"/>
        </w:rPr>
        <w:t>UR/62/5</w:t>
      </w:r>
      <w:r w:rsidR="00135179">
        <w:rPr>
          <w:rFonts w:eastAsia="Calibri"/>
          <w:b/>
          <w:bCs/>
          <w:u w:val="single"/>
        </w:rPr>
        <w:t>1</w:t>
      </w:r>
      <w:r w:rsidR="002F36C5">
        <w:rPr>
          <w:rFonts w:eastAsia="Calibri"/>
          <w:b/>
          <w:bCs/>
          <w:u w:val="single"/>
        </w:rPr>
        <w:t xml:space="preserve">/2022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:rsidR="008D7638" w:rsidRDefault="008D7638" w:rsidP="008D7638">
      <w:pPr>
        <w:pStyle w:val="Zkladntextodsazendek"/>
        <w:spacing w:after="0" w:line="264" w:lineRule="auto"/>
        <w:ind w:firstLine="0"/>
        <w:rPr>
          <w:u w:val="single"/>
        </w:rPr>
      </w:pPr>
    </w:p>
    <w:p w:rsidR="008D7638" w:rsidRDefault="008D7638" w:rsidP="008D7638">
      <w:pPr>
        <w:pStyle w:val="Zkladntextodsazendek"/>
        <w:spacing w:after="0" w:line="264" w:lineRule="auto"/>
        <w:ind w:firstLine="0"/>
      </w:pPr>
      <w:r w:rsidRPr="008D7638">
        <w:t xml:space="preserve">Zastupitelstvo Olomouckého kraje po projednání:  </w:t>
      </w:r>
    </w:p>
    <w:tbl>
      <w:tblPr>
        <w:tblW w:w="9114" w:type="dxa"/>
        <w:tblInd w:w="-42" w:type="dxa"/>
        <w:tblLayout w:type="fixed"/>
        <w:tblCellMar>
          <w:left w:w="0" w:type="dxa"/>
          <w:bottom w:w="100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7D2303" w:rsidRPr="00A03040" w:rsidTr="009A23D2">
        <w:tc>
          <w:tcPr>
            <w:tcW w:w="9114" w:type="dxa"/>
          </w:tcPr>
          <w:p w:rsidR="007D2303" w:rsidRPr="00A03040" w:rsidRDefault="007D2303" w:rsidP="007D230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A23D2">
              <w:rPr>
                <w:b/>
                <w:spacing w:val="70"/>
                <w:szCs w:val="24"/>
              </w:rPr>
              <w:t xml:space="preserve">rozhoduje </w:t>
            </w:r>
            <w:r w:rsidRPr="009A23D2">
              <w:rPr>
                <w:szCs w:val="24"/>
              </w:rPr>
              <w:t xml:space="preserve">o poskytnutí navýšení účelově určené dotace ze státního rozpočtu v rámci Podprogramu č. 1 Programu finanční podpory poskytování sociálních služeb v Olomouckém kraji jednotlivým sociálním službám, dle přílohy usnesení č. 1 (varianta A) </w:t>
            </w:r>
          </w:p>
        </w:tc>
      </w:tr>
      <w:tr w:rsidR="007D2303" w:rsidRPr="00A03040" w:rsidTr="009A23D2">
        <w:tc>
          <w:tcPr>
            <w:tcW w:w="9114" w:type="dxa"/>
          </w:tcPr>
          <w:p w:rsidR="007D2303" w:rsidRPr="00A03040" w:rsidRDefault="007D2303" w:rsidP="005A45D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 xml:space="preserve">rozhoduje </w:t>
            </w:r>
            <w:r w:rsidRPr="00A03040">
              <w:rPr>
                <w:szCs w:val="24"/>
              </w:rPr>
              <w:t xml:space="preserve">o uzavření dodatků k veřejnoprávním smlouvám o poskytnutí účelově určené dotace ze státního rozpočtu na poskytování sociálních služeb s jednotlivými poskytovateli sociálních služeb dle bodu </w:t>
            </w:r>
            <w:r w:rsidR="005A45D4">
              <w:rPr>
                <w:szCs w:val="24"/>
              </w:rPr>
              <w:t>1</w:t>
            </w:r>
            <w:bookmarkStart w:id="0" w:name="_GoBack"/>
            <w:bookmarkEnd w:id="0"/>
            <w:r w:rsidRPr="00A03040">
              <w:rPr>
                <w:szCs w:val="24"/>
              </w:rPr>
              <w:t xml:space="preserve"> tohoto usnesení ve znění vzorového dodatku k veřejnoprávní smlouvě o poskytnutí účelově určené dotace ze státního rozpočtu na poskytování sociálních služeb, schváleného usnesením č. UZ/9/75/2022 ze dne </w:t>
            </w:r>
            <w:proofErr w:type="gramStart"/>
            <w:r w:rsidRPr="00A03040">
              <w:rPr>
                <w:szCs w:val="24"/>
              </w:rPr>
              <w:t>11.04.2022</w:t>
            </w:r>
            <w:proofErr w:type="gramEnd"/>
          </w:p>
        </w:tc>
      </w:tr>
    </w:tbl>
    <w:p w:rsidR="007D2303" w:rsidRPr="008D7638" w:rsidRDefault="007D2303" w:rsidP="008D7638">
      <w:pPr>
        <w:pStyle w:val="Zkladntextodsazendek"/>
        <w:spacing w:after="0" w:line="264" w:lineRule="auto"/>
        <w:ind w:firstLine="0"/>
      </w:pPr>
    </w:p>
    <w:p w:rsidR="009E3D6C" w:rsidRPr="00B053A9" w:rsidRDefault="009E3D6C" w:rsidP="00B053A9">
      <w:pPr>
        <w:pBdr>
          <w:bottom w:val="single" w:sz="4" w:space="1" w:color="auto"/>
        </w:pBdr>
        <w:spacing w:line="264" w:lineRule="auto"/>
        <w:rPr>
          <w:rFonts w:eastAsia="Calibri"/>
          <w:b/>
          <w:bCs/>
          <w:iCs/>
        </w:rPr>
      </w:pPr>
      <w:r w:rsidRPr="00B053A9">
        <w:rPr>
          <w:rFonts w:eastAsia="Calibri"/>
          <w:b/>
          <w:bCs/>
          <w:iCs/>
        </w:rPr>
        <w:t>Přílohy</w:t>
      </w:r>
      <w:r w:rsidR="00514C2C" w:rsidRPr="00B053A9">
        <w:rPr>
          <w:rFonts w:eastAsia="Calibri"/>
          <w:b/>
          <w:bCs/>
          <w:iCs/>
        </w:rPr>
        <w:t xml:space="preserve"> usnesení</w:t>
      </w:r>
    </w:p>
    <w:p w:rsidR="009E3D6C" w:rsidRPr="00B053A9" w:rsidRDefault="0052487F" w:rsidP="0052487F">
      <w:pPr>
        <w:spacing w:line="264" w:lineRule="auto"/>
        <w:rPr>
          <w:szCs w:val="24"/>
        </w:rPr>
      </w:pPr>
      <w:proofErr w:type="spellStart"/>
      <w:r w:rsidRPr="00B053A9">
        <w:rPr>
          <w:szCs w:val="24"/>
        </w:rPr>
        <w:t>Usnesení_příloha</w:t>
      </w:r>
      <w:proofErr w:type="spellEnd"/>
      <w:r w:rsidRPr="00B053A9">
        <w:rPr>
          <w:szCs w:val="24"/>
        </w:rPr>
        <w:t xml:space="preserve"> č. 01</w:t>
      </w:r>
      <w:r w:rsidR="000E5715" w:rsidRPr="00B053A9">
        <w:rPr>
          <w:szCs w:val="24"/>
        </w:rPr>
        <w:t xml:space="preserve"> -</w:t>
      </w:r>
      <w:r w:rsidRPr="00B053A9">
        <w:rPr>
          <w:szCs w:val="24"/>
        </w:rPr>
        <w:t xml:space="preserve"> </w:t>
      </w:r>
      <w:r w:rsidR="009E3D6C" w:rsidRPr="00B053A9">
        <w:rPr>
          <w:szCs w:val="24"/>
        </w:rPr>
        <w:t xml:space="preserve">Návrh na </w:t>
      </w:r>
      <w:r w:rsidR="00D87337" w:rsidRPr="00B053A9">
        <w:rPr>
          <w:szCs w:val="24"/>
        </w:rPr>
        <w:t xml:space="preserve">navýšení </w:t>
      </w:r>
      <w:r w:rsidR="009E3D6C" w:rsidRPr="00B053A9">
        <w:rPr>
          <w:szCs w:val="24"/>
        </w:rPr>
        <w:t>dotace</w:t>
      </w:r>
      <w:r w:rsidR="00B053A9">
        <w:rPr>
          <w:szCs w:val="24"/>
        </w:rPr>
        <w:t xml:space="preserve"> </w:t>
      </w:r>
      <w:r w:rsidR="00B053A9" w:rsidRPr="00B053A9">
        <w:rPr>
          <w:szCs w:val="24"/>
        </w:rPr>
        <w:t>– varianta A</w:t>
      </w:r>
    </w:p>
    <w:p w:rsidR="00B053A9" w:rsidRPr="00B053A9" w:rsidRDefault="0052487F" w:rsidP="00B053A9">
      <w:pPr>
        <w:spacing w:line="264" w:lineRule="auto"/>
        <w:rPr>
          <w:szCs w:val="24"/>
        </w:rPr>
      </w:pPr>
      <w:proofErr w:type="spellStart"/>
      <w:r w:rsidRPr="00B053A9">
        <w:rPr>
          <w:szCs w:val="24"/>
        </w:rPr>
        <w:t>Usnesení_příloha</w:t>
      </w:r>
      <w:proofErr w:type="spellEnd"/>
      <w:r w:rsidRPr="00B053A9">
        <w:rPr>
          <w:szCs w:val="24"/>
        </w:rPr>
        <w:t xml:space="preserve"> č. 02</w:t>
      </w:r>
      <w:r w:rsidR="000E5715" w:rsidRPr="00B053A9">
        <w:rPr>
          <w:szCs w:val="24"/>
        </w:rPr>
        <w:t xml:space="preserve"> -</w:t>
      </w:r>
      <w:r w:rsidRPr="00B053A9">
        <w:rPr>
          <w:szCs w:val="24"/>
        </w:rPr>
        <w:t xml:space="preserve"> </w:t>
      </w:r>
      <w:r w:rsidR="00B053A9" w:rsidRPr="00B053A9">
        <w:rPr>
          <w:szCs w:val="24"/>
        </w:rPr>
        <w:t>Návrh na navýšení dotace</w:t>
      </w:r>
      <w:r w:rsidR="00B053A9">
        <w:rPr>
          <w:szCs w:val="24"/>
        </w:rPr>
        <w:t xml:space="preserve"> </w:t>
      </w:r>
      <w:r w:rsidR="00B053A9" w:rsidRPr="00B053A9">
        <w:rPr>
          <w:szCs w:val="24"/>
        </w:rPr>
        <w:t>– varianta B</w:t>
      </w:r>
    </w:p>
    <w:p w:rsidR="00B053A9" w:rsidRDefault="00B053A9" w:rsidP="00B053A9">
      <w:pPr>
        <w:pBdr>
          <w:bottom w:val="single" w:sz="4" w:space="1" w:color="auto"/>
        </w:pBdr>
        <w:spacing w:line="264" w:lineRule="auto"/>
        <w:rPr>
          <w:rFonts w:eastAsia="Calibri"/>
          <w:b/>
          <w:bCs/>
          <w:iCs/>
        </w:rPr>
      </w:pPr>
    </w:p>
    <w:p w:rsidR="00D24D3B" w:rsidRPr="00B053A9" w:rsidRDefault="00D24D3B" w:rsidP="00B053A9">
      <w:pPr>
        <w:pBdr>
          <w:bottom w:val="single" w:sz="4" w:space="1" w:color="auto"/>
        </w:pBdr>
        <w:spacing w:line="264" w:lineRule="auto"/>
        <w:rPr>
          <w:rFonts w:eastAsia="Calibri"/>
          <w:b/>
          <w:bCs/>
          <w:iCs/>
        </w:rPr>
      </w:pPr>
      <w:r w:rsidRPr="00B053A9">
        <w:rPr>
          <w:rFonts w:eastAsia="Calibri"/>
          <w:b/>
          <w:bCs/>
          <w:iCs/>
        </w:rPr>
        <w:t>Přílohy důvodové zprávy</w:t>
      </w:r>
    </w:p>
    <w:p w:rsidR="00D24D3B" w:rsidRPr="003201AE" w:rsidRDefault="00F36B61" w:rsidP="00F36B61">
      <w:pPr>
        <w:spacing w:line="264" w:lineRule="auto"/>
        <w:rPr>
          <w:szCs w:val="24"/>
        </w:rPr>
      </w:pPr>
      <w:r w:rsidRPr="003201AE">
        <w:rPr>
          <w:szCs w:val="24"/>
        </w:rPr>
        <w:t>Zpráva k</w:t>
      </w:r>
      <w:r w:rsidR="00901F4E" w:rsidRPr="003201AE">
        <w:rPr>
          <w:szCs w:val="24"/>
        </w:rPr>
        <w:t> </w:t>
      </w:r>
      <w:proofErr w:type="spellStart"/>
      <w:r w:rsidRPr="003201AE">
        <w:rPr>
          <w:szCs w:val="24"/>
        </w:rPr>
        <w:t>DZ</w:t>
      </w:r>
      <w:r w:rsidR="00901F4E" w:rsidRPr="003201AE">
        <w:rPr>
          <w:szCs w:val="24"/>
        </w:rPr>
        <w:t>_příloha</w:t>
      </w:r>
      <w:proofErr w:type="spellEnd"/>
      <w:r w:rsidR="00901F4E" w:rsidRPr="003201AE">
        <w:rPr>
          <w:szCs w:val="24"/>
        </w:rPr>
        <w:t xml:space="preserve"> č. 01</w:t>
      </w:r>
      <w:r w:rsidR="000E5715" w:rsidRPr="003201AE">
        <w:rPr>
          <w:szCs w:val="24"/>
        </w:rPr>
        <w:t xml:space="preserve"> -</w:t>
      </w:r>
      <w:r w:rsidR="00901F4E" w:rsidRPr="003201AE">
        <w:rPr>
          <w:szCs w:val="24"/>
        </w:rPr>
        <w:t xml:space="preserve"> </w:t>
      </w:r>
      <w:r w:rsidR="00D24D3B" w:rsidRPr="003201AE">
        <w:rPr>
          <w:szCs w:val="24"/>
        </w:rPr>
        <w:t>Dodatek k ROZHODNUTÍ o poskytnutí dotace z kapitoly 313 – MPSV</w:t>
      </w:r>
    </w:p>
    <w:p w:rsidR="00152A8E" w:rsidRPr="00127958" w:rsidRDefault="00152A8E" w:rsidP="00152A8E">
      <w:pPr>
        <w:rPr>
          <w:noProof/>
          <w:u w:val="single"/>
        </w:rPr>
      </w:pPr>
    </w:p>
    <w:sectPr w:rsidR="00152A8E" w:rsidRPr="00127958" w:rsidSect="003830EC">
      <w:headerReference w:type="default" r:id="rId9"/>
      <w:footerReference w:type="default" r:id="rId10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3C" w:rsidRDefault="00F7403C" w:rsidP="00E21A8D">
      <w:r>
        <w:separator/>
      </w:r>
    </w:p>
  </w:endnote>
  <w:endnote w:type="continuationSeparator" w:id="0">
    <w:p w:rsidR="00F7403C" w:rsidRDefault="00F7403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3" w:rsidRDefault="005A45D4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41FEE575">
        <v:rect id="_x0000_i1025" style="width:0;height:1.5pt" o:hralign="center" o:hrstd="t" o:hr="t" fillcolor="gray" stroked="f"/>
      </w:pict>
    </w:r>
  </w:p>
  <w:p w:rsidR="00BA2F23" w:rsidRPr="00C533FF" w:rsidRDefault="007D2303" w:rsidP="00C533FF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BA2F23" w:rsidRPr="00C533FF">
      <w:rPr>
        <w:rFonts w:eastAsia="Times New Roman"/>
        <w:i/>
        <w:sz w:val="20"/>
        <w:szCs w:val="20"/>
      </w:rPr>
      <w:t xml:space="preserve">Olomouckého kraje </w:t>
    </w:r>
    <w:proofErr w:type="gramStart"/>
    <w:r>
      <w:rPr>
        <w:rFonts w:eastAsia="Times New Roman"/>
        <w:i/>
        <w:sz w:val="20"/>
        <w:szCs w:val="20"/>
      </w:rPr>
      <w:t>26</w:t>
    </w:r>
    <w:r w:rsidR="00BA2F23">
      <w:rPr>
        <w:rFonts w:eastAsia="Times New Roman"/>
        <w:i/>
        <w:sz w:val="20"/>
        <w:szCs w:val="20"/>
      </w:rPr>
      <w:t>.09.2022</w:t>
    </w:r>
    <w:proofErr w:type="gramEnd"/>
    <w:r w:rsidR="00BA2F23" w:rsidRPr="00C533FF">
      <w:rPr>
        <w:rFonts w:eastAsia="Times New Roman"/>
        <w:i/>
        <w:sz w:val="20"/>
        <w:szCs w:val="20"/>
      </w:rPr>
      <w:tab/>
    </w:r>
    <w:r w:rsidR="00BA2F23" w:rsidRPr="00C533FF">
      <w:rPr>
        <w:rFonts w:eastAsia="Times New Roman"/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5A45D4">
              <w:rPr>
                <w:rFonts w:eastAsia="Times New Roman"/>
                <w:bCs/>
                <w:i/>
                <w:noProof/>
                <w:sz w:val="20"/>
                <w:szCs w:val="20"/>
              </w:rPr>
              <w:t>6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5A45D4">
              <w:rPr>
                <w:rFonts w:eastAsia="Times New Roman"/>
                <w:bCs/>
                <w:i/>
                <w:noProof/>
                <w:sz w:val="20"/>
                <w:szCs w:val="20"/>
              </w:rPr>
              <w:t>7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BA2F23" w:rsidRPr="003830EC" w:rsidRDefault="007D17D1" w:rsidP="00C533FF">
    <w:pPr>
      <w:tabs>
        <w:tab w:val="center" w:pos="4536"/>
        <w:tab w:val="right" w:pos="9072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48. </w:t>
    </w:r>
    <w:r w:rsidR="00BA2F23" w:rsidRPr="00C533FF">
      <w:rPr>
        <w:rFonts w:eastAsia="Times New Roman"/>
        <w:i/>
        <w:sz w:val="20"/>
        <w:szCs w:val="20"/>
      </w:rPr>
      <w:t xml:space="preserve">Program finanční podpory poskytování sociálních služeb v Olomouckém kraji, Podprogram č. </w:t>
    </w:r>
    <w:r w:rsidR="00BA2F23">
      <w:rPr>
        <w:rFonts w:eastAsia="Times New Roman"/>
        <w:i/>
        <w:sz w:val="20"/>
        <w:szCs w:val="20"/>
      </w:rPr>
      <w:t>1</w:t>
    </w:r>
    <w:r w:rsidR="00BA2F23" w:rsidRPr="00C533FF">
      <w:rPr>
        <w:rFonts w:eastAsia="Times New Roman"/>
        <w:i/>
        <w:sz w:val="20"/>
        <w:szCs w:val="20"/>
      </w:rPr>
      <w:t xml:space="preserve"> – dofinancování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3C" w:rsidRDefault="00F7403C" w:rsidP="00E21A8D">
      <w:r>
        <w:separator/>
      </w:r>
    </w:p>
  </w:footnote>
  <w:footnote w:type="continuationSeparator" w:id="0">
    <w:p w:rsidR="00F7403C" w:rsidRDefault="00F7403C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3" w:rsidRDefault="00BA2F23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F718F"/>
    <w:multiLevelType w:val="hybridMultilevel"/>
    <w:tmpl w:val="BA864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A2A"/>
    <w:multiLevelType w:val="hybridMultilevel"/>
    <w:tmpl w:val="4442E444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7FB"/>
    <w:multiLevelType w:val="hybridMultilevel"/>
    <w:tmpl w:val="86FE244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E964863"/>
    <w:multiLevelType w:val="hybridMultilevel"/>
    <w:tmpl w:val="956865C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8571D8"/>
    <w:multiLevelType w:val="hybridMultilevel"/>
    <w:tmpl w:val="A138820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3258CF"/>
    <w:multiLevelType w:val="hybridMultilevel"/>
    <w:tmpl w:val="55CCD9DA"/>
    <w:lvl w:ilvl="0" w:tplc="04050015">
      <w:start w:val="1"/>
      <w:numFmt w:val="upp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0"/>
  </w:num>
  <w:num w:numId="11">
    <w:abstractNumId w:val="14"/>
  </w:num>
  <w:num w:numId="12">
    <w:abstractNumId w:val="11"/>
  </w:num>
  <w:num w:numId="13">
    <w:abstractNumId w:val="3"/>
  </w:num>
  <w:num w:numId="14">
    <w:abstractNumId w:val="6"/>
  </w:num>
  <w:num w:numId="15">
    <w:abstractNumId w:val="4"/>
  </w:num>
  <w:num w:numId="16">
    <w:abstractNumId w:val="15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4E4"/>
    <w:rsid w:val="00002F83"/>
    <w:rsid w:val="00005BA6"/>
    <w:rsid w:val="00007ECD"/>
    <w:rsid w:val="000104A7"/>
    <w:rsid w:val="00011838"/>
    <w:rsid w:val="0001505C"/>
    <w:rsid w:val="000157BA"/>
    <w:rsid w:val="00016FCB"/>
    <w:rsid w:val="000203F3"/>
    <w:rsid w:val="00022E4B"/>
    <w:rsid w:val="00027C3F"/>
    <w:rsid w:val="00031A24"/>
    <w:rsid w:val="00031C37"/>
    <w:rsid w:val="0003200E"/>
    <w:rsid w:val="00033E0E"/>
    <w:rsid w:val="000353C3"/>
    <w:rsid w:val="00035970"/>
    <w:rsid w:val="00036F88"/>
    <w:rsid w:val="00037412"/>
    <w:rsid w:val="00041AC8"/>
    <w:rsid w:val="000436EC"/>
    <w:rsid w:val="00043CDE"/>
    <w:rsid w:val="00043D71"/>
    <w:rsid w:val="0004414C"/>
    <w:rsid w:val="00044648"/>
    <w:rsid w:val="00044E2F"/>
    <w:rsid w:val="00045675"/>
    <w:rsid w:val="00045D48"/>
    <w:rsid w:val="00046492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61B5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75F0"/>
    <w:rsid w:val="0008024A"/>
    <w:rsid w:val="000804D9"/>
    <w:rsid w:val="00082736"/>
    <w:rsid w:val="00082A31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A84"/>
    <w:rsid w:val="00090C5B"/>
    <w:rsid w:val="00092ADC"/>
    <w:rsid w:val="00093396"/>
    <w:rsid w:val="00093C40"/>
    <w:rsid w:val="0009506C"/>
    <w:rsid w:val="00096AD1"/>
    <w:rsid w:val="000A30BC"/>
    <w:rsid w:val="000A4978"/>
    <w:rsid w:val="000A5067"/>
    <w:rsid w:val="000B4A9B"/>
    <w:rsid w:val="000B604F"/>
    <w:rsid w:val="000C245A"/>
    <w:rsid w:val="000C2568"/>
    <w:rsid w:val="000C2BF1"/>
    <w:rsid w:val="000C307C"/>
    <w:rsid w:val="000C3D6A"/>
    <w:rsid w:val="000C40DE"/>
    <w:rsid w:val="000C5EC9"/>
    <w:rsid w:val="000C73F9"/>
    <w:rsid w:val="000C7888"/>
    <w:rsid w:val="000D0048"/>
    <w:rsid w:val="000D0E16"/>
    <w:rsid w:val="000D1E6F"/>
    <w:rsid w:val="000D23FA"/>
    <w:rsid w:val="000D294A"/>
    <w:rsid w:val="000D527C"/>
    <w:rsid w:val="000D5E0D"/>
    <w:rsid w:val="000D60F1"/>
    <w:rsid w:val="000E391B"/>
    <w:rsid w:val="000E5715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958"/>
    <w:rsid w:val="00132C5D"/>
    <w:rsid w:val="00133113"/>
    <w:rsid w:val="00135179"/>
    <w:rsid w:val="00136239"/>
    <w:rsid w:val="00136496"/>
    <w:rsid w:val="0013715D"/>
    <w:rsid w:val="00141958"/>
    <w:rsid w:val="001426D4"/>
    <w:rsid w:val="00142B20"/>
    <w:rsid w:val="00142DF2"/>
    <w:rsid w:val="00142F50"/>
    <w:rsid w:val="0014310C"/>
    <w:rsid w:val="001438B5"/>
    <w:rsid w:val="0014799E"/>
    <w:rsid w:val="00150663"/>
    <w:rsid w:val="00150A3B"/>
    <w:rsid w:val="00152A8E"/>
    <w:rsid w:val="00154431"/>
    <w:rsid w:val="0015479D"/>
    <w:rsid w:val="001602B2"/>
    <w:rsid w:val="00161097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B38"/>
    <w:rsid w:val="00175E90"/>
    <w:rsid w:val="0017758E"/>
    <w:rsid w:val="001779D8"/>
    <w:rsid w:val="00181211"/>
    <w:rsid w:val="001812A8"/>
    <w:rsid w:val="00182357"/>
    <w:rsid w:val="001838E8"/>
    <w:rsid w:val="001860BF"/>
    <w:rsid w:val="00191813"/>
    <w:rsid w:val="00191E36"/>
    <w:rsid w:val="001922E8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A780C"/>
    <w:rsid w:val="001A7B42"/>
    <w:rsid w:val="001B04DE"/>
    <w:rsid w:val="001B04FE"/>
    <w:rsid w:val="001B1266"/>
    <w:rsid w:val="001B2435"/>
    <w:rsid w:val="001B3741"/>
    <w:rsid w:val="001B48D4"/>
    <w:rsid w:val="001B4C35"/>
    <w:rsid w:val="001B592B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482F"/>
    <w:rsid w:val="001F6318"/>
    <w:rsid w:val="00200AAC"/>
    <w:rsid w:val="00204072"/>
    <w:rsid w:val="0020542E"/>
    <w:rsid w:val="00205D1A"/>
    <w:rsid w:val="0020789E"/>
    <w:rsid w:val="00207FC6"/>
    <w:rsid w:val="0021004C"/>
    <w:rsid w:val="00210306"/>
    <w:rsid w:val="0021071A"/>
    <w:rsid w:val="00210755"/>
    <w:rsid w:val="00211DE3"/>
    <w:rsid w:val="00213A90"/>
    <w:rsid w:val="00215860"/>
    <w:rsid w:val="00216661"/>
    <w:rsid w:val="00216F3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26BF6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5648B"/>
    <w:rsid w:val="00260716"/>
    <w:rsid w:val="00260ACA"/>
    <w:rsid w:val="002618C1"/>
    <w:rsid w:val="00261A11"/>
    <w:rsid w:val="00262234"/>
    <w:rsid w:val="00262B1C"/>
    <w:rsid w:val="00264B25"/>
    <w:rsid w:val="0027411F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84016"/>
    <w:rsid w:val="00284E94"/>
    <w:rsid w:val="00286CCE"/>
    <w:rsid w:val="00293FBE"/>
    <w:rsid w:val="002942D0"/>
    <w:rsid w:val="002976E7"/>
    <w:rsid w:val="00297875"/>
    <w:rsid w:val="002A0D81"/>
    <w:rsid w:val="002A25B0"/>
    <w:rsid w:val="002A2B28"/>
    <w:rsid w:val="002A40E2"/>
    <w:rsid w:val="002A458E"/>
    <w:rsid w:val="002A5FF4"/>
    <w:rsid w:val="002A6E04"/>
    <w:rsid w:val="002A77DC"/>
    <w:rsid w:val="002A7C1A"/>
    <w:rsid w:val="002B14CC"/>
    <w:rsid w:val="002B1775"/>
    <w:rsid w:val="002B2515"/>
    <w:rsid w:val="002B3261"/>
    <w:rsid w:val="002B3A44"/>
    <w:rsid w:val="002B4B98"/>
    <w:rsid w:val="002B5FD6"/>
    <w:rsid w:val="002B61B6"/>
    <w:rsid w:val="002C23F6"/>
    <w:rsid w:val="002C3D4F"/>
    <w:rsid w:val="002C4728"/>
    <w:rsid w:val="002C5973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365E"/>
    <w:rsid w:val="002F36C5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5671"/>
    <w:rsid w:val="0031759B"/>
    <w:rsid w:val="003201AE"/>
    <w:rsid w:val="0032041E"/>
    <w:rsid w:val="003229FA"/>
    <w:rsid w:val="00322BE1"/>
    <w:rsid w:val="00324FEB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067"/>
    <w:rsid w:val="00352F24"/>
    <w:rsid w:val="00352F88"/>
    <w:rsid w:val="003531A4"/>
    <w:rsid w:val="00353613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A37"/>
    <w:rsid w:val="00364F86"/>
    <w:rsid w:val="0036586D"/>
    <w:rsid w:val="00365D0F"/>
    <w:rsid w:val="00366173"/>
    <w:rsid w:val="00366F32"/>
    <w:rsid w:val="00367AD4"/>
    <w:rsid w:val="003739EC"/>
    <w:rsid w:val="00374F10"/>
    <w:rsid w:val="003756B4"/>
    <w:rsid w:val="003772A6"/>
    <w:rsid w:val="00381DAB"/>
    <w:rsid w:val="003830EC"/>
    <w:rsid w:val="00383A5B"/>
    <w:rsid w:val="00385529"/>
    <w:rsid w:val="00386498"/>
    <w:rsid w:val="003868E9"/>
    <w:rsid w:val="0039040D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0B89"/>
    <w:rsid w:val="003C21F4"/>
    <w:rsid w:val="003C34D1"/>
    <w:rsid w:val="003C486A"/>
    <w:rsid w:val="003C5EA5"/>
    <w:rsid w:val="003C6C0B"/>
    <w:rsid w:val="003C7533"/>
    <w:rsid w:val="003D3D98"/>
    <w:rsid w:val="003D4101"/>
    <w:rsid w:val="003D4323"/>
    <w:rsid w:val="003D524E"/>
    <w:rsid w:val="003D7BB3"/>
    <w:rsid w:val="003E0653"/>
    <w:rsid w:val="003E0868"/>
    <w:rsid w:val="003E44C3"/>
    <w:rsid w:val="003E4A3A"/>
    <w:rsid w:val="003E5199"/>
    <w:rsid w:val="003E5641"/>
    <w:rsid w:val="003E5FA6"/>
    <w:rsid w:val="003F0236"/>
    <w:rsid w:val="003F54F4"/>
    <w:rsid w:val="003F5784"/>
    <w:rsid w:val="00400AF3"/>
    <w:rsid w:val="0040195A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2394"/>
    <w:rsid w:val="00443919"/>
    <w:rsid w:val="00445085"/>
    <w:rsid w:val="0044597B"/>
    <w:rsid w:val="00446D2F"/>
    <w:rsid w:val="00446E8D"/>
    <w:rsid w:val="00447C83"/>
    <w:rsid w:val="004505CE"/>
    <w:rsid w:val="004538C4"/>
    <w:rsid w:val="00453B4B"/>
    <w:rsid w:val="00454182"/>
    <w:rsid w:val="004551BA"/>
    <w:rsid w:val="00455AB1"/>
    <w:rsid w:val="004567E7"/>
    <w:rsid w:val="00457A81"/>
    <w:rsid w:val="00461DFA"/>
    <w:rsid w:val="00462234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7769A"/>
    <w:rsid w:val="004800F1"/>
    <w:rsid w:val="004807D0"/>
    <w:rsid w:val="00482643"/>
    <w:rsid w:val="00482F02"/>
    <w:rsid w:val="004832C8"/>
    <w:rsid w:val="0048461E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03D4"/>
    <w:rsid w:val="004A096A"/>
    <w:rsid w:val="004A194E"/>
    <w:rsid w:val="004A2275"/>
    <w:rsid w:val="004A3D8E"/>
    <w:rsid w:val="004A4D59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4762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0BDD"/>
    <w:rsid w:val="004F2588"/>
    <w:rsid w:val="004F2F12"/>
    <w:rsid w:val="004F2FFB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0B0"/>
    <w:rsid w:val="00511F4B"/>
    <w:rsid w:val="00513875"/>
    <w:rsid w:val="005138A0"/>
    <w:rsid w:val="005144D0"/>
    <w:rsid w:val="00514C2C"/>
    <w:rsid w:val="005172F6"/>
    <w:rsid w:val="00521071"/>
    <w:rsid w:val="0052280D"/>
    <w:rsid w:val="00523DF9"/>
    <w:rsid w:val="0052487F"/>
    <w:rsid w:val="00525EB9"/>
    <w:rsid w:val="00526350"/>
    <w:rsid w:val="00531E1B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6052"/>
    <w:rsid w:val="00541B90"/>
    <w:rsid w:val="0054237C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433D"/>
    <w:rsid w:val="00574CE7"/>
    <w:rsid w:val="00575374"/>
    <w:rsid w:val="00576275"/>
    <w:rsid w:val="00577CC4"/>
    <w:rsid w:val="0058131E"/>
    <w:rsid w:val="005839CD"/>
    <w:rsid w:val="00584164"/>
    <w:rsid w:val="00584890"/>
    <w:rsid w:val="0058513E"/>
    <w:rsid w:val="0058533F"/>
    <w:rsid w:val="00585815"/>
    <w:rsid w:val="005860D7"/>
    <w:rsid w:val="0058647E"/>
    <w:rsid w:val="005872F0"/>
    <w:rsid w:val="0058748B"/>
    <w:rsid w:val="00591197"/>
    <w:rsid w:val="00591821"/>
    <w:rsid w:val="00591825"/>
    <w:rsid w:val="0059389D"/>
    <w:rsid w:val="0059401A"/>
    <w:rsid w:val="005943C0"/>
    <w:rsid w:val="00596544"/>
    <w:rsid w:val="0059655A"/>
    <w:rsid w:val="00597A51"/>
    <w:rsid w:val="00597C68"/>
    <w:rsid w:val="005A10D8"/>
    <w:rsid w:val="005A24DE"/>
    <w:rsid w:val="005A339F"/>
    <w:rsid w:val="005A37C4"/>
    <w:rsid w:val="005A4430"/>
    <w:rsid w:val="005A45D4"/>
    <w:rsid w:val="005A6FCD"/>
    <w:rsid w:val="005A7269"/>
    <w:rsid w:val="005A7599"/>
    <w:rsid w:val="005B0C4D"/>
    <w:rsid w:val="005B4239"/>
    <w:rsid w:val="005B45D0"/>
    <w:rsid w:val="005B4BFA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727E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5775"/>
    <w:rsid w:val="00607F57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99C"/>
    <w:rsid w:val="00623E08"/>
    <w:rsid w:val="006245FC"/>
    <w:rsid w:val="006247EE"/>
    <w:rsid w:val="00625D29"/>
    <w:rsid w:val="00625F82"/>
    <w:rsid w:val="00626393"/>
    <w:rsid w:val="00631B63"/>
    <w:rsid w:val="00633192"/>
    <w:rsid w:val="00633C3F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1D34"/>
    <w:rsid w:val="006539B2"/>
    <w:rsid w:val="006558B0"/>
    <w:rsid w:val="00655D8E"/>
    <w:rsid w:val="00655FCE"/>
    <w:rsid w:val="0065718D"/>
    <w:rsid w:val="00663243"/>
    <w:rsid w:val="0066425F"/>
    <w:rsid w:val="00664FA7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0D37"/>
    <w:rsid w:val="00681598"/>
    <w:rsid w:val="00682E75"/>
    <w:rsid w:val="006836EE"/>
    <w:rsid w:val="00683806"/>
    <w:rsid w:val="00683851"/>
    <w:rsid w:val="00686940"/>
    <w:rsid w:val="0069141F"/>
    <w:rsid w:val="00691598"/>
    <w:rsid w:val="00692430"/>
    <w:rsid w:val="006925EC"/>
    <w:rsid w:val="006938C3"/>
    <w:rsid w:val="00696685"/>
    <w:rsid w:val="006A0E45"/>
    <w:rsid w:val="006A2EB5"/>
    <w:rsid w:val="006A35C0"/>
    <w:rsid w:val="006A3C99"/>
    <w:rsid w:val="006A5D36"/>
    <w:rsid w:val="006A68D5"/>
    <w:rsid w:val="006A7751"/>
    <w:rsid w:val="006B10AF"/>
    <w:rsid w:val="006B1514"/>
    <w:rsid w:val="006B262A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4322"/>
    <w:rsid w:val="006D45DD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5BB7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2E09"/>
    <w:rsid w:val="00714D07"/>
    <w:rsid w:val="00716273"/>
    <w:rsid w:val="00716570"/>
    <w:rsid w:val="00723275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032"/>
    <w:rsid w:val="00737B7F"/>
    <w:rsid w:val="00740DCF"/>
    <w:rsid w:val="007419AC"/>
    <w:rsid w:val="00741A38"/>
    <w:rsid w:val="007422B5"/>
    <w:rsid w:val="00745374"/>
    <w:rsid w:val="00745B5F"/>
    <w:rsid w:val="00746804"/>
    <w:rsid w:val="0074681B"/>
    <w:rsid w:val="00746C08"/>
    <w:rsid w:val="00751C7B"/>
    <w:rsid w:val="00752AFF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C23"/>
    <w:rsid w:val="00766F24"/>
    <w:rsid w:val="00767ACD"/>
    <w:rsid w:val="00770B64"/>
    <w:rsid w:val="00772602"/>
    <w:rsid w:val="00772D38"/>
    <w:rsid w:val="00773450"/>
    <w:rsid w:val="0077349B"/>
    <w:rsid w:val="00773E32"/>
    <w:rsid w:val="00775381"/>
    <w:rsid w:val="00777B31"/>
    <w:rsid w:val="00780920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A77A6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229"/>
    <w:rsid w:val="007C347F"/>
    <w:rsid w:val="007C3549"/>
    <w:rsid w:val="007C4D51"/>
    <w:rsid w:val="007C5931"/>
    <w:rsid w:val="007C7ED3"/>
    <w:rsid w:val="007D1293"/>
    <w:rsid w:val="007D17D1"/>
    <w:rsid w:val="007D2303"/>
    <w:rsid w:val="007D2609"/>
    <w:rsid w:val="007D32CA"/>
    <w:rsid w:val="007D7C9D"/>
    <w:rsid w:val="007E07CF"/>
    <w:rsid w:val="007E1057"/>
    <w:rsid w:val="007E2934"/>
    <w:rsid w:val="007E2FD7"/>
    <w:rsid w:val="007E488D"/>
    <w:rsid w:val="007E4D86"/>
    <w:rsid w:val="007E5602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37BAC"/>
    <w:rsid w:val="00841B0C"/>
    <w:rsid w:val="00841D21"/>
    <w:rsid w:val="00842524"/>
    <w:rsid w:val="008430DC"/>
    <w:rsid w:val="00843501"/>
    <w:rsid w:val="008441CF"/>
    <w:rsid w:val="008441F7"/>
    <w:rsid w:val="008461DC"/>
    <w:rsid w:val="008465B2"/>
    <w:rsid w:val="00847685"/>
    <w:rsid w:val="00851B34"/>
    <w:rsid w:val="008572A7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D68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7638"/>
    <w:rsid w:val="008D7AE8"/>
    <w:rsid w:val="008E1A23"/>
    <w:rsid w:val="008E3415"/>
    <w:rsid w:val="008E44F2"/>
    <w:rsid w:val="008E59B6"/>
    <w:rsid w:val="008E7280"/>
    <w:rsid w:val="008E7A9E"/>
    <w:rsid w:val="008E7FDD"/>
    <w:rsid w:val="008F0987"/>
    <w:rsid w:val="008F2E40"/>
    <w:rsid w:val="008F69DB"/>
    <w:rsid w:val="00900482"/>
    <w:rsid w:val="00900552"/>
    <w:rsid w:val="00900BC1"/>
    <w:rsid w:val="00901210"/>
    <w:rsid w:val="00901F4E"/>
    <w:rsid w:val="00902E9F"/>
    <w:rsid w:val="0090357D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17E83"/>
    <w:rsid w:val="00920EF5"/>
    <w:rsid w:val="009223F8"/>
    <w:rsid w:val="009234CF"/>
    <w:rsid w:val="00923D9B"/>
    <w:rsid w:val="009240F8"/>
    <w:rsid w:val="009242A7"/>
    <w:rsid w:val="009248F3"/>
    <w:rsid w:val="00925E8A"/>
    <w:rsid w:val="009262C8"/>
    <w:rsid w:val="00935CCF"/>
    <w:rsid w:val="00935CFB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5C5B"/>
    <w:rsid w:val="00946BE1"/>
    <w:rsid w:val="00950520"/>
    <w:rsid w:val="00951C64"/>
    <w:rsid w:val="00952A18"/>
    <w:rsid w:val="00953916"/>
    <w:rsid w:val="009556CC"/>
    <w:rsid w:val="00957F12"/>
    <w:rsid w:val="00957F64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1223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A1777"/>
    <w:rsid w:val="009A23D2"/>
    <w:rsid w:val="009A27A4"/>
    <w:rsid w:val="009A5CED"/>
    <w:rsid w:val="009B5CF5"/>
    <w:rsid w:val="009B66EA"/>
    <w:rsid w:val="009B681D"/>
    <w:rsid w:val="009B6F95"/>
    <w:rsid w:val="009B709B"/>
    <w:rsid w:val="009C03D1"/>
    <w:rsid w:val="009C10AC"/>
    <w:rsid w:val="009C1D01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2E9D"/>
    <w:rsid w:val="009D47F5"/>
    <w:rsid w:val="009D4DC5"/>
    <w:rsid w:val="009D58AB"/>
    <w:rsid w:val="009D5CB8"/>
    <w:rsid w:val="009D62FF"/>
    <w:rsid w:val="009D79A3"/>
    <w:rsid w:val="009D7B7C"/>
    <w:rsid w:val="009E1C38"/>
    <w:rsid w:val="009E3D6C"/>
    <w:rsid w:val="009E4BE0"/>
    <w:rsid w:val="009E5164"/>
    <w:rsid w:val="009E5E9F"/>
    <w:rsid w:val="009E7AF7"/>
    <w:rsid w:val="009F0906"/>
    <w:rsid w:val="009F14A6"/>
    <w:rsid w:val="009F1EFD"/>
    <w:rsid w:val="009F335E"/>
    <w:rsid w:val="00A01874"/>
    <w:rsid w:val="00A01DC8"/>
    <w:rsid w:val="00A02140"/>
    <w:rsid w:val="00A03D8B"/>
    <w:rsid w:val="00A05843"/>
    <w:rsid w:val="00A100E2"/>
    <w:rsid w:val="00A106BF"/>
    <w:rsid w:val="00A11E9F"/>
    <w:rsid w:val="00A13CE0"/>
    <w:rsid w:val="00A151AA"/>
    <w:rsid w:val="00A16FC3"/>
    <w:rsid w:val="00A20BAF"/>
    <w:rsid w:val="00A21A2C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181"/>
    <w:rsid w:val="00A443C0"/>
    <w:rsid w:val="00A450B1"/>
    <w:rsid w:val="00A45916"/>
    <w:rsid w:val="00A465C1"/>
    <w:rsid w:val="00A474E9"/>
    <w:rsid w:val="00A52D3D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12D"/>
    <w:rsid w:val="00A717A0"/>
    <w:rsid w:val="00A71EF7"/>
    <w:rsid w:val="00A74DFF"/>
    <w:rsid w:val="00A760D4"/>
    <w:rsid w:val="00A76709"/>
    <w:rsid w:val="00A80B8B"/>
    <w:rsid w:val="00A824CD"/>
    <w:rsid w:val="00A82A8E"/>
    <w:rsid w:val="00A8328F"/>
    <w:rsid w:val="00A840BB"/>
    <w:rsid w:val="00A8417D"/>
    <w:rsid w:val="00A85461"/>
    <w:rsid w:val="00A85DB9"/>
    <w:rsid w:val="00A865C3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41C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2A5B"/>
    <w:rsid w:val="00AD5596"/>
    <w:rsid w:val="00AD7517"/>
    <w:rsid w:val="00AE18C7"/>
    <w:rsid w:val="00AE36AC"/>
    <w:rsid w:val="00AE3AB2"/>
    <w:rsid w:val="00AE56CA"/>
    <w:rsid w:val="00AF020A"/>
    <w:rsid w:val="00AF04EA"/>
    <w:rsid w:val="00AF121E"/>
    <w:rsid w:val="00AF1568"/>
    <w:rsid w:val="00AF3D81"/>
    <w:rsid w:val="00AF5357"/>
    <w:rsid w:val="00AF73F5"/>
    <w:rsid w:val="00B000B6"/>
    <w:rsid w:val="00B027F6"/>
    <w:rsid w:val="00B03D74"/>
    <w:rsid w:val="00B0404F"/>
    <w:rsid w:val="00B04ABA"/>
    <w:rsid w:val="00B053A9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900"/>
    <w:rsid w:val="00B270B7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7B8"/>
    <w:rsid w:val="00B53924"/>
    <w:rsid w:val="00B5394E"/>
    <w:rsid w:val="00B54D69"/>
    <w:rsid w:val="00B57CFF"/>
    <w:rsid w:val="00B60B04"/>
    <w:rsid w:val="00B61952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21F"/>
    <w:rsid w:val="00B753EA"/>
    <w:rsid w:val="00B755C7"/>
    <w:rsid w:val="00B75780"/>
    <w:rsid w:val="00B80DDC"/>
    <w:rsid w:val="00B81A4A"/>
    <w:rsid w:val="00B8244B"/>
    <w:rsid w:val="00B82D56"/>
    <w:rsid w:val="00B832BA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2F23"/>
    <w:rsid w:val="00BA4B62"/>
    <w:rsid w:val="00BA5192"/>
    <w:rsid w:val="00BB1428"/>
    <w:rsid w:val="00BB44A8"/>
    <w:rsid w:val="00BB67D2"/>
    <w:rsid w:val="00BB6B20"/>
    <w:rsid w:val="00BB6F09"/>
    <w:rsid w:val="00BB7527"/>
    <w:rsid w:val="00BC2739"/>
    <w:rsid w:val="00BC3365"/>
    <w:rsid w:val="00BC3BDD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E7FE6"/>
    <w:rsid w:val="00BF04E3"/>
    <w:rsid w:val="00BF0EA6"/>
    <w:rsid w:val="00BF17D0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07733"/>
    <w:rsid w:val="00C10DD5"/>
    <w:rsid w:val="00C12426"/>
    <w:rsid w:val="00C1372A"/>
    <w:rsid w:val="00C1533D"/>
    <w:rsid w:val="00C17053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278"/>
    <w:rsid w:val="00C474A4"/>
    <w:rsid w:val="00C47E90"/>
    <w:rsid w:val="00C510B7"/>
    <w:rsid w:val="00C51CAD"/>
    <w:rsid w:val="00C51FAD"/>
    <w:rsid w:val="00C52EB6"/>
    <w:rsid w:val="00C533FF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7712E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3487"/>
    <w:rsid w:val="00CA454C"/>
    <w:rsid w:val="00CA5CDD"/>
    <w:rsid w:val="00CA7405"/>
    <w:rsid w:val="00CA75A0"/>
    <w:rsid w:val="00CB01D0"/>
    <w:rsid w:val="00CB0504"/>
    <w:rsid w:val="00CB2ED6"/>
    <w:rsid w:val="00CB3033"/>
    <w:rsid w:val="00CB766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38FF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6980"/>
    <w:rsid w:val="00D179F9"/>
    <w:rsid w:val="00D21BC2"/>
    <w:rsid w:val="00D21F05"/>
    <w:rsid w:val="00D22989"/>
    <w:rsid w:val="00D23AA4"/>
    <w:rsid w:val="00D24203"/>
    <w:rsid w:val="00D24D3B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57CA1"/>
    <w:rsid w:val="00D625D9"/>
    <w:rsid w:val="00D63195"/>
    <w:rsid w:val="00D65028"/>
    <w:rsid w:val="00D65B10"/>
    <w:rsid w:val="00D70C45"/>
    <w:rsid w:val="00D7158B"/>
    <w:rsid w:val="00D75D0F"/>
    <w:rsid w:val="00D775E3"/>
    <w:rsid w:val="00D77C2C"/>
    <w:rsid w:val="00D80D60"/>
    <w:rsid w:val="00D8199B"/>
    <w:rsid w:val="00D821DE"/>
    <w:rsid w:val="00D84FD6"/>
    <w:rsid w:val="00D850A6"/>
    <w:rsid w:val="00D855F3"/>
    <w:rsid w:val="00D87337"/>
    <w:rsid w:val="00D91821"/>
    <w:rsid w:val="00D919B0"/>
    <w:rsid w:val="00D934BD"/>
    <w:rsid w:val="00D95C28"/>
    <w:rsid w:val="00D96695"/>
    <w:rsid w:val="00D97EE7"/>
    <w:rsid w:val="00DA24C1"/>
    <w:rsid w:val="00DA3288"/>
    <w:rsid w:val="00DA3536"/>
    <w:rsid w:val="00DA416B"/>
    <w:rsid w:val="00DA46C2"/>
    <w:rsid w:val="00DA5076"/>
    <w:rsid w:val="00DA7AB4"/>
    <w:rsid w:val="00DA7D54"/>
    <w:rsid w:val="00DB4EA5"/>
    <w:rsid w:val="00DC0F97"/>
    <w:rsid w:val="00DC127C"/>
    <w:rsid w:val="00DC1CDF"/>
    <w:rsid w:val="00DC3848"/>
    <w:rsid w:val="00DC5DB3"/>
    <w:rsid w:val="00DC6DE5"/>
    <w:rsid w:val="00DC7352"/>
    <w:rsid w:val="00DC791C"/>
    <w:rsid w:val="00DD0E76"/>
    <w:rsid w:val="00DD4515"/>
    <w:rsid w:val="00DD579E"/>
    <w:rsid w:val="00DD5B79"/>
    <w:rsid w:val="00DD7331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B37"/>
    <w:rsid w:val="00DF3D26"/>
    <w:rsid w:val="00DF69E7"/>
    <w:rsid w:val="00E01F18"/>
    <w:rsid w:val="00E04931"/>
    <w:rsid w:val="00E05411"/>
    <w:rsid w:val="00E0635D"/>
    <w:rsid w:val="00E07396"/>
    <w:rsid w:val="00E10CF7"/>
    <w:rsid w:val="00E12F96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2B7F"/>
    <w:rsid w:val="00E544D9"/>
    <w:rsid w:val="00E55763"/>
    <w:rsid w:val="00E602B0"/>
    <w:rsid w:val="00E618F5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5075"/>
    <w:rsid w:val="00E77AC5"/>
    <w:rsid w:val="00E80208"/>
    <w:rsid w:val="00E84911"/>
    <w:rsid w:val="00E85952"/>
    <w:rsid w:val="00E8735B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B20C6"/>
    <w:rsid w:val="00EB2D5D"/>
    <w:rsid w:val="00EB491E"/>
    <w:rsid w:val="00EB646D"/>
    <w:rsid w:val="00EB79A6"/>
    <w:rsid w:val="00EC1B4D"/>
    <w:rsid w:val="00EC2695"/>
    <w:rsid w:val="00EC73B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01C0"/>
    <w:rsid w:val="00EF04E5"/>
    <w:rsid w:val="00EF35AD"/>
    <w:rsid w:val="00EF494B"/>
    <w:rsid w:val="00EF4B77"/>
    <w:rsid w:val="00EF4E4D"/>
    <w:rsid w:val="00EF5994"/>
    <w:rsid w:val="00EF7901"/>
    <w:rsid w:val="00F00442"/>
    <w:rsid w:val="00F010DB"/>
    <w:rsid w:val="00F01AB2"/>
    <w:rsid w:val="00F033FC"/>
    <w:rsid w:val="00F05D39"/>
    <w:rsid w:val="00F06CB0"/>
    <w:rsid w:val="00F06D4C"/>
    <w:rsid w:val="00F07342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DFF"/>
    <w:rsid w:val="00F36B61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2FB0"/>
    <w:rsid w:val="00F57BA2"/>
    <w:rsid w:val="00F6177F"/>
    <w:rsid w:val="00F61AC3"/>
    <w:rsid w:val="00F61BD8"/>
    <w:rsid w:val="00F623D1"/>
    <w:rsid w:val="00F6464D"/>
    <w:rsid w:val="00F66D48"/>
    <w:rsid w:val="00F7403C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074C"/>
    <w:rsid w:val="00F907CB"/>
    <w:rsid w:val="00F91A1F"/>
    <w:rsid w:val="00F93360"/>
    <w:rsid w:val="00F934BE"/>
    <w:rsid w:val="00FA0A8C"/>
    <w:rsid w:val="00FA0F0C"/>
    <w:rsid w:val="00FA2362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4475"/>
    <w:rsid w:val="00FC6682"/>
    <w:rsid w:val="00FC6A53"/>
    <w:rsid w:val="00FC7E43"/>
    <w:rsid w:val="00FD02A1"/>
    <w:rsid w:val="00FD0B6A"/>
    <w:rsid w:val="00FD1AE0"/>
    <w:rsid w:val="00FD2A75"/>
    <w:rsid w:val="00FD3CF8"/>
    <w:rsid w:val="00FD64A9"/>
    <w:rsid w:val="00FD65DB"/>
    <w:rsid w:val="00FE25A0"/>
    <w:rsid w:val="00FE25C7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58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0C569623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7CB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324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324FEB"/>
    <w:rPr>
      <w:rFonts w:ascii="Arial" w:eastAsia="Times New Roman" w:hAnsi="Arial" w:cs="Arial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07F5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itulek0">
    <w:name w:val="titulek"/>
    <w:basedOn w:val="Titulek"/>
    <w:link w:val="titulekChar0"/>
    <w:qFormat/>
    <w:rsid w:val="004A03D4"/>
    <w:pPr>
      <w:keepNext/>
      <w:spacing w:before="120" w:after="60"/>
    </w:pPr>
    <w:rPr>
      <w:color w:val="auto"/>
    </w:rPr>
  </w:style>
  <w:style w:type="character" w:customStyle="1" w:styleId="TitulekChar">
    <w:name w:val="Titulek Char"/>
    <w:basedOn w:val="Standardnpsmoodstavce"/>
    <w:link w:val="Titulek"/>
    <w:uiPriority w:val="35"/>
    <w:rsid w:val="00443919"/>
    <w:rPr>
      <w:rFonts w:ascii="Arial" w:hAnsi="Arial" w:cs="Arial"/>
      <w:i/>
      <w:iCs/>
      <w:color w:val="1F497D" w:themeColor="text2"/>
      <w:sz w:val="18"/>
      <w:szCs w:val="18"/>
    </w:rPr>
  </w:style>
  <w:style w:type="character" w:customStyle="1" w:styleId="titulekChar0">
    <w:name w:val="titulek Char"/>
    <w:basedOn w:val="TitulekChar"/>
    <w:link w:val="titulek0"/>
    <w:rsid w:val="004A03D4"/>
    <w:rPr>
      <w:rFonts w:ascii="Arial" w:hAnsi="Arial" w:cs="Arial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5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BB13BB-C70C-42C5-AABB-E33DE919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2157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10</cp:revision>
  <cp:lastPrinted>2014-08-19T06:51:00Z</cp:lastPrinted>
  <dcterms:created xsi:type="dcterms:W3CDTF">2022-09-19T08:23:00Z</dcterms:created>
  <dcterms:modified xsi:type="dcterms:W3CDTF">2022-09-20T04:36:00Z</dcterms:modified>
</cp:coreProperties>
</file>