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87543F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A6920C0" w14:textId="77777777" w:rsidR="005B7275" w:rsidRPr="00533BED" w:rsidRDefault="005B7275" w:rsidP="005B727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0E1A4D61" w14:textId="77777777" w:rsidR="005B7275" w:rsidRPr="00A87553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22173DBC" w14:textId="77777777" w:rsidR="005B7275" w:rsidRPr="00A87553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70A81150" w14:textId="77777777" w:rsidR="005B7275" w:rsidRPr="00A87553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 xml:space="preserve">ode dne, kdy čl. </w:t>
      </w:r>
      <w:r w:rsidRPr="00E73360">
        <w:rPr>
          <w:rFonts w:ascii="Arial" w:hAnsi="Arial"/>
          <w:color w:val="FF0000"/>
          <w:sz w:val="24"/>
        </w:rPr>
        <w:t xml:space="preserve">I odst. </w:t>
      </w:r>
      <w:r w:rsidRPr="00A87553">
        <w:rPr>
          <w:rFonts w:ascii="Arial" w:hAnsi="Arial" w:cs="Arial"/>
          <w:color w:val="FF0000"/>
          <w:sz w:val="24"/>
          <w:szCs w:val="24"/>
        </w:rPr>
        <w:t>3 písm. b) nabude účinnosti.</w:t>
      </w:r>
    </w:p>
    <w:p w14:paraId="3C9258D0" w14:textId="7AAD16DB" w:rsidR="009A3DA5" w:rsidRPr="00435BD5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sz w:val="24"/>
        </w:rPr>
        <w:t xml:space="preserve"> </w:t>
      </w:r>
      <w:r w:rsidRPr="00E73360">
        <w:rPr>
          <w:rFonts w:ascii="Arial" w:hAnsi="Arial"/>
          <w:i/>
          <w:strike/>
          <w:color w:val="0000FF"/>
          <w:sz w:val="24"/>
        </w:rPr>
        <w:t>(specifikuje se podle dotačního programu/titulu)</w:t>
      </w:r>
      <w:r w:rsidRPr="00173E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3E0167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028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10.5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4158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CE0EE9" w:rsidRPr="003E0167" w:rsidDel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74435A1" w14:textId="77777777" w:rsidR="005B7275" w:rsidRPr="00E73360" w:rsidRDefault="005B7275" w:rsidP="005B7275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Příjemce je povinen použít poskytnutou dotaci nejpozději do ............….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0ECA59D4" w14:textId="77777777" w:rsidR="005B7275" w:rsidRPr="00533BED" w:rsidRDefault="005B7275" w:rsidP="005B7275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Příjemce je povinen použít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nejpozději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akce/činnosti v roce 2023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, druhou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4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a třetí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03E4C2B5" w14:textId="77777777" w:rsidR="005B7275" w:rsidRPr="003E0167" w:rsidRDefault="005B7275" w:rsidP="005B727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7A0E3F11" w:rsidR="009A3DA5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použít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</w:t>
      </w:r>
      <w:r w:rsidRPr="00E73360">
        <w:rPr>
          <w:rFonts w:ascii="Arial" w:hAnsi="Arial"/>
          <w:strike/>
          <w:sz w:val="24"/>
        </w:rPr>
        <w:t>dotaci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4C6DF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1. 1. 2023</w:t>
      </w:r>
      <w:r w:rsidRPr="00E73360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1DF2684C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797DD5C" w14:textId="096773A5" w:rsidR="005B7275" w:rsidRPr="003E0167" w:rsidRDefault="005B7275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 xml:space="preserve">Příjemce bere na vědomí, že celková výše podpor ze všech veřejných zdrojů, včetně podpor </w:t>
      </w:r>
      <w:r>
        <w:rPr>
          <w:rFonts w:ascii="Arial" w:hAnsi="Arial" w:cs="Arial"/>
          <w:i/>
          <w:iCs/>
          <w:color w:val="FF0000"/>
          <w:sz w:val="24"/>
          <w:szCs w:val="24"/>
        </w:rPr>
        <w:t>de minimis</w:t>
      </w:r>
      <w:r>
        <w:rPr>
          <w:rFonts w:ascii="Arial" w:hAnsi="Arial" w:cs="Arial"/>
          <w:color w:val="FF0000"/>
          <w:sz w:val="24"/>
          <w:szCs w:val="24"/>
        </w:rPr>
        <w:t>, poskytnutých na realizaci činnosti uvedené v čl. I. </w:t>
      </w:r>
      <w:r w:rsidRPr="00E73360">
        <w:rPr>
          <w:rFonts w:ascii="Arial" w:hAnsi="Arial"/>
          <w:color w:val="FF0000"/>
          <w:sz w:val="24"/>
        </w:rPr>
        <w:t>odst.</w:t>
      </w:r>
      <w:r>
        <w:rPr>
          <w:rFonts w:ascii="Arial" w:hAnsi="Arial" w:cs="Arial"/>
          <w:color w:val="FF0000"/>
          <w:sz w:val="24"/>
          <w:szCs w:val="24"/>
        </w:rPr>
        <w:t xml:space="preserve"> 2 této smlouvy nesmí přesáhnout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</w:t>
      </w:r>
      <w:r>
        <w:rPr>
          <w:rFonts w:ascii="Arial" w:hAnsi="Arial" w:cs="Arial"/>
          <w:color w:val="FF0000"/>
          <w:sz w:val="24"/>
          <w:szCs w:val="24"/>
        </w:rPr>
        <w:lastRenderedPageBreak/>
        <w:t>vydávání hudby a literatury) celkových skutečně vynaložených uznatelných výdajů.</w:t>
      </w:r>
    </w:p>
    <w:p w14:paraId="2A203FAD" w14:textId="07A2484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12EB93D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A561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761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10.17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3A89DC0" w14:textId="77777777" w:rsidR="005B7275" w:rsidRPr="003E0167" w:rsidRDefault="005B7275" w:rsidP="005B727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4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vyúčtování druhé části poskytnuté dotace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;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závěrečné vyúčtování poskytnuté dotace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651AF10F" w:rsidR="00A9730D" w:rsidRPr="003E0167" w:rsidRDefault="005B7275" w:rsidP="005B7275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a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B4604E" w:rsidRPr="00B460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04E" w:rsidRPr="00B460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1C29DE9D" w14:textId="77777777" w:rsidR="005B7275" w:rsidRPr="003E0167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3360">
        <w:rPr>
          <w:rFonts w:ascii="Arial" w:hAnsi="Arial"/>
          <w:strike/>
          <w:sz w:val="24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D4DF199" w14:textId="77777777" w:rsidR="005B7275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Průběžná </w:t>
      </w:r>
      <w:r w:rsidRPr="00E73360">
        <w:rPr>
          <w:rFonts w:ascii="Arial" w:hAnsi="Arial"/>
          <w:strike/>
          <w:sz w:val="24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0D5916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/</w:t>
      </w:r>
      <w:r w:rsidRPr="000D5916">
        <w:rPr>
          <w:rFonts w:ascii="Arial" w:eastAsia="Times New Roman" w:hAnsi="Arial" w:cs="Arial"/>
          <w:i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23A35C8" w14:textId="77777777" w:rsidR="005B7275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E2DD9CE" w14:textId="77777777" w:rsidR="005B7275" w:rsidRPr="003E0167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0726C632" w14:textId="10096465" w:rsidR="00A9730D" w:rsidRPr="00A9730D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To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bude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doplněno stručným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strukturovaným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přehledem financování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který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musí obsahovat vyčíslení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výše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veškerých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příjmů, výdajů, vlastních a jiných zdrojů a výš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čerpané dotace včetně  odvodů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vratek a penále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za uvedené období.</w:t>
      </w:r>
    </w:p>
    <w:p w14:paraId="758E3118" w14:textId="31B16D3B" w:rsidR="00A9730D" w:rsidRPr="005B727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EB83D02" w14:textId="4D6908AB" w:rsidR="005B7275" w:rsidRPr="00A9730D" w:rsidRDefault="005B7275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de minimis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ze všech veřejných zdrojů přesáhne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>
        <w:rPr>
          <w:rFonts w:ascii="Arial" w:hAnsi="Arial" w:cs="Arial"/>
          <w:color w:val="FF0000"/>
          <w:sz w:val="24"/>
          <w:szCs w:val="24"/>
        </w:rPr>
        <w:t xml:space="preserve">souhrn všech veřejných podpor, včetně podpor </w:t>
      </w:r>
      <w:r>
        <w:rPr>
          <w:rFonts w:ascii="Arial" w:hAnsi="Arial" w:cs="Arial"/>
          <w:i/>
          <w:color w:val="FF0000"/>
          <w:sz w:val="24"/>
          <w:szCs w:val="24"/>
        </w:rPr>
        <w:t>de minimis</w:t>
      </w:r>
      <w:r>
        <w:rPr>
          <w:rFonts w:ascii="Arial" w:hAnsi="Arial" w:cs="Arial"/>
          <w:color w:val="FF0000"/>
          <w:sz w:val="24"/>
          <w:szCs w:val="24"/>
        </w:rPr>
        <w:t xml:space="preserve">, v jakékoli formě poskytnutých ze všech veřejných zdrojů nepřesáhl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80 %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54EBC5B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5B7275" w:rsidRPr="003E0167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5B7275" w:rsidRPr="00040EE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/</w:t>
      </w:r>
      <w:r w:rsidR="005B7275" w:rsidRPr="00040EEC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="005B72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727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6B05099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</w:t>
      </w:r>
      <w:r w:rsidR="00832B91" w:rsidRPr="005B7275">
        <w:rPr>
          <w:rFonts w:ascii="Arial" w:eastAsia="Times New Roman" w:hAnsi="Arial" w:cs="Arial"/>
          <w:bCs/>
          <w:i/>
          <w:iCs/>
          <w:strike/>
          <w:color w:val="0000FF"/>
          <w:sz w:val="24"/>
          <w:szCs w:val="24"/>
          <w:lang w:eastAsia="cs-CZ"/>
        </w:rPr>
        <w:t>2-5</w:t>
      </w:r>
      <w:r w:rsidR="005B727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5B7275" w:rsidRPr="005B7275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>6-9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BEFBBC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D076A6C" w14:textId="77777777" w:rsidR="005B7275" w:rsidRPr="005162AF" w:rsidRDefault="005B7275" w:rsidP="005B7275">
      <w:pPr>
        <w:spacing w:after="120"/>
        <w:ind w:left="0" w:firstLine="0"/>
        <w:rPr>
          <w:rFonts w:ascii="Arial" w:eastAsia="Times New Roman" w:hAnsi="Arial" w:cs="Arial"/>
          <w:i/>
          <w:color w:val="FF0000"/>
          <w:sz w:val="28"/>
          <w:szCs w:val="24"/>
          <w:lang w:eastAsia="cs-CZ"/>
        </w:rPr>
      </w:pPr>
      <w:r>
        <w:rPr>
          <w:rFonts w:ascii="Arial" w:hAnsi="Arial" w:cs="Arial"/>
          <w:i/>
          <w:color w:val="FF0000"/>
          <w:sz w:val="24"/>
        </w:rPr>
        <w:t xml:space="preserve">Ustanovení 2-5 se ve smlouvě uvedou v případě, kdy </w:t>
      </w:r>
      <w:r>
        <w:rPr>
          <w:rFonts w:ascii="Arial" w:hAnsi="Arial" w:cs="Arial"/>
          <w:b/>
          <w:i/>
          <w:color w:val="FF0000"/>
          <w:sz w:val="24"/>
          <w:u w:val="single"/>
        </w:rPr>
        <w:t>bude veřejná podpora řešena dle GBER</w:t>
      </w:r>
      <w:r>
        <w:rPr>
          <w:rFonts w:ascii="Arial" w:hAnsi="Arial" w:cs="Arial"/>
          <w:i/>
          <w:color w:val="FF0000"/>
          <w:sz w:val="24"/>
        </w:rPr>
        <w:t>.</w:t>
      </w:r>
    </w:p>
    <w:p w14:paraId="208AA7A0" w14:textId="77777777" w:rsidR="005B7275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024D584E" w14:textId="77777777" w:rsidR="005B7275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subjektem, </w:t>
      </w:r>
      <w:r>
        <w:rPr>
          <w:rFonts w:ascii="Arial" w:hAnsi="Arial" w:cs="Arial"/>
          <w:color w:val="FF0000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6C415E22" w14:textId="77777777" w:rsidR="005B7275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 xml:space="preserve">Příjemce prohlašuje, že není podnikem v obtížích ve smyslu čl. 2 odst. 18 </w:t>
      </w:r>
      <w:r>
        <w:rPr>
          <w:rFonts w:ascii="Arial" w:hAnsi="Arial" w:cs="Arial"/>
          <w:color w:val="FF0000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77036CD3" w14:textId="22C5283B" w:rsidR="005B7275" w:rsidRPr="003E0167" w:rsidRDefault="005B7275" w:rsidP="005B727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Příjemce bere na vědomí, že dotaci dle této smlouvy není možné použít pro učely vydání novin a časopisů, ať již jsou zveřejňovány v tištěné nebo elektronické podobě.</w:t>
      </w:r>
    </w:p>
    <w:p w14:paraId="007AB9E3" w14:textId="75147A38" w:rsidR="004514E3" w:rsidRPr="003E0167" w:rsidRDefault="00F3568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D171C93" w:rsidR="00170EC7" w:rsidRPr="003E0167" w:rsidRDefault="005B727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B982089" w14:textId="77777777" w:rsidR="005B7275" w:rsidRPr="00E73360" w:rsidRDefault="005B7275" w:rsidP="005B7275">
      <w:pPr>
        <w:numPr>
          <w:ilvl w:val="0"/>
          <w:numId w:val="19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Tato smlouva nabývá platnosti a účinnosti dnem jejího uzavření.</w:t>
      </w:r>
    </w:p>
    <w:p w14:paraId="44CA65D0" w14:textId="6624DA45" w:rsidR="00B96E96" w:rsidRPr="003E0167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173EB5">
        <w:rPr>
          <w:rFonts w:ascii="Arial" w:hAnsi="Arial" w:cs="Arial"/>
          <w:color w:val="1F497D"/>
          <w:sz w:val="24"/>
          <w:szCs w:val="24"/>
          <w:lang w:eastAsia="cs-CZ"/>
        </w:rPr>
        <w:t>.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 Odlišně od předchozí věty smluvní strany sjednávají, že čl. I odst. 3 písm. b)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. 2023 a čl. I odst. 3 písm. c)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>. 2024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.</w:t>
      </w:r>
    </w:p>
    <w:p w14:paraId="49A08601" w14:textId="0EDEAE6A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6820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81B2E" w14:paraId="49A34995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8423" w14:textId="77777777" w:rsidR="00281B2E" w:rsidRDefault="00281B2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DBB3" w14:textId="77777777" w:rsidR="00281B2E" w:rsidRDefault="00281B2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68E726D" w:rsidR="009B0F59" w:rsidRDefault="009B0F59" w:rsidP="00281B2E">
      <w:pPr>
        <w:ind w:left="0" w:firstLine="0"/>
        <w:rPr>
          <w:rFonts w:ascii="Arial" w:hAnsi="Arial" w:cs="Arial"/>
          <w:bCs/>
        </w:rPr>
      </w:pPr>
    </w:p>
    <w:sectPr w:rsidR="009B0F59" w:rsidSect="00234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B253" w14:textId="77777777" w:rsidR="00184D8C" w:rsidRDefault="00184D8C" w:rsidP="00D40C40">
      <w:r>
        <w:separator/>
      </w:r>
    </w:p>
  </w:endnote>
  <w:endnote w:type="continuationSeparator" w:id="0">
    <w:p w14:paraId="726AD143" w14:textId="77777777" w:rsidR="00184D8C" w:rsidRDefault="00184D8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E754" w14:textId="77777777" w:rsidR="00234CB3" w:rsidRPr="00234CB3" w:rsidRDefault="00234CB3">
    <w:pPr>
      <w:pStyle w:val="Zpa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9A17" w14:textId="0E3CC50E" w:rsidR="00234CB3" w:rsidRPr="00234CB3" w:rsidRDefault="004C2B6C" w:rsidP="00234CB3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>. 09. 2022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</w:t>
    </w:r>
    <w:r w:rsid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Strana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39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F6B8C">
      <w:rPr>
        <w:rFonts w:ascii="Arial" w:eastAsia="Times New Roman" w:hAnsi="Arial" w:cs="Arial"/>
        <w:i/>
        <w:sz w:val="20"/>
        <w:szCs w:val="20"/>
        <w:lang w:eastAsia="cs-CZ"/>
      </w:rPr>
      <w:t>89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7A0D67C7" w14:textId="52C75304" w:rsidR="00234CB3" w:rsidRPr="00234CB3" w:rsidRDefault="004C2B6C" w:rsidP="00234CB3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bookmarkStart w:id="0" w:name="_GoBack"/>
    <w:bookmarkEnd w:id="0"/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34CB3" w:rsidRPr="00234CB3">
      <w:rPr>
        <w:rFonts w:ascii="Arial" w:hAnsi="Arial" w:cs="Arial"/>
        <w:bCs/>
        <w:i/>
        <w:sz w:val="20"/>
        <w:szCs w:val="20"/>
      </w:rPr>
      <w:t>–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234CB3" w:rsidRPr="00234CB3">
      <w:rPr>
        <w:rFonts w:ascii="Arial" w:hAnsi="Arial" w:cs="Arial"/>
        <w:bCs/>
        <w:i/>
        <w:sz w:val="20"/>
        <w:szCs w:val="20"/>
      </w:rPr>
      <w:t xml:space="preserve">– vyhlášení </w:t>
    </w:r>
  </w:p>
  <w:p w14:paraId="366BEF3E" w14:textId="0BCE04F3" w:rsidR="00BB7AD5" w:rsidRPr="00234CB3" w:rsidRDefault="00234CB3">
    <w:pPr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03 – Vzorová veřejnoprávní smlouva o poskytnutí dotace na akci právnickým osobám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CD689" w14:textId="77777777" w:rsidR="00184D8C" w:rsidRDefault="00184D8C" w:rsidP="00D40C40">
      <w:r>
        <w:separator/>
      </w:r>
    </w:p>
  </w:footnote>
  <w:footnote w:type="continuationSeparator" w:id="0">
    <w:p w14:paraId="4BB1E437" w14:textId="77777777" w:rsidR="00184D8C" w:rsidRDefault="00184D8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1882" w14:textId="77777777" w:rsidR="00234CB3" w:rsidRDefault="00234C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8D3A" w14:textId="77777777" w:rsidR="00234CB3" w:rsidRPr="00234CB3" w:rsidRDefault="00234CB3" w:rsidP="00234CB3">
    <w:pPr>
      <w:jc w:val="center"/>
      <w:rPr>
        <w:rFonts w:ascii="Arial" w:hAnsi="Arial" w:cs="Arial"/>
        <w:i/>
        <w:szCs w:val="20"/>
      </w:rPr>
    </w:pPr>
    <w:r w:rsidRPr="00234CB3">
      <w:rPr>
        <w:rFonts w:ascii="Arial" w:hAnsi="Arial" w:cs="Arial"/>
        <w:i/>
        <w:szCs w:val="20"/>
      </w:rPr>
      <w:t>Příloha č. 03 – Vzorová veřejnoprávní smlouva o poskytnutí dotace na akci právnickým osobám</w:t>
    </w:r>
  </w:p>
  <w:p w14:paraId="311C2378" w14:textId="77777777" w:rsidR="00234CB3" w:rsidRPr="00234CB3" w:rsidRDefault="00234CB3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AF5B" w14:textId="77777777" w:rsidR="00234CB3" w:rsidRDefault="00234C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  <w:num w:numId="4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4CB3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1B2E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B6C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27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B8C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68B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EB16-4DFE-449E-90E4-C4F3C973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4903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Novotný Oldřich</cp:lastModifiedBy>
  <cp:revision>7</cp:revision>
  <cp:lastPrinted>2019-08-21T08:37:00Z</cp:lastPrinted>
  <dcterms:created xsi:type="dcterms:W3CDTF">2022-09-14T07:08:00Z</dcterms:created>
  <dcterms:modified xsi:type="dcterms:W3CDTF">2022-09-16T05:52:00Z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