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87543F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EA3689C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B867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3519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3E0167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77777777" w:rsidR="00331482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028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10.5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3314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31482" w:rsidRPr="00B567C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CE0EE9" w:rsidRPr="003E0167" w:rsidDel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27997C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2001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EB7A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6ED5CDAD"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161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41613A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7A2484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12EB93D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A561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761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10.17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 xml:space="preserve">vyúčtování se všemi formálními náležitostmi, podána k poštovní přepravě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B4604E" w:rsidRPr="00B460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04E" w:rsidRPr="00B460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39498FFE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71D1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3E5D" w:rsidRP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C82AE0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943C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sociálních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sítí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271C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BE47CE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7100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="007100B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 režimu de minimis. V takovém případě se </w:t>
      </w:r>
      <w:r w:rsidR="003A03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vznikl spojením podniků, nabytím podniku nebo rozdělením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0EDEAE6A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6820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3018D1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75DA4A08" w14:textId="7F1F1FD3"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6368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4D287CB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3E0167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D14A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D14A4">
        <w:rPr>
          <w:rFonts w:ascii="Arial" w:hAnsi="Arial" w:cs="Arial"/>
          <w:sz w:val="24"/>
          <w:szCs w:val="24"/>
        </w:rPr>
        <w:t>10.</w:t>
      </w:r>
      <w:r w:rsidR="002D14A4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0B2E263" w:rsidR="00FE3DFD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1369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1369E0" w:rsidRPr="001369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CC0204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6B76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160B4124" w:rsidR="00FE3DFD" w:rsidRDefault="003420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Způsob doručení závěrečné zprávy by měl být ideálně stejný, jaký </w:t>
      </w:r>
      <w:r w:rsid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1F1E248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B669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8343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9F38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914A798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19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5ED7" w14:textId="77777777" w:rsidR="00A8558B" w:rsidRDefault="00A8558B" w:rsidP="00D40C40">
      <w:r>
        <w:separator/>
      </w:r>
    </w:p>
  </w:endnote>
  <w:endnote w:type="continuationSeparator" w:id="0">
    <w:p w14:paraId="54C32870" w14:textId="77777777" w:rsidR="00A8558B" w:rsidRDefault="00A855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3552" w14:textId="77777777" w:rsidR="004A1AF6" w:rsidRDefault="004A1A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47A8D778" w:rsidR="00E25DAD" w:rsidRPr="00E25DAD" w:rsidRDefault="004A1AF6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B810E3" w:rsidRPr="00B810E3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B810E3" w:rsidRPr="00B810E3">
          <w:rPr>
            <w:rFonts w:ascii="Arial" w:hAnsi="Arial" w:cs="Arial"/>
            <w:i/>
            <w:sz w:val="20"/>
            <w:szCs w:val="20"/>
          </w:rPr>
          <w:t>. 9. 202</w:t>
        </w:r>
        <w:r w:rsidR="00BC4DE3">
          <w:rPr>
            <w:rFonts w:ascii="Arial" w:hAnsi="Arial" w:cs="Arial"/>
            <w:i/>
            <w:sz w:val="20"/>
            <w:szCs w:val="20"/>
          </w:rPr>
          <w:t>2</w:t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567CA">
          <w:rPr>
            <w:rFonts w:ascii="Arial" w:hAnsi="Arial" w:cs="Arial"/>
            <w:i/>
            <w:noProof/>
            <w:sz w:val="20"/>
            <w:szCs w:val="20"/>
          </w:rPr>
          <w:t>4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567CA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81A793C" w14:textId="23C62AEA" w:rsidR="00207D9B" w:rsidRPr="00207D9B" w:rsidRDefault="004A1AF6" w:rsidP="00207D9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0F16AB" w:rsidRPr="000F16AB">
      <w:rPr>
        <w:rFonts w:ascii="Arial" w:eastAsia="Times New Roman" w:hAnsi="Arial" w:cs="Arial"/>
        <w:i/>
        <w:iCs/>
        <w:sz w:val="20"/>
        <w:szCs w:val="20"/>
        <w:lang w:eastAsia="cs-CZ"/>
      </w:rPr>
      <w:t>. Dotační programy Olomouckého kraje – doplňující dokumenty</w:t>
    </w:r>
  </w:p>
  <w:p w14:paraId="09EE3AC2" w14:textId="759FF4B8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0F16AB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é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ě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5/</w:t>
    </w:r>
  </w:p>
  <w:p w14:paraId="366BEF3E" w14:textId="77777777" w:rsidR="00BB7AD5" w:rsidRDefault="00BB7A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D474" w14:textId="77777777" w:rsidR="00A8558B" w:rsidRDefault="00A8558B" w:rsidP="00D40C40">
      <w:r>
        <w:separator/>
      </w:r>
    </w:p>
  </w:footnote>
  <w:footnote w:type="continuationSeparator" w:id="0">
    <w:p w14:paraId="6D968690" w14:textId="77777777" w:rsidR="00A8558B" w:rsidRDefault="00A855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CCB5" w14:textId="77777777" w:rsidR="004A1AF6" w:rsidRDefault="004A1A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E65" w14:textId="77777777" w:rsidR="004A1AF6" w:rsidRDefault="004A1A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E099" w14:textId="77777777" w:rsidR="004A1AF6" w:rsidRDefault="004A1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A809-C301-42CC-8A15-223F7835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4962</Words>
  <Characters>29279</Characters>
  <Application>Microsoft Office Word</Application>
  <DocSecurity>0</DocSecurity>
  <Lines>243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Obchodní firma/název právnické osoby</vt:lpstr>
      <vt:lpstr>Sídlo:	…………………………………………</vt:lpstr>
      <vt:lpstr>IČO:	………………</vt:lpstr>
      <vt:lpstr>DIČ:	……………… (uvede se, je-li příjemce plátcem DPH)</vt:lpstr>
      <vt:lpstr>Zastoupený:	…………………………………………… (označení osoby, která bude smlouvu podepisovat, t</vt:lpstr>
      <vt:lpstr>Údaj o zápisu ve veřejném nebo jiném rejstříku</vt:lpstr>
      <vt:lpstr>Bankovní spojení:	………………………………</vt:lpstr>
    </vt:vector>
  </TitlesOfParts>
  <Company>HP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4</cp:revision>
  <cp:lastPrinted>2019-08-21T08:37:00Z</cp:lastPrinted>
  <dcterms:created xsi:type="dcterms:W3CDTF">2022-09-06T10:23:00Z</dcterms:created>
  <dcterms:modified xsi:type="dcterms:W3CDTF">2022-09-07T10:33:00Z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