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67C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2467C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 w:rsidRPr="002467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 w:rsidRPr="002467C6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2467C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 w:rsidRPr="002467C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67C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6E38233" w14:textId="77777777" w:rsidR="00301068" w:rsidRPr="002467C6" w:rsidRDefault="00E62519" w:rsidP="003010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01068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Ing. et Ing. Martinem Šmídou, uvolněným členem Rady Olomouckého kraje, na základě usnesení Zastupitelstva Olomouckého </w:t>
      </w:r>
      <w:proofErr w:type="spellStart"/>
      <w:r w:rsidR="00301068" w:rsidRPr="002467C6">
        <w:rPr>
          <w:rFonts w:ascii="Arial" w:eastAsia="Times New Roman" w:hAnsi="Arial" w:cs="Arial"/>
          <w:sz w:val="24"/>
          <w:szCs w:val="24"/>
          <w:lang w:eastAsia="cs-CZ"/>
        </w:rPr>
        <w:t>kraječ</w:t>
      </w:r>
      <w:proofErr w:type="spellEnd"/>
      <w:r w:rsidR="00301068" w:rsidRPr="002467C6">
        <w:rPr>
          <w:rFonts w:ascii="Arial" w:eastAsia="Times New Roman" w:hAnsi="Arial" w:cs="Arial"/>
          <w:sz w:val="24"/>
          <w:szCs w:val="24"/>
          <w:lang w:eastAsia="cs-CZ"/>
        </w:rPr>
        <w:t>. UZ/…</w:t>
      </w:r>
      <w:proofErr w:type="gramStart"/>
      <w:r w:rsidR="00301068" w:rsidRPr="002467C6">
        <w:rPr>
          <w:rFonts w:ascii="Arial" w:eastAsia="Times New Roman" w:hAnsi="Arial" w:cs="Arial"/>
          <w:sz w:val="24"/>
          <w:szCs w:val="24"/>
          <w:lang w:eastAsia="cs-CZ"/>
        </w:rPr>
        <w:t>….. ze</w:t>
      </w:r>
      <w:proofErr w:type="gramEnd"/>
      <w:r w:rsidR="00301068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dne ……..</w:t>
      </w:r>
    </w:p>
    <w:p w14:paraId="4106DE5B" w14:textId="77777777" w:rsidR="00301068" w:rsidRPr="002467C6" w:rsidRDefault="00301068" w:rsidP="003010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pobočka Olomouc</w:t>
      </w:r>
    </w:p>
    <w:p w14:paraId="3F8D1E41" w14:textId="77777777" w:rsidR="00301068" w:rsidRPr="002467C6" w:rsidRDefault="00301068" w:rsidP="00301068">
      <w:pPr>
        <w:spacing w:after="12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Číslo účtu: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>27-4228330207/0100</w:t>
      </w:r>
    </w:p>
    <w:p w14:paraId="54559463" w14:textId="23CE6B3F" w:rsidR="00E62519" w:rsidRPr="002467C6" w:rsidRDefault="00301068" w:rsidP="003010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67C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67C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67C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467C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2AB8A3A" w14:textId="77777777" w:rsidR="00301068" w:rsidRPr="002467C6" w:rsidRDefault="00301068" w:rsidP="003010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Olšany u Prostějova</w:t>
      </w:r>
    </w:p>
    <w:p w14:paraId="59E29FA5" w14:textId="77777777" w:rsidR="00301068" w:rsidRPr="002467C6" w:rsidRDefault="00301068" w:rsidP="003010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Olšany u Prostějova </w:t>
      </w:r>
      <w:proofErr w:type="gramStart"/>
      <w:r w:rsidRPr="002467C6"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50, </w:t>
      </w:r>
      <w:r w:rsidRPr="002467C6">
        <w:rPr>
          <w:rFonts w:ascii="Arial" w:hAnsi="Arial" w:cs="Arial"/>
          <w:sz w:val="24"/>
          <w:szCs w:val="24"/>
        </w:rPr>
        <w:t>798 14 Olšany u Prostějova</w:t>
      </w:r>
    </w:p>
    <w:p w14:paraId="66136F34" w14:textId="77777777" w:rsidR="00301068" w:rsidRPr="002467C6" w:rsidRDefault="00301068" w:rsidP="003010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>00288560</w:t>
      </w:r>
    </w:p>
    <w:p w14:paraId="032F5F82" w14:textId="6215DA8B" w:rsidR="00301068" w:rsidRPr="002467C6" w:rsidRDefault="00301068" w:rsidP="003010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467C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467C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CZ00288560 </w:t>
      </w:r>
    </w:p>
    <w:p w14:paraId="56F83043" w14:textId="0C62669C" w:rsidR="00301068" w:rsidRPr="002467C6" w:rsidRDefault="00301068" w:rsidP="003010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RNDr. Milanem </w:t>
      </w:r>
      <w:proofErr w:type="spellStart"/>
      <w:r w:rsidRPr="002467C6">
        <w:rPr>
          <w:rFonts w:ascii="Arial" w:eastAsia="Times New Roman" w:hAnsi="Arial" w:cs="Arial"/>
          <w:sz w:val="24"/>
          <w:szCs w:val="24"/>
          <w:lang w:eastAsia="cs-CZ"/>
        </w:rPr>
        <w:t>Elfmarkem</w:t>
      </w:r>
      <w:proofErr w:type="spellEnd"/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, starostou obce </w:t>
      </w:r>
    </w:p>
    <w:p w14:paraId="0A604F9D" w14:textId="77777777" w:rsidR="00301068" w:rsidRPr="002467C6" w:rsidRDefault="00301068" w:rsidP="003010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</w:t>
      </w:r>
    </w:p>
    <w:p w14:paraId="2BDAE246" w14:textId="53F93C65" w:rsidR="00301068" w:rsidRPr="002467C6" w:rsidRDefault="00301068" w:rsidP="003010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Číslo účtu: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D269C" w:rsidRPr="008D269C">
        <w:rPr>
          <w:rFonts w:ascii="Arial" w:eastAsia="Times New Roman" w:hAnsi="Arial" w:cs="Arial"/>
          <w:sz w:val="24"/>
          <w:szCs w:val="24"/>
          <w:highlight w:val="black"/>
          <w:lang w:eastAsia="cs-CZ"/>
        </w:rPr>
        <w:t>XXXXXXXXXXXXXX</w:t>
      </w:r>
    </w:p>
    <w:p w14:paraId="3426E309" w14:textId="58B3A087" w:rsidR="00E62519" w:rsidRPr="002467C6" w:rsidRDefault="00794246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67C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67C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E62519" w:rsidRPr="002467C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467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B607195" w:rsidR="009A3DA5" w:rsidRPr="002467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F50B41">
        <w:rPr>
          <w:rFonts w:ascii="Arial" w:eastAsia="Times New Roman" w:hAnsi="Arial" w:cs="Arial"/>
          <w:sz w:val="24"/>
          <w:szCs w:val="24"/>
          <w:lang w:eastAsia="cs-CZ"/>
        </w:rPr>
        <w:t>3 051 987</w:t>
      </w:r>
      <w:r w:rsidR="00794246" w:rsidRPr="002467C6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794246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tři </w:t>
      </w:r>
      <w:proofErr w:type="spellStart"/>
      <w:r w:rsidR="00794246" w:rsidRPr="002467C6">
        <w:rPr>
          <w:rFonts w:ascii="Arial" w:eastAsia="Times New Roman" w:hAnsi="Arial" w:cs="Arial"/>
          <w:sz w:val="24"/>
          <w:szCs w:val="24"/>
          <w:lang w:eastAsia="cs-CZ"/>
        </w:rPr>
        <w:t>mi</w:t>
      </w:r>
      <w:r w:rsidR="00181DCF" w:rsidRPr="002467C6">
        <w:rPr>
          <w:rFonts w:ascii="Arial" w:eastAsia="Times New Roman" w:hAnsi="Arial" w:cs="Arial"/>
          <w:sz w:val="24"/>
          <w:szCs w:val="24"/>
          <w:lang w:eastAsia="cs-CZ"/>
        </w:rPr>
        <w:t>l</w:t>
      </w:r>
      <w:r w:rsidR="00794246" w:rsidRPr="002467C6">
        <w:rPr>
          <w:rFonts w:ascii="Arial" w:eastAsia="Times New Roman" w:hAnsi="Arial" w:cs="Arial"/>
          <w:sz w:val="24"/>
          <w:szCs w:val="24"/>
          <w:lang w:eastAsia="cs-CZ"/>
        </w:rPr>
        <w:t>ony</w:t>
      </w:r>
      <w:proofErr w:type="spellEnd"/>
      <w:r w:rsidR="00794246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0B41">
        <w:rPr>
          <w:rFonts w:ascii="Arial" w:eastAsia="Times New Roman" w:hAnsi="Arial" w:cs="Arial"/>
          <w:sz w:val="24"/>
          <w:szCs w:val="24"/>
          <w:lang w:eastAsia="cs-CZ"/>
        </w:rPr>
        <w:t xml:space="preserve">padesát jedna tisíc </w:t>
      </w:r>
      <w:proofErr w:type="spellStart"/>
      <w:r w:rsidR="00F50B41">
        <w:rPr>
          <w:rFonts w:ascii="Arial" w:eastAsia="Times New Roman" w:hAnsi="Arial" w:cs="Arial"/>
          <w:sz w:val="24"/>
          <w:szCs w:val="24"/>
          <w:lang w:eastAsia="cs-CZ"/>
        </w:rPr>
        <w:t>devětset</w:t>
      </w:r>
      <w:proofErr w:type="spellEnd"/>
      <w:r w:rsidR="00F50B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F50B41">
        <w:rPr>
          <w:rFonts w:ascii="Arial" w:eastAsia="Times New Roman" w:hAnsi="Arial" w:cs="Arial"/>
          <w:sz w:val="24"/>
          <w:szCs w:val="24"/>
          <w:lang w:eastAsia="cs-CZ"/>
        </w:rPr>
        <w:t>osumdesát</w:t>
      </w:r>
      <w:proofErr w:type="spellEnd"/>
      <w:r w:rsidR="00F50B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F50B41">
        <w:rPr>
          <w:rFonts w:ascii="Arial" w:eastAsia="Times New Roman" w:hAnsi="Arial" w:cs="Arial"/>
          <w:sz w:val="24"/>
          <w:szCs w:val="24"/>
          <w:lang w:eastAsia="cs-CZ"/>
        </w:rPr>
        <w:t>sedum</w:t>
      </w:r>
      <w:proofErr w:type="spellEnd"/>
      <w:r w:rsidR="00F50B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2467C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2467C6">
        <w:rPr>
          <w:rFonts w:ascii="Arial" w:hAnsi="Arial" w:cs="Arial"/>
          <w:sz w:val="24"/>
          <w:szCs w:val="24"/>
        </w:rPr>
        <w:t xml:space="preserve"> </w:t>
      </w:r>
      <w:r w:rsidR="000979C5" w:rsidRPr="002467C6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</w:t>
      </w:r>
      <w:r w:rsidR="0068032A" w:rsidRPr="002467C6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794246" w:rsidRPr="002467C6">
        <w:rPr>
          <w:rFonts w:ascii="Arial" w:eastAsia="Times New Roman" w:hAnsi="Arial" w:cs="Arial"/>
          <w:sz w:val="24"/>
          <w:szCs w:val="24"/>
          <w:lang w:eastAsia="cs-CZ"/>
        </w:rPr>
        <w:t>životního prostředí a zemědělství.</w:t>
      </w:r>
    </w:p>
    <w:p w14:paraId="3C9258CF" w14:textId="612216F8" w:rsidR="009A3DA5" w:rsidRPr="002467C6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</w:t>
      </w:r>
      <w:r w:rsidR="009A3DA5" w:rsidRPr="002467C6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2467C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A3DA5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2467C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4246" w:rsidRPr="002467C6">
        <w:rPr>
          <w:rFonts w:ascii="Arial" w:eastAsia="Times New Roman" w:hAnsi="Arial" w:cs="Arial"/>
          <w:sz w:val="24"/>
          <w:szCs w:val="24"/>
          <w:lang w:eastAsia="cs-CZ"/>
        </w:rPr>
        <w:t>realizaci akce „Olšany u Prostějova – sanační zásah“</w:t>
      </w:r>
      <w:r w:rsidR="009A3DA5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60701618" w:rsidR="009A3DA5" w:rsidRPr="002467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2467C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467C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467C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467C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467C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467C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467C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467C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467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1" w14:textId="6137F9E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85FF1C6" w14:textId="77777777" w:rsidR="005C3055" w:rsidRPr="00403137" w:rsidRDefault="005C3055" w:rsidP="009306C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5A3B2729" w14:textId="02A8EE79" w:rsidR="005C3055" w:rsidRPr="002467C6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2C342AD" w:rsidR="00001074" w:rsidRPr="002467C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9D6832" w:rsidRPr="002467C6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2467C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2467C6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2467C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2467C6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</w:t>
      </w:r>
      <w:r w:rsidR="0068032A" w:rsidRPr="002467C6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5616D5D" w14:textId="46C17514" w:rsidR="003918D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3918DB">
        <w:rPr>
          <w:rFonts w:ascii="Arial" w:eastAsia="Times New Roman" w:hAnsi="Arial" w:cs="Arial"/>
          <w:sz w:val="24"/>
          <w:szCs w:val="24"/>
          <w:lang w:eastAsia="cs-CZ"/>
        </w:rPr>
        <w:t xml:space="preserve">úhradu výdajů spojených s vybudováním </w:t>
      </w:r>
      <w:proofErr w:type="spellStart"/>
      <w:r w:rsidR="003918DB">
        <w:rPr>
          <w:rFonts w:ascii="Arial" w:eastAsia="Times New Roman" w:hAnsi="Arial" w:cs="Arial"/>
          <w:sz w:val="24"/>
          <w:szCs w:val="24"/>
          <w:lang w:eastAsia="cs-CZ"/>
        </w:rPr>
        <w:t>sanančních</w:t>
      </w:r>
      <w:proofErr w:type="spellEnd"/>
      <w:r w:rsidR="003918DB">
        <w:rPr>
          <w:rFonts w:ascii="Arial" w:eastAsia="Times New Roman" w:hAnsi="Arial" w:cs="Arial"/>
          <w:sz w:val="24"/>
          <w:szCs w:val="24"/>
          <w:lang w:eastAsia="cs-CZ"/>
        </w:rPr>
        <w:t xml:space="preserve"> a monitorovacích vrtů, aplikací syrovátky, technologickým a plošným monitoringem a vypracování</w:t>
      </w:r>
      <w:r w:rsidR="00F64517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3918DB">
        <w:rPr>
          <w:rFonts w:ascii="Arial" w:eastAsia="Times New Roman" w:hAnsi="Arial" w:cs="Arial"/>
          <w:sz w:val="24"/>
          <w:szCs w:val="24"/>
          <w:lang w:eastAsia="cs-CZ"/>
        </w:rPr>
        <w:t xml:space="preserve"> hodnotících zpráv.</w:t>
      </w:r>
    </w:p>
    <w:p w14:paraId="3C9258DA" w14:textId="40B4710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27A09D6" w14:textId="24546F54" w:rsidR="006A2109" w:rsidRPr="002467C6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2467C6">
        <w:rPr>
          <w:rFonts w:ascii="Arial" w:hAnsi="Arial" w:cs="Arial"/>
          <w:bCs/>
          <w:sz w:val="24"/>
          <w:szCs w:val="24"/>
          <w:lang w:eastAsia="cs-CZ"/>
        </w:rPr>
        <w:lastRenderedPageBreak/>
        <w:t>bankovní výpis. V případě, že příjemce dotace nepředloží tyto podklady, bude DPH neuznatelným výdajem čerpané dotace.</w:t>
      </w:r>
      <w:r w:rsidRPr="002467C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467C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5FC3ACED" w14:textId="7AF1FB19" w:rsidR="009D6832" w:rsidRPr="002467C6" w:rsidRDefault="009A3DA5" w:rsidP="009D6832">
      <w:pPr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9D6832" w:rsidRPr="002467C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CB7201B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 xml:space="preserve">jakýkoli výdaj, který zcela zřetelně nesouvisí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s realizací akce „Olšany u Prostějova - sanační zásah“,</w:t>
      </w:r>
    </w:p>
    <w:p w14:paraId="08576A27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 xml:space="preserve">zisk, daně, správní aj. poplatky, úvěry, úroky, směnky, </w:t>
      </w:r>
    </w:p>
    <w:p w14:paraId="1C901271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dary,</w:t>
      </w:r>
    </w:p>
    <w:p w14:paraId="5E203C56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odpisy hmotného i nehmotného majetku, akontace leasingu a leasingové splátky,</w:t>
      </w:r>
    </w:p>
    <w:p w14:paraId="15B78D6E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pořízení uměleckých děl a sbírek,</w:t>
      </w:r>
    </w:p>
    <w:p w14:paraId="3DB974CD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krytí půjček a úvěrů včetně úroků a poplatků s tím souvisejících,</w:t>
      </w:r>
    </w:p>
    <w:p w14:paraId="0EC2AD06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pořízení dlouhodobého a krátkodobého finančního majetku,</w:t>
      </w:r>
    </w:p>
    <w:p w14:paraId="5D747CC5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pokuty, úroky z prodlení, penále, manka a škody a jiné majetkové sankce,</w:t>
      </w:r>
    </w:p>
    <w:p w14:paraId="58E3773E" w14:textId="77777777" w:rsidR="009D6832" w:rsidRPr="002467C6" w:rsidRDefault="009D6832" w:rsidP="009D6832">
      <w:pPr>
        <w:numPr>
          <w:ilvl w:val="0"/>
          <w:numId w:val="44"/>
        </w:numPr>
        <w:tabs>
          <w:tab w:val="clear" w:pos="360"/>
        </w:tabs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vzájemný zápočet pohledávek,</w:t>
      </w:r>
    </w:p>
    <w:p w14:paraId="29627205" w14:textId="77777777" w:rsidR="009D6832" w:rsidRPr="002467C6" w:rsidRDefault="009D6832" w:rsidP="00C62F80">
      <w:pPr>
        <w:numPr>
          <w:ilvl w:val="0"/>
          <w:numId w:val="44"/>
        </w:numPr>
        <w:tabs>
          <w:tab w:val="clear" w:pos="360"/>
        </w:tabs>
        <w:spacing w:after="120"/>
        <w:ind w:left="993"/>
        <w:rPr>
          <w:rFonts w:ascii="Arial" w:hAnsi="Arial" w:cs="Arial"/>
          <w:sz w:val="24"/>
          <w:szCs w:val="24"/>
        </w:rPr>
      </w:pPr>
      <w:r w:rsidRPr="002467C6">
        <w:rPr>
          <w:rFonts w:ascii="Arial" w:hAnsi="Arial" w:cs="Arial"/>
          <w:sz w:val="24"/>
          <w:szCs w:val="24"/>
        </w:rPr>
        <w:t>a další platby obdobného charakteru.</w:t>
      </w:r>
    </w:p>
    <w:p w14:paraId="0A790AE0" w14:textId="77777777" w:rsidR="00F35336" w:rsidRPr="002467C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0A2D817" w14:textId="77777777" w:rsidR="00F35336" w:rsidRPr="002467C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Pr="002467C6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747C7C8B" w:rsidR="009A3DA5" w:rsidRPr="002467C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DE3060" w:rsidRPr="002467C6">
        <w:rPr>
          <w:rFonts w:ascii="Arial" w:eastAsia="Times New Roman" w:hAnsi="Arial" w:cs="Arial"/>
          <w:sz w:val="24"/>
          <w:szCs w:val="24"/>
          <w:lang w:eastAsia="cs-CZ"/>
        </w:rPr>
        <w:t>30. 04</w:t>
      </w:r>
      <w:r w:rsidR="009D6832" w:rsidRPr="002467C6">
        <w:rPr>
          <w:rFonts w:ascii="Arial" w:eastAsia="Times New Roman" w:hAnsi="Arial" w:cs="Arial"/>
          <w:sz w:val="24"/>
          <w:szCs w:val="24"/>
          <w:lang w:eastAsia="cs-CZ"/>
        </w:rPr>
        <w:t>. 2023.</w:t>
      </w:r>
    </w:p>
    <w:p w14:paraId="3C9258E6" w14:textId="598451BA" w:rsidR="009A3DA5" w:rsidRPr="002467C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D6832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01. 01. 2021</w:t>
      </w: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68E377FD" w14:textId="7CD34DD7" w:rsidR="00723ADD" w:rsidRPr="002467C6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197 587 969,76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sto devadesát </w:t>
      </w:r>
      <w:proofErr w:type="spellStart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sedum</w:t>
      </w:r>
      <w:proofErr w:type="spellEnd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milonů</w:t>
      </w:r>
      <w:proofErr w:type="spellEnd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pětset</w:t>
      </w:r>
      <w:proofErr w:type="spellEnd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osumdesát</w:t>
      </w:r>
      <w:proofErr w:type="spellEnd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sedum</w:t>
      </w:r>
      <w:proofErr w:type="spellEnd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tisíc </w:t>
      </w:r>
      <w:proofErr w:type="spellStart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devětset</w:t>
      </w:r>
      <w:proofErr w:type="spellEnd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šedesát devět korun </w:t>
      </w:r>
      <w:proofErr w:type="spellStart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sedumdesát</w:t>
      </w:r>
      <w:proofErr w:type="spellEnd"/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šest haléřů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českých). Příjemce je povinen na tento účel vynaložit nejméně </w:t>
      </w:r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>98,</w:t>
      </w:r>
      <w:r w:rsidR="00F50B41">
        <w:rPr>
          <w:rFonts w:ascii="Arial" w:eastAsia="Times New Roman" w:hAnsi="Arial" w:cs="Arial"/>
          <w:sz w:val="24"/>
          <w:szCs w:val="24"/>
          <w:lang w:eastAsia="cs-CZ"/>
        </w:rPr>
        <w:t>46</w:t>
      </w:r>
      <w:r w:rsidR="00287E8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2467C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287E8B" w:rsidRPr="002467C6">
        <w:rPr>
          <w:rFonts w:ascii="Arial" w:hAnsi="Arial" w:cs="Arial"/>
          <w:sz w:val="24"/>
          <w:szCs w:val="24"/>
        </w:rPr>
        <w:t>1,</w:t>
      </w:r>
      <w:r w:rsidR="00F50B41">
        <w:rPr>
          <w:rFonts w:ascii="Arial" w:hAnsi="Arial" w:cs="Arial"/>
          <w:sz w:val="24"/>
          <w:szCs w:val="24"/>
        </w:rPr>
        <w:t>54</w:t>
      </w:r>
      <w:r w:rsidRPr="002467C6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195AE262" w14:textId="140D51B8" w:rsidR="00BB45C0" w:rsidRPr="002467C6" w:rsidRDefault="00BB45C0" w:rsidP="00BB45C0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A57C01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DE3060" w:rsidRPr="002467C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DE3060" w:rsidRPr="002467C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57C01" w:rsidRPr="002467C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B8146" w14:textId="06FAF176" w:rsidR="00BB45C0" w:rsidRPr="002467C6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čl. I odst. 2 a 4 a čl. II odst. 1 této smlouvy v</w:t>
      </w:r>
      <w:r w:rsidR="00DE3060" w:rsidRPr="002467C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57C01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768A1E2D" w:rsidR="00E113D9" w:rsidRPr="00DE3060" w:rsidRDefault="00723ADD" w:rsidP="00E113D9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4DBCCA3" w:rsidR="00E113D9" w:rsidRPr="002467C6" w:rsidRDefault="009A3DA5" w:rsidP="00E113D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E3060" w:rsidRPr="002467C6">
        <w:rPr>
          <w:rFonts w:ascii="Arial" w:eastAsia="Times New Roman" w:hAnsi="Arial" w:cs="Arial"/>
          <w:sz w:val="24"/>
          <w:szCs w:val="24"/>
          <w:lang w:eastAsia="cs-CZ"/>
        </w:rPr>
        <w:t>31. 05. 2023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467C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0" w:name="_Hlk62642296"/>
      <w:r w:rsidR="0097614D" w:rsidRPr="002467C6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="00453D92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0"/>
      <w:r w:rsidR="00453D92" w:rsidRPr="002467C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bookmarkStart w:id="1" w:name="_Hlk62642338"/>
    </w:p>
    <w:bookmarkEnd w:id="1"/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32DE23C" w:rsidR="00A9730D" w:rsidRPr="00E113D9" w:rsidRDefault="00F32B92" w:rsidP="00E113D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, které tvoří </w:t>
      </w:r>
      <w:proofErr w:type="spellStart"/>
      <w:r w:rsidR="00217BC7">
        <w:rPr>
          <w:rFonts w:ascii="Arial" w:eastAsia="Times New Roman" w:hAnsi="Arial" w:cs="Arial"/>
          <w:sz w:val="24"/>
          <w:szCs w:val="24"/>
          <w:lang w:eastAsia="cs-CZ"/>
        </w:rPr>
        <w:t>přlohu</w:t>
      </w:r>
      <w:proofErr w:type="spellEnd"/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 Zásad.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E113D9">
        <w:rPr>
          <w:rFonts w:ascii="Arial" w:hAnsi="Arial" w:cs="Arial"/>
          <w:sz w:val="24"/>
          <w:szCs w:val="24"/>
        </w:rPr>
        <w:t>.</w:t>
      </w:r>
    </w:p>
    <w:p w14:paraId="2FDE39D2" w14:textId="6277A82B" w:rsidR="00822CBA" w:rsidRPr="006B6AF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E113D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3E7BCD10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E113D9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113D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E113D9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8FAC365" w14:textId="4A95687A" w:rsidR="00A9730D" w:rsidRPr="002467C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5936A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v elektronické podobě.</w:t>
      </w:r>
    </w:p>
    <w:p w14:paraId="0726C632" w14:textId="198B9FF3" w:rsidR="00A9730D" w:rsidRPr="002467C6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B6AF5" w:rsidRPr="002467C6">
        <w:rPr>
          <w:rFonts w:ascii="Arial" w:eastAsia="Times New Roman" w:hAnsi="Arial" w:cs="Arial"/>
          <w:sz w:val="24"/>
          <w:szCs w:val="24"/>
          <w:lang w:eastAsia="cs-CZ"/>
        </w:rPr>
        <w:t>popis průběhu realizace akce</w:t>
      </w:r>
      <w:r w:rsidR="002467C6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a dosažené výsledky </w:t>
      </w:r>
      <w:proofErr w:type="spellStart"/>
      <w:r w:rsidR="002467C6" w:rsidRPr="002467C6">
        <w:rPr>
          <w:rFonts w:ascii="Arial" w:eastAsia="Times New Roman" w:hAnsi="Arial" w:cs="Arial"/>
          <w:sz w:val="24"/>
          <w:szCs w:val="24"/>
          <w:lang w:eastAsia="cs-CZ"/>
        </w:rPr>
        <w:t>sanančních</w:t>
      </w:r>
      <w:proofErr w:type="spellEnd"/>
      <w:r w:rsidR="002467C6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prací včetně informace o dosažení snížení kontaminace o 25 % proti vstupním hodnotám při monitoringu v prvním roce sanace.</w:t>
      </w:r>
      <w:r w:rsidR="006B6AF5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6B6AF5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 užití jeho loga dl</w:t>
      </w:r>
      <w:r w:rsidR="00DA43B2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e čl. II odst. 10 této smlouvy</w:t>
      </w:r>
      <w:r w:rsidR="008A3F8C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bookmarkStart w:id="2" w:name="_Hlk62669607"/>
      <w:r w:rsidR="003806CF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3806CF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3806CF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bookmarkEnd w:id="2"/>
      <w:r w:rsidR="00E113D9" w:rsidRPr="002467C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58E3118" w14:textId="004F2347" w:rsidR="00A9730D" w:rsidRPr="00E276FE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276FE" w:rsidRPr="002467C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113D9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113D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3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3"/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467C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03375B9" w:rsidR="009A3DA5" w:rsidRPr="002467C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E276FE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 </w:t>
      </w:r>
      <w:r w:rsidR="00D40813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2467C6">
        <w:rPr>
          <w:rFonts w:ascii="Arial" w:hAnsi="Arial" w:cs="Arial"/>
          <w:sz w:val="24"/>
          <w:szCs w:val="24"/>
        </w:rPr>
        <w:t>Případný odvod či penále se hradí na účet poskytovatele č</w:t>
      </w:r>
      <w:r w:rsidR="00E276FE" w:rsidRPr="002467C6">
        <w:rPr>
          <w:rFonts w:ascii="Arial" w:hAnsi="Arial" w:cs="Arial"/>
          <w:sz w:val="24"/>
          <w:szCs w:val="24"/>
        </w:rPr>
        <w:t xml:space="preserve">. 27-4228320287/0100 </w:t>
      </w:r>
      <w:r w:rsidR="00D40813" w:rsidRPr="002467C6">
        <w:rPr>
          <w:rFonts w:ascii="Arial" w:hAnsi="Arial" w:cs="Arial"/>
          <w:sz w:val="24"/>
          <w:szCs w:val="24"/>
        </w:rPr>
        <w:t>na základě vystavené faktury.</w:t>
      </w:r>
      <w:r w:rsidR="00AE30DE" w:rsidRPr="002467C6">
        <w:rPr>
          <w:rFonts w:ascii="Arial" w:hAnsi="Arial" w:cs="Arial"/>
          <w:sz w:val="24"/>
          <w:szCs w:val="24"/>
        </w:rPr>
        <w:t xml:space="preserve"> </w:t>
      </w:r>
    </w:p>
    <w:p w14:paraId="3C925913" w14:textId="0550119F" w:rsidR="009A3DA5" w:rsidRPr="002467C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7265920" w:rsidR="00836AA2" w:rsidRPr="002467C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ED76CC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realizace akce </w:t>
      </w:r>
      <w:r w:rsidR="005936AB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2467C6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725B3A" w:rsidRPr="002467C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ED76CC" w:rsidRPr="002467C6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5936AB" w:rsidRPr="002467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467C6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2CC88396" w:rsidR="00AB1F32" w:rsidRPr="00C15621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</w:t>
      </w:r>
      <w:r w:rsidR="00C1562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ace z rozpočtu Olomouckého kraj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5770E86D" w14:textId="39D40CD9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71C068EF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B1609D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EBE9E8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4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4"/>
    <w:p w14:paraId="3148ABE8" w14:textId="44ACF55B" w:rsidR="00823917" w:rsidRDefault="00823917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279B3AD" w14:textId="77777777" w:rsidR="00FE3DFD" w:rsidRPr="00971D68" w:rsidRDefault="00FE3DFD" w:rsidP="00823917">
      <w:pPr>
        <w:jc w:val="center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sectPr w:rsidR="00FE3DFD" w:rsidRPr="00971D68" w:rsidSect="00793D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ADC5" w14:textId="77777777" w:rsidR="00785E49" w:rsidRDefault="00785E49" w:rsidP="00D40C40">
      <w:r>
        <w:separator/>
      </w:r>
    </w:p>
  </w:endnote>
  <w:endnote w:type="continuationSeparator" w:id="0">
    <w:p w14:paraId="66286749" w14:textId="77777777" w:rsidR="00785E49" w:rsidRDefault="00785E4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0B1E" w14:textId="77777777" w:rsidR="00793D4B" w:rsidRDefault="00793D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sdt>
    <w:sdtPr>
      <w:id w:val="-313253651"/>
      <w:docPartObj>
        <w:docPartGallery w:val="Page Numbers (Bottom of Page)"/>
        <w:docPartUnique/>
      </w:docPartObj>
    </w:sdtPr>
    <w:sdtEndPr/>
    <w:sdtContent>
      <w:p w14:paraId="2086FFED" w14:textId="280F3166" w:rsidR="005110AE" w:rsidRPr="006F372A" w:rsidRDefault="009849F0" w:rsidP="005110A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110AE" w:rsidRPr="006F372A">
          <w:rPr>
            <w:rFonts w:ascii="Arial" w:hAnsi="Arial" w:cs="Arial"/>
            <w:i/>
            <w:sz w:val="20"/>
            <w:szCs w:val="20"/>
          </w:rPr>
          <w:t xml:space="preserve"> Olomouckého </w:t>
        </w:r>
        <w:proofErr w:type="gramStart"/>
        <w:r w:rsidR="005110AE" w:rsidRPr="006F372A">
          <w:rPr>
            <w:rFonts w:ascii="Arial" w:hAnsi="Arial" w:cs="Arial"/>
            <w:i/>
            <w:sz w:val="20"/>
            <w:szCs w:val="20"/>
          </w:rPr>
          <w:t xml:space="preserve">kraje </w:t>
        </w:r>
        <w:r w:rsidR="005110AE" w:rsidRPr="005B66BC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5110AE">
          <w:rPr>
            <w:rFonts w:ascii="Arial" w:hAnsi="Arial" w:cs="Arial"/>
            <w:i/>
            <w:sz w:val="20"/>
            <w:szCs w:val="20"/>
          </w:rPr>
          <w:t>6</w:t>
        </w:r>
        <w:proofErr w:type="gramEnd"/>
        <w:r w:rsidR="005110AE">
          <w:rPr>
            <w:rFonts w:ascii="Arial" w:hAnsi="Arial" w:cs="Arial"/>
            <w:i/>
            <w:sz w:val="20"/>
            <w:szCs w:val="20"/>
          </w:rPr>
          <w:t>. 04. 2021</w:t>
        </w:r>
        <w:r w:rsidR="005110AE" w:rsidRPr="006F372A">
          <w:rPr>
            <w:rFonts w:ascii="Arial" w:hAnsi="Arial" w:cs="Arial"/>
            <w:i/>
            <w:sz w:val="20"/>
            <w:szCs w:val="20"/>
          </w:rPr>
          <w:tab/>
        </w:r>
        <w:r w:rsidR="005110AE" w:rsidRPr="006F372A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110AE" w:rsidRPr="006F372A">
          <w:rPr>
            <w:rFonts w:ascii="Arial" w:hAnsi="Arial" w:cs="Arial"/>
            <w:i/>
            <w:sz w:val="20"/>
            <w:szCs w:val="20"/>
          </w:rPr>
          <w:fldChar w:fldCharType="begin"/>
        </w:r>
        <w:r w:rsidR="005110AE" w:rsidRPr="006F372A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5110AE" w:rsidRPr="006F372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33C20">
          <w:rPr>
            <w:rFonts w:ascii="Arial" w:hAnsi="Arial" w:cs="Arial"/>
            <w:i/>
            <w:noProof/>
            <w:sz w:val="20"/>
            <w:szCs w:val="20"/>
          </w:rPr>
          <w:t>17</w:t>
        </w:r>
        <w:r w:rsidR="005110AE" w:rsidRPr="006F372A">
          <w:rPr>
            <w:rFonts w:ascii="Arial" w:hAnsi="Arial" w:cs="Arial"/>
            <w:i/>
            <w:sz w:val="20"/>
            <w:szCs w:val="20"/>
          </w:rPr>
          <w:fldChar w:fldCharType="end"/>
        </w:r>
        <w:r w:rsidR="005110AE" w:rsidRPr="006F372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793D4B">
          <w:rPr>
            <w:rFonts w:ascii="Arial" w:hAnsi="Arial" w:cs="Arial"/>
            <w:i/>
            <w:sz w:val="20"/>
            <w:szCs w:val="20"/>
          </w:rPr>
          <w:t>24</w:t>
        </w:r>
        <w:r w:rsidR="005110AE" w:rsidRPr="006F372A">
          <w:rPr>
            <w:rFonts w:ascii="Arial" w:hAnsi="Arial" w:cs="Arial"/>
            <w:i/>
            <w:sz w:val="20"/>
            <w:szCs w:val="20"/>
          </w:rPr>
          <w:t xml:space="preserve">) </w:t>
        </w:r>
      </w:p>
      <w:p w14:paraId="7614E61C" w14:textId="016B560C" w:rsidR="005110AE" w:rsidRPr="006F372A" w:rsidRDefault="005D59FF" w:rsidP="005110AE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>9.8</w:t>
        </w:r>
        <w:proofErr w:type="gramEnd"/>
        <w:r w:rsidR="005110AE" w:rsidRPr="006F372A">
          <w:rPr>
            <w:rFonts w:ascii="Arial" w:hAnsi="Arial" w:cs="Arial"/>
            <w:i/>
            <w:sz w:val="20"/>
            <w:szCs w:val="20"/>
          </w:rPr>
          <w:t>. – Žádosti o poskytnutí individuální dotace v oblasti životního prostředí a zemědělství</w:t>
        </w:r>
      </w:p>
      <w:p w14:paraId="1ACCB729" w14:textId="3075ED59" w:rsidR="005110AE" w:rsidRPr="006F372A" w:rsidRDefault="00F16A0F" w:rsidP="005110AE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</w:t>
        </w:r>
        <w:r w:rsidR="005110AE" w:rsidRPr="006F372A">
          <w:rPr>
            <w:rFonts w:ascii="Arial" w:hAnsi="Arial" w:cs="Arial"/>
            <w:i/>
            <w:sz w:val="20"/>
            <w:szCs w:val="20"/>
          </w:rPr>
          <w:t>říloha</w:t>
        </w:r>
        <w:proofErr w:type="spellEnd"/>
        <w:r w:rsidR="005110AE" w:rsidRPr="006F372A">
          <w:rPr>
            <w:rFonts w:ascii="Arial" w:hAnsi="Arial" w:cs="Arial"/>
            <w:i/>
            <w:sz w:val="20"/>
            <w:szCs w:val="20"/>
          </w:rPr>
          <w:t xml:space="preserve"> č.</w:t>
        </w:r>
        <w:r w:rsidR="005110AE">
          <w:rPr>
            <w:rFonts w:ascii="Arial" w:hAnsi="Arial" w:cs="Arial"/>
            <w:i/>
            <w:sz w:val="20"/>
            <w:szCs w:val="20"/>
          </w:rPr>
          <w:t xml:space="preserve"> </w:t>
        </w:r>
        <w:proofErr w:type="gramStart"/>
        <w:r>
          <w:rPr>
            <w:rFonts w:ascii="Arial" w:hAnsi="Arial" w:cs="Arial"/>
            <w:i/>
            <w:sz w:val="20"/>
            <w:szCs w:val="20"/>
          </w:rPr>
          <w:t>02</w:t>
        </w:r>
        <w:r w:rsidR="005110AE">
          <w:rPr>
            <w:rFonts w:ascii="Arial" w:hAnsi="Arial" w:cs="Arial"/>
            <w:i/>
            <w:sz w:val="20"/>
            <w:szCs w:val="20"/>
          </w:rPr>
          <w:t xml:space="preserve"> </w:t>
        </w:r>
        <w:r w:rsidR="005110AE" w:rsidRPr="006F372A">
          <w:rPr>
            <w:rFonts w:ascii="Arial" w:hAnsi="Arial" w:cs="Arial"/>
            <w:i/>
            <w:sz w:val="20"/>
            <w:szCs w:val="20"/>
          </w:rPr>
          <w:t xml:space="preserve"> – Veřejnoprávní</w:t>
        </w:r>
        <w:proofErr w:type="gramEnd"/>
        <w:r w:rsidR="005110AE" w:rsidRPr="006F372A">
          <w:rPr>
            <w:rFonts w:ascii="Arial" w:hAnsi="Arial" w:cs="Arial"/>
            <w:i/>
            <w:sz w:val="20"/>
            <w:szCs w:val="20"/>
          </w:rPr>
          <w:t xml:space="preserve"> smlouva o poskytnutí dotace</w:t>
        </w:r>
        <w:r w:rsidR="005110AE">
          <w:rPr>
            <w:rFonts w:ascii="Arial" w:hAnsi="Arial" w:cs="Arial"/>
            <w:i/>
            <w:sz w:val="20"/>
            <w:szCs w:val="20"/>
          </w:rPr>
          <w:t xml:space="preserve"> obci Olšany u Prostějova</w:t>
        </w:r>
      </w:p>
      <w:p w14:paraId="3A9B6474" w14:textId="77777777" w:rsidR="005110AE" w:rsidRPr="00BD19E1" w:rsidRDefault="005110AE" w:rsidP="005110AE">
        <w:pPr>
          <w:pStyle w:val="Zpat"/>
          <w:ind w:left="0" w:firstLine="0"/>
        </w:pPr>
      </w:p>
      <w:p w14:paraId="37BA5330" w14:textId="7EF33492" w:rsidR="00D20B9A" w:rsidRPr="00BD19E1" w:rsidRDefault="00033C20" w:rsidP="005110AE">
        <w:pPr>
          <w:pStyle w:val="Zpat"/>
          <w:ind w:left="0" w:firstLine="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16BA" w14:textId="77777777" w:rsidR="00785E49" w:rsidRDefault="00785E49" w:rsidP="00D40C40">
      <w:r>
        <w:separator/>
      </w:r>
    </w:p>
  </w:footnote>
  <w:footnote w:type="continuationSeparator" w:id="0">
    <w:p w14:paraId="2C4C01A7" w14:textId="77777777" w:rsidR="00785E49" w:rsidRDefault="00785E4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D34D" w14:textId="77777777" w:rsidR="00793D4B" w:rsidRDefault="00793D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DE400" w14:textId="468F092B" w:rsidR="005110AE" w:rsidRPr="00033C20" w:rsidRDefault="00033C20" w:rsidP="00033C20">
    <w:pPr>
      <w:pStyle w:val="Zhlav"/>
      <w:rPr>
        <w:sz w:val="24"/>
        <w:szCs w:val="24"/>
      </w:rPr>
    </w:pPr>
    <w:proofErr w:type="spellStart"/>
    <w:r w:rsidRPr="00033C20">
      <w:rPr>
        <w:rFonts w:ascii="Arial" w:hAnsi="Arial" w:cs="Arial"/>
        <w:i/>
        <w:sz w:val="24"/>
        <w:szCs w:val="24"/>
      </w:rPr>
      <w:t>Usnesení_příloha</w:t>
    </w:r>
    <w:proofErr w:type="spellEnd"/>
    <w:r w:rsidRPr="00033C20">
      <w:rPr>
        <w:rFonts w:ascii="Arial" w:hAnsi="Arial" w:cs="Arial"/>
        <w:i/>
        <w:sz w:val="24"/>
        <w:szCs w:val="24"/>
      </w:rPr>
      <w:t xml:space="preserve"> č. 02  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3360" w14:textId="77777777" w:rsidR="00793D4B" w:rsidRDefault="00793D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3526A"/>
    <w:multiLevelType w:val="hybridMultilevel"/>
    <w:tmpl w:val="F7E0F730"/>
    <w:lvl w:ilvl="0" w:tplc="B824AF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3C20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1DCF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7C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87E8B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300065"/>
    <w:rsid w:val="00300EB6"/>
    <w:rsid w:val="00301068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44C1"/>
    <w:rsid w:val="0033568D"/>
    <w:rsid w:val="00337CC7"/>
    <w:rsid w:val="003407BA"/>
    <w:rsid w:val="00341770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18DB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0AE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36AB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9FF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6AF5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490"/>
    <w:rsid w:val="00790A32"/>
    <w:rsid w:val="00792A59"/>
    <w:rsid w:val="00792EE9"/>
    <w:rsid w:val="007939A6"/>
    <w:rsid w:val="00793D4B"/>
    <w:rsid w:val="0079424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269C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1D68"/>
    <w:rsid w:val="0097294A"/>
    <w:rsid w:val="009756F0"/>
    <w:rsid w:val="0097614D"/>
    <w:rsid w:val="00976473"/>
    <w:rsid w:val="00977C65"/>
    <w:rsid w:val="00977E31"/>
    <w:rsid w:val="009801E3"/>
    <w:rsid w:val="009821FA"/>
    <w:rsid w:val="009849F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6832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57C01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621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2F80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060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13D9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276FE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CC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6A0F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B41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51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DAA9-F17B-446D-9421-C47B3777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2527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19</cp:revision>
  <cp:lastPrinted>2021-01-28T09:49:00Z</cp:lastPrinted>
  <dcterms:created xsi:type="dcterms:W3CDTF">2021-03-29T09:09:00Z</dcterms:created>
  <dcterms:modified xsi:type="dcterms:W3CDTF">2021-04-07T06:53:00Z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