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D171DB" w:rsidRDefault="00D171DB" w:rsidP="00D171DB">
      <w:pPr>
        <w:pStyle w:val="Zkladntextodsazendek"/>
        <w:spacing w:after="0"/>
        <w:ind w:left="0"/>
      </w:pPr>
      <w:r>
        <w:t xml:space="preserve">Zastupitelstvo Olomouckého kraje svým usnesením </w:t>
      </w:r>
      <w:r w:rsidRPr="0053593C">
        <w:t>UZ/</w:t>
      </w:r>
      <w:r>
        <w:t>4</w:t>
      </w:r>
      <w:r w:rsidRPr="0053593C">
        <w:t>/</w:t>
      </w:r>
      <w:r>
        <w:t>62</w:t>
      </w:r>
      <w:r w:rsidRPr="0053593C">
        <w:t>/201</w:t>
      </w:r>
      <w:r>
        <w:t>7</w:t>
      </w:r>
      <w:r w:rsidRPr="0053593C">
        <w:t xml:space="preserve"> ze dne 2</w:t>
      </w:r>
      <w:r>
        <w:t>4</w:t>
      </w:r>
      <w:r w:rsidRPr="0053593C">
        <w:t>.</w:t>
      </w:r>
      <w:r>
        <w:t xml:space="preserve"> 4</w:t>
      </w:r>
      <w:r w:rsidRPr="0053593C">
        <w:t>.</w:t>
      </w:r>
      <w:r>
        <w:t xml:space="preserve"> </w:t>
      </w:r>
      <w:r w:rsidRPr="0053593C">
        <w:t>201</w:t>
      </w:r>
      <w:r>
        <w:t>7 schválilo smlouvu o revolvingovém úvěru s Komerční bankou, a.s. ve výši 600 mil. Kč Zároveň zmocnilo Radu Olomouckého kraje ke schvalování dílčích čerpání a splácení revolvingového úvěru pro předfinancování</w:t>
      </w:r>
      <w:r w:rsidRPr="003A35DC">
        <w:t xml:space="preserve"> investičních projektů Olomouckého kraje podporovaných</w:t>
      </w:r>
      <w:r>
        <w:t xml:space="preserve"> </w:t>
      </w:r>
      <w:r w:rsidRPr="003A35DC">
        <w:t>z EU fondů.</w:t>
      </w:r>
    </w:p>
    <w:p w:rsidR="00CA02E2" w:rsidRDefault="00CA02E2" w:rsidP="00D171DB">
      <w:pPr>
        <w:pStyle w:val="Zkladntextodsazendek"/>
        <w:spacing w:after="0"/>
        <w:ind w:left="0"/>
      </w:pPr>
    </w:p>
    <w:p w:rsidR="000E4423" w:rsidRDefault="000E4423" w:rsidP="000E4423">
      <w:pPr>
        <w:pStyle w:val="Zkladntextodsazendek"/>
        <w:spacing w:after="0"/>
        <w:ind w:left="0"/>
        <w:rPr>
          <w:u w:val="single"/>
        </w:rPr>
      </w:pPr>
      <w:r>
        <w:rPr>
          <w:u w:val="single"/>
        </w:rPr>
        <w:t>4</w:t>
      </w:r>
      <w:r w:rsidR="00F4216E">
        <w:rPr>
          <w:u w:val="single"/>
        </w:rPr>
        <w:t>5</w:t>
      </w:r>
      <w:r>
        <w:rPr>
          <w:u w:val="single"/>
        </w:rPr>
        <w:t>. splátka</w:t>
      </w:r>
    </w:p>
    <w:p w:rsidR="00F4216E" w:rsidRDefault="00F4216E" w:rsidP="00FF2F8A">
      <w:pPr>
        <w:pStyle w:val="Zkladntextodsazendek"/>
        <w:numPr>
          <w:ilvl w:val="0"/>
          <w:numId w:val="8"/>
        </w:numPr>
        <w:spacing w:after="0"/>
      </w:pPr>
      <w:r w:rsidRPr="006420E6">
        <w:rPr>
          <w:b/>
        </w:rPr>
        <w:t xml:space="preserve">SŠ, ZŠ a MŠ Prostějov, Komenského 10 - Bezbariérové užívání objektu ZŠ </w:t>
      </w:r>
      <w:r>
        <w:t xml:space="preserve">ve výši 4 406 197,13 Kč. </w:t>
      </w:r>
      <w:r w:rsidRPr="00CA02E2">
        <w:t>Celá částka připadá na splátku revolvingového úvěru.</w:t>
      </w:r>
    </w:p>
    <w:p w:rsidR="00FF2F8A" w:rsidRDefault="00FF2F8A" w:rsidP="00FF2F8A">
      <w:pPr>
        <w:pStyle w:val="Zkladntextodsazendek"/>
        <w:spacing w:after="0"/>
        <w:ind w:left="0"/>
        <w:rPr>
          <w:u w:val="single"/>
        </w:rPr>
      </w:pPr>
    </w:p>
    <w:p w:rsidR="00FF2F8A" w:rsidRDefault="00FF2F8A" w:rsidP="00FF2F8A">
      <w:pPr>
        <w:pStyle w:val="Zkladntextodsazendek"/>
        <w:spacing w:after="0"/>
        <w:ind w:left="0"/>
        <w:rPr>
          <w:u w:val="single"/>
        </w:rPr>
      </w:pPr>
      <w:r>
        <w:rPr>
          <w:u w:val="single"/>
        </w:rPr>
        <w:t>46. splátka</w:t>
      </w:r>
    </w:p>
    <w:p w:rsidR="00FF2F8A" w:rsidRDefault="00FF2F8A" w:rsidP="00FF2F8A">
      <w:pPr>
        <w:pStyle w:val="Zkladntextodsazendek"/>
        <w:numPr>
          <w:ilvl w:val="0"/>
          <w:numId w:val="9"/>
        </w:numPr>
        <w:spacing w:after="0"/>
      </w:pPr>
      <w:r w:rsidRPr="00F710A4">
        <w:rPr>
          <w:b/>
        </w:rPr>
        <w:t>II/366 Prostějov - přeložka silnice</w:t>
      </w:r>
      <w:r w:rsidRPr="006420E6">
        <w:rPr>
          <w:b/>
        </w:rPr>
        <w:t xml:space="preserve"> </w:t>
      </w:r>
      <w:r>
        <w:t xml:space="preserve">ve výši 34 249 382,41 Kč. U projektu </w:t>
      </w:r>
      <w:r w:rsidRPr="00F710A4">
        <w:t>II/366 Prostějov - přeložka silnice</w:t>
      </w:r>
      <w:r>
        <w:t xml:space="preserve"> byl již revolvingový úvěr splacen mimořádnou splátku z vlastních zdrojů v prosinci roku 2020. Přijatá dotace </w:t>
      </w:r>
      <w:r w:rsidR="00B370FC">
        <w:t>byla</w:t>
      </w:r>
      <w:r>
        <w:t xml:space="preserve"> použita na splátku revolvingového úvěru u projektů </w:t>
      </w:r>
      <w:r w:rsidRPr="00F710A4">
        <w:t>Přeshraniční dostupnost Hanušovice - Stronie Ślaskie</w:t>
      </w:r>
      <w:r>
        <w:t xml:space="preserve"> ve výši 23 869 265,24 Kč, </w:t>
      </w:r>
      <w:r w:rsidRPr="003A7EA0">
        <w:t>Transformace příspěvkové organizace Nové Zámky - III. etapa</w:t>
      </w:r>
      <w:r>
        <w:t xml:space="preserve"> ve výši 9 414 969,14 Kč a </w:t>
      </w:r>
      <w:r w:rsidRPr="003A7EA0">
        <w:t>Pořízení strojního vybavení a zajištění bezbariérovosti na OU a PrŠ Lipová-lázně</w:t>
      </w:r>
      <w:r>
        <w:t xml:space="preserve"> ve výši 965 148,03 Kč.</w:t>
      </w:r>
      <w:r w:rsidRPr="002B1FD9">
        <w:rPr>
          <w:color w:val="FF0000"/>
        </w:rPr>
        <w:t xml:space="preserve"> </w:t>
      </w:r>
      <w:r w:rsidRPr="001E3E5A">
        <w:t>Na tyto projekty byl v loňském roce čerpán revolvingový úvěr, ale dotace na tyto projekty dosud poskytnuta nebyla.</w:t>
      </w:r>
    </w:p>
    <w:p w:rsidR="00FF2F8A" w:rsidRDefault="00FF2F8A" w:rsidP="00FF2F8A">
      <w:pPr>
        <w:pStyle w:val="Zkladntextodsazendek"/>
        <w:spacing w:after="0"/>
      </w:pPr>
    </w:p>
    <w:p w:rsidR="00FF2F8A" w:rsidRDefault="00FF2F8A" w:rsidP="00FF2F8A">
      <w:pPr>
        <w:pStyle w:val="Zkladntextodsazendek"/>
        <w:numPr>
          <w:ilvl w:val="0"/>
          <w:numId w:val="9"/>
        </w:numPr>
        <w:spacing w:after="0"/>
      </w:pPr>
      <w:r w:rsidRPr="00E81C41">
        <w:rPr>
          <w:b/>
        </w:rPr>
        <w:t>II/449 MÚK Unčovice - Litovel, úsek B</w:t>
      </w:r>
      <w:r>
        <w:t xml:space="preserve"> ve výši 10 594 669,75 Kč. Část dotace </w:t>
      </w:r>
      <w:r w:rsidR="00B370FC">
        <w:t>byla</w:t>
      </w:r>
      <w:r>
        <w:t xml:space="preserve"> použita na splátku výše uvedeného revolvingového úvěru u projektů </w:t>
      </w:r>
      <w:r w:rsidRPr="00A336D4">
        <w:t xml:space="preserve">Hospodaření se srážkovými vodami v intravilánu příspěvkových organizací </w:t>
      </w:r>
      <w:r w:rsidRPr="001E3E5A">
        <w:t xml:space="preserve">Olomouckého kraje ve výši </w:t>
      </w:r>
      <w:r>
        <w:t>6 618 275,88</w:t>
      </w:r>
      <w:r w:rsidRPr="001E3E5A">
        <w:t xml:space="preserve"> Kč</w:t>
      </w:r>
      <w:r>
        <w:t xml:space="preserve">, </w:t>
      </w:r>
      <w:r w:rsidRPr="003A7EA0">
        <w:t>Pořízení strojního vybavení a zajištění bezbariérovosti na OU a PrŠ Lipová-lázně</w:t>
      </w:r>
      <w:r>
        <w:t xml:space="preserve"> ve výši 502 468,09 Kč a </w:t>
      </w:r>
      <w:r w:rsidRPr="003A7EA0">
        <w:t xml:space="preserve">SMN a.s. - </w:t>
      </w:r>
      <w:proofErr w:type="gramStart"/>
      <w:r w:rsidRPr="003A7EA0">
        <w:t>o.z.</w:t>
      </w:r>
      <w:proofErr w:type="gramEnd"/>
      <w:r w:rsidRPr="003A7EA0">
        <w:t xml:space="preserve"> Nemocnice Šternberk - REÚO - Domov sester</w:t>
      </w:r>
      <w:r>
        <w:t xml:space="preserve"> ve výši 1 798 888,04 Kč</w:t>
      </w:r>
      <w:r w:rsidRPr="001E3E5A">
        <w:t>.</w:t>
      </w:r>
      <w:r>
        <w:t xml:space="preserve"> Částka ve výši 1 193 003,40 Kč </w:t>
      </w:r>
      <w:r w:rsidR="00B370FC">
        <w:t>byla</w:t>
      </w:r>
      <w:r>
        <w:t xml:space="preserve"> převedena do rezervy Olomouckého kraje na splátku revolvingového úvěru.</w:t>
      </w:r>
      <w:r w:rsidRPr="001E3E5A">
        <w:t xml:space="preserve"> Zbylá část ve výši</w:t>
      </w:r>
      <w:r>
        <w:t xml:space="preserve"> </w:t>
      </w:r>
      <w:r w:rsidRPr="001E3E5A">
        <w:t xml:space="preserve">482 034,34 Kč </w:t>
      </w:r>
      <w:r w:rsidR="00B370FC">
        <w:t>byla</w:t>
      </w:r>
      <w:r w:rsidRPr="001E3E5A">
        <w:t xml:space="preserve"> použita na splacení revolvingového úvěru na financování oprav, investic a projektů. Projekt II/449 MÚK Unčovice - Litovel, úsek B byl začátk</w:t>
      </w:r>
      <w:r>
        <w:t>e</w:t>
      </w:r>
      <w:r w:rsidRPr="001E3E5A">
        <w:t>m roku 2021 financován již z nového revolvingového úvěru</w:t>
      </w:r>
      <w:r w:rsidR="00B370FC">
        <w:t xml:space="preserve"> a připadající výše splátky byla</w:t>
      </w:r>
      <w:r w:rsidRPr="001E3E5A">
        <w:t xml:space="preserve"> proto použita na jeho splacení. </w:t>
      </w:r>
    </w:p>
    <w:p w:rsidR="00FF2F8A" w:rsidRDefault="00FF2F8A" w:rsidP="00FF2F8A">
      <w:pPr>
        <w:pStyle w:val="Odstavecseseznamem"/>
      </w:pPr>
    </w:p>
    <w:p w:rsidR="00F4216E" w:rsidRDefault="00FF2F8A" w:rsidP="00FF2F8A">
      <w:pPr>
        <w:pStyle w:val="Zkladntextodsazendek"/>
        <w:numPr>
          <w:ilvl w:val="0"/>
          <w:numId w:val="9"/>
        </w:numPr>
        <w:spacing w:after="0"/>
      </w:pPr>
      <w:r w:rsidRPr="002B1560">
        <w:rPr>
          <w:b/>
        </w:rPr>
        <w:t>Muzeum Komenského v Přerově – Záchrana a zpřístupnění paláce na hradě Helfštýn</w:t>
      </w:r>
      <w:r>
        <w:t xml:space="preserve"> ve výši 15 671 119,81 Kč. Částka ve výši 15 629 013,60 </w:t>
      </w:r>
      <w:r w:rsidR="00B370FC">
        <w:t>byla</w:t>
      </w:r>
      <w:r>
        <w:t xml:space="preserve"> použita na splátku revolvingového úvěru. Zbyl</w:t>
      </w:r>
      <w:r w:rsidR="00B370FC">
        <w:t>á část ve výši 42 106,21 Kč byla</w:t>
      </w:r>
      <w:r>
        <w:t xml:space="preserve"> převedena do rezervy Olomouckého kraje na splátku revolvingového úvěru.</w:t>
      </w:r>
    </w:p>
    <w:p w:rsidR="00FF2F8A" w:rsidRDefault="00FF2F8A" w:rsidP="000E4423">
      <w:pPr>
        <w:pStyle w:val="Zkladntextodsazendek"/>
        <w:ind w:left="0"/>
        <w:rPr>
          <w:b/>
        </w:rPr>
      </w:pPr>
    </w:p>
    <w:p w:rsidR="00FF2F8A" w:rsidRDefault="00FF2F8A" w:rsidP="000E4423">
      <w:pPr>
        <w:pStyle w:val="Zkladntextodsazendek"/>
        <w:ind w:left="0"/>
        <w:rPr>
          <w:b/>
        </w:rPr>
      </w:pPr>
    </w:p>
    <w:p w:rsidR="000E4423" w:rsidRPr="008255B9" w:rsidRDefault="000E4423" w:rsidP="000E4423">
      <w:pPr>
        <w:pStyle w:val="Zkladntextodsazendek"/>
        <w:ind w:left="0"/>
        <w:rPr>
          <w:b/>
        </w:rPr>
      </w:pPr>
      <w:r>
        <w:rPr>
          <w:b/>
        </w:rPr>
        <w:t>Rada Olomouckého kraje schválila 4</w:t>
      </w:r>
      <w:r w:rsidR="00F4216E">
        <w:rPr>
          <w:b/>
        </w:rPr>
        <w:t>5</w:t>
      </w:r>
      <w:r>
        <w:rPr>
          <w:b/>
        </w:rPr>
        <w:t>. splátku</w:t>
      </w:r>
      <w:r w:rsidRPr="008255B9">
        <w:rPr>
          <w:b/>
        </w:rPr>
        <w:t xml:space="preserve"> revolvingového úvěru</w:t>
      </w:r>
      <w:r>
        <w:rPr>
          <w:b/>
        </w:rPr>
        <w:t xml:space="preserve"> ve </w:t>
      </w:r>
      <w:r w:rsidRPr="008255B9">
        <w:rPr>
          <w:b/>
        </w:rPr>
        <w:t>výši</w:t>
      </w:r>
      <w:r>
        <w:rPr>
          <w:b/>
        </w:rPr>
        <w:t xml:space="preserve"> </w:t>
      </w:r>
      <w:r w:rsidR="00F4216E">
        <w:rPr>
          <w:b/>
        </w:rPr>
        <w:t>4 406 197,13</w:t>
      </w:r>
      <w:r>
        <w:rPr>
          <w:b/>
        </w:rPr>
        <w:t xml:space="preserve"> Kč dne 2</w:t>
      </w:r>
      <w:r w:rsidR="00F4216E">
        <w:rPr>
          <w:b/>
        </w:rPr>
        <w:t>2</w:t>
      </w:r>
      <w:r>
        <w:rPr>
          <w:b/>
        </w:rPr>
        <w:t>. 2. 202</w:t>
      </w:r>
      <w:r w:rsidR="00686FCE">
        <w:rPr>
          <w:b/>
        </w:rPr>
        <w:t>1</w:t>
      </w:r>
      <w:r>
        <w:rPr>
          <w:b/>
        </w:rPr>
        <w:t xml:space="preserve"> </w:t>
      </w:r>
      <w:r w:rsidR="00F4216E">
        <w:rPr>
          <w:b/>
        </w:rPr>
        <w:t>a 46. splátku</w:t>
      </w:r>
      <w:r w:rsidRPr="008255B9">
        <w:rPr>
          <w:b/>
        </w:rPr>
        <w:t xml:space="preserve"> </w:t>
      </w:r>
      <w:r w:rsidR="00F4216E">
        <w:rPr>
          <w:b/>
        </w:rPr>
        <w:t xml:space="preserve">revolvingového úvěru ve výši </w:t>
      </w:r>
      <w:r w:rsidR="00FF2F8A">
        <w:rPr>
          <w:b/>
        </w:rPr>
        <w:t>58 798 028,02 Kč</w:t>
      </w:r>
      <w:r w:rsidR="00686FCE">
        <w:rPr>
          <w:b/>
        </w:rPr>
        <w:t xml:space="preserve"> dne 15. 3. 2021</w:t>
      </w:r>
      <w:r w:rsidR="00FF2F8A">
        <w:rPr>
          <w:b/>
        </w:rPr>
        <w:t>.</w:t>
      </w:r>
    </w:p>
    <w:p w:rsidR="00FF2F8A" w:rsidRPr="00F421FC" w:rsidRDefault="00FF2F8A" w:rsidP="00FF2F8A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Výše vyčíslenými splátkami</w:t>
      </w:r>
      <w:r w:rsidRPr="00F421F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došlo</w:t>
      </w:r>
      <w:r w:rsidRPr="00F421FC">
        <w:rPr>
          <w:rFonts w:ascii="Arial" w:hAnsi="Arial" w:cs="Arial"/>
          <w:b/>
        </w:rPr>
        <w:t xml:space="preserve"> ke kompletnímu splacení revolvingového úvěru.</w:t>
      </w:r>
    </w:p>
    <w:p w:rsidR="00FF2F8A" w:rsidRDefault="00FF2F8A" w:rsidP="00D171DB">
      <w:pPr>
        <w:pStyle w:val="Zkladntextodsazendek"/>
        <w:ind w:left="0"/>
        <w:rPr>
          <w:b/>
        </w:rPr>
      </w:pPr>
    </w:p>
    <w:p w:rsidR="00FF2F8A" w:rsidRDefault="00FF2F8A" w:rsidP="00D171DB">
      <w:pPr>
        <w:pStyle w:val="Zkladntextodsazendek"/>
        <w:ind w:left="0"/>
        <w:rPr>
          <w:b/>
        </w:rPr>
      </w:pPr>
    </w:p>
    <w:p w:rsidR="00D171DB" w:rsidRPr="00D171DB" w:rsidRDefault="00D171DB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  <w:r w:rsidRPr="00D171DB">
        <w:rPr>
          <w:rFonts w:ascii="Arial" w:hAnsi="Arial" w:cs="Arial"/>
          <w:u w:val="single"/>
        </w:rPr>
        <w:t>Přílohy:</w:t>
      </w:r>
    </w:p>
    <w:p w:rsidR="00D171DB" w:rsidRDefault="00D171DB" w:rsidP="00D171DB">
      <w:pPr>
        <w:pStyle w:val="Zkladntextodsazen"/>
        <w:ind w:left="900" w:hanging="900"/>
        <w:jc w:val="both"/>
      </w:pPr>
      <w:r>
        <w:t xml:space="preserve">- </w:t>
      </w:r>
      <w:r w:rsidRPr="00D171DB">
        <w:rPr>
          <w:rFonts w:ascii="Arial" w:hAnsi="Arial" w:cs="Arial"/>
        </w:rPr>
        <w:t>Příloha č. 1</w:t>
      </w:r>
    </w:p>
    <w:p w:rsidR="007A3265" w:rsidRPr="00D171DB" w:rsidRDefault="00D171DB" w:rsidP="00997890">
      <w:pPr>
        <w:tabs>
          <w:tab w:val="left" w:pos="7371"/>
        </w:tabs>
      </w:pPr>
      <w:r w:rsidRPr="00D171DB">
        <w:rPr>
          <w:rFonts w:ascii="Arial" w:hAnsi="Arial" w:cs="Arial"/>
          <w:sz w:val="24"/>
          <w:szCs w:val="24"/>
        </w:rPr>
        <w:t>Přehled čerpání a splácení</w:t>
      </w:r>
      <w:bookmarkStart w:id="0" w:name="_GoBack"/>
      <w:bookmarkEnd w:id="0"/>
      <w:r w:rsidRPr="00D171DB">
        <w:rPr>
          <w:rFonts w:ascii="Arial" w:hAnsi="Arial" w:cs="Arial"/>
          <w:sz w:val="24"/>
          <w:szCs w:val="24"/>
        </w:rPr>
        <w:t xml:space="preserve"> revolvingového úvěru</w:t>
      </w:r>
      <w:r w:rsidRPr="00D171DB">
        <w:rPr>
          <w:rFonts w:ascii="Arial" w:hAnsi="Arial" w:cs="Arial"/>
          <w:sz w:val="24"/>
          <w:szCs w:val="24"/>
        </w:rPr>
        <w:tab/>
        <w:t xml:space="preserve">(strana </w:t>
      </w:r>
      <w:r w:rsidR="00A10869">
        <w:rPr>
          <w:rFonts w:ascii="Arial" w:hAnsi="Arial" w:cs="Arial"/>
          <w:sz w:val="24"/>
          <w:szCs w:val="24"/>
        </w:rPr>
        <w:t>2</w:t>
      </w:r>
      <w:r w:rsidRPr="00D171DB">
        <w:rPr>
          <w:rFonts w:ascii="Arial" w:hAnsi="Arial" w:cs="Arial"/>
          <w:sz w:val="24"/>
          <w:szCs w:val="24"/>
        </w:rPr>
        <w:t xml:space="preserve"> - </w:t>
      </w:r>
      <w:r w:rsidR="00A10869">
        <w:rPr>
          <w:rFonts w:ascii="Arial" w:hAnsi="Arial" w:cs="Arial"/>
          <w:sz w:val="24"/>
          <w:szCs w:val="24"/>
        </w:rPr>
        <w:t>4</w:t>
      </w:r>
      <w:r w:rsidRPr="00D171DB">
        <w:rPr>
          <w:rFonts w:ascii="Arial" w:hAnsi="Arial" w:cs="Arial"/>
          <w:sz w:val="24"/>
          <w:szCs w:val="24"/>
        </w:rPr>
        <w:t>)</w:t>
      </w:r>
    </w:p>
    <w:sectPr w:rsidR="007A3265" w:rsidRPr="00D171DB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0E4423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917DDB">
      <w:rPr>
        <w:rFonts w:ascii="Arial" w:hAnsi="Arial" w:cs="Arial"/>
        <w:i/>
        <w:iCs/>
      </w:rPr>
      <w:t>2</w:t>
    </w:r>
    <w:r w:rsidR="00F4216E"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F4216E"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1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EB014B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A10869">
      <w:rPr>
        <w:rStyle w:val="slostrnky"/>
        <w:rFonts w:ascii="Arial" w:hAnsi="Arial" w:cs="Arial"/>
        <w:i/>
        <w:iCs/>
      </w:rPr>
      <w:t>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540BD3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="00CF053B">
      <w:rPr>
        <w:rFonts w:ascii="Arial" w:hAnsi="Arial" w:cs="Arial"/>
        <w:i/>
      </w:rPr>
      <w:t>.</w:t>
    </w:r>
    <w:r>
      <w:rPr>
        <w:rFonts w:ascii="Arial" w:hAnsi="Arial" w:cs="Arial"/>
        <w:i/>
      </w:rPr>
      <w:t>2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EB014B">
      <w:rPr>
        <w:rFonts w:ascii="Arial" w:hAnsi="Arial" w:cs="Arial"/>
        <w:i/>
      </w:rPr>
      <w:t>21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80321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56540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55112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1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7E"/>
    <w:rsid w:val="00082589"/>
    <w:rsid w:val="000836B0"/>
    <w:rsid w:val="00087ABA"/>
    <w:rsid w:val="000A304F"/>
    <w:rsid w:val="000B2BFC"/>
    <w:rsid w:val="000B53F2"/>
    <w:rsid w:val="000D4E4C"/>
    <w:rsid w:val="000D54F9"/>
    <w:rsid w:val="000E0B3C"/>
    <w:rsid w:val="000E0B6B"/>
    <w:rsid w:val="000E4423"/>
    <w:rsid w:val="00102FF7"/>
    <w:rsid w:val="00107A2A"/>
    <w:rsid w:val="0012176E"/>
    <w:rsid w:val="00122A60"/>
    <w:rsid w:val="00130188"/>
    <w:rsid w:val="00131917"/>
    <w:rsid w:val="00131CD7"/>
    <w:rsid w:val="001353F1"/>
    <w:rsid w:val="00174143"/>
    <w:rsid w:val="0017456F"/>
    <w:rsid w:val="00181B04"/>
    <w:rsid w:val="00182C9F"/>
    <w:rsid w:val="00185AC4"/>
    <w:rsid w:val="00186BB6"/>
    <w:rsid w:val="00196757"/>
    <w:rsid w:val="001A46D5"/>
    <w:rsid w:val="001B78C4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22D5A"/>
    <w:rsid w:val="00223F81"/>
    <w:rsid w:val="00224F3C"/>
    <w:rsid w:val="00232660"/>
    <w:rsid w:val="00237962"/>
    <w:rsid w:val="00243063"/>
    <w:rsid w:val="00246B53"/>
    <w:rsid w:val="0025132F"/>
    <w:rsid w:val="00251AFD"/>
    <w:rsid w:val="0025339A"/>
    <w:rsid w:val="002549D7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B0CD7"/>
    <w:rsid w:val="002B3693"/>
    <w:rsid w:val="002C6163"/>
    <w:rsid w:val="002D42C6"/>
    <w:rsid w:val="002E403D"/>
    <w:rsid w:val="002E440B"/>
    <w:rsid w:val="002E536C"/>
    <w:rsid w:val="002E59E6"/>
    <w:rsid w:val="00300F6A"/>
    <w:rsid w:val="00302B5E"/>
    <w:rsid w:val="00305019"/>
    <w:rsid w:val="00307DE4"/>
    <w:rsid w:val="00314053"/>
    <w:rsid w:val="003148D5"/>
    <w:rsid w:val="00314F25"/>
    <w:rsid w:val="00316AF1"/>
    <w:rsid w:val="003229E9"/>
    <w:rsid w:val="00324A3A"/>
    <w:rsid w:val="00330339"/>
    <w:rsid w:val="00335FBE"/>
    <w:rsid w:val="00337820"/>
    <w:rsid w:val="00340ED0"/>
    <w:rsid w:val="003448D1"/>
    <w:rsid w:val="003500CC"/>
    <w:rsid w:val="003533D6"/>
    <w:rsid w:val="003624E4"/>
    <w:rsid w:val="0036799A"/>
    <w:rsid w:val="0037486D"/>
    <w:rsid w:val="003755E6"/>
    <w:rsid w:val="003771FD"/>
    <w:rsid w:val="00382595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2777"/>
    <w:rsid w:val="003F4C8B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6489"/>
    <w:rsid w:val="00471805"/>
    <w:rsid w:val="0047326E"/>
    <w:rsid w:val="0047388A"/>
    <w:rsid w:val="004772AD"/>
    <w:rsid w:val="00483DCF"/>
    <w:rsid w:val="004934E9"/>
    <w:rsid w:val="00493709"/>
    <w:rsid w:val="004A0D61"/>
    <w:rsid w:val="004A1449"/>
    <w:rsid w:val="004A20E2"/>
    <w:rsid w:val="004A2EF3"/>
    <w:rsid w:val="004A7631"/>
    <w:rsid w:val="004B23AF"/>
    <w:rsid w:val="004B7F18"/>
    <w:rsid w:val="004C07AC"/>
    <w:rsid w:val="004C0931"/>
    <w:rsid w:val="004C3EE9"/>
    <w:rsid w:val="004D2A97"/>
    <w:rsid w:val="004E21DE"/>
    <w:rsid w:val="004E6980"/>
    <w:rsid w:val="004E7406"/>
    <w:rsid w:val="004F3C8C"/>
    <w:rsid w:val="00501497"/>
    <w:rsid w:val="00505139"/>
    <w:rsid w:val="005147CA"/>
    <w:rsid w:val="00523CAB"/>
    <w:rsid w:val="00530804"/>
    <w:rsid w:val="00531956"/>
    <w:rsid w:val="0053226D"/>
    <w:rsid w:val="00540BD3"/>
    <w:rsid w:val="00541598"/>
    <w:rsid w:val="00544621"/>
    <w:rsid w:val="00545E07"/>
    <w:rsid w:val="005460D2"/>
    <w:rsid w:val="00560517"/>
    <w:rsid w:val="005671F1"/>
    <w:rsid w:val="005716D2"/>
    <w:rsid w:val="0057719E"/>
    <w:rsid w:val="005779BB"/>
    <w:rsid w:val="0058540F"/>
    <w:rsid w:val="005864DC"/>
    <w:rsid w:val="00596969"/>
    <w:rsid w:val="005A279D"/>
    <w:rsid w:val="005A3D51"/>
    <w:rsid w:val="005B4C11"/>
    <w:rsid w:val="005B5166"/>
    <w:rsid w:val="005B76A6"/>
    <w:rsid w:val="005C6274"/>
    <w:rsid w:val="005C674E"/>
    <w:rsid w:val="005C722C"/>
    <w:rsid w:val="005E0DDC"/>
    <w:rsid w:val="005F360B"/>
    <w:rsid w:val="005F64A2"/>
    <w:rsid w:val="00604645"/>
    <w:rsid w:val="006054D8"/>
    <w:rsid w:val="006105AD"/>
    <w:rsid w:val="00611C2C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84C54"/>
    <w:rsid w:val="00686FCE"/>
    <w:rsid w:val="0069538A"/>
    <w:rsid w:val="00695E50"/>
    <w:rsid w:val="006B2F6B"/>
    <w:rsid w:val="006B5D1B"/>
    <w:rsid w:val="006C02E9"/>
    <w:rsid w:val="006C6AD4"/>
    <w:rsid w:val="006D0204"/>
    <w:rsid w:val="006D1AE4"/>
    <w:rsid w:val="006E1A8D"/>
    <w:rsid w:val="006E3E80"/>
    <w:rsid w:val="006F06CE"/>
    <w:rsid w:val="006F7EC2"/>
    <w:rsid w:val="007043D2"/>
    <w:rsid w:val="007075CD"/>
    <w:rsid w:val="007077BF"/>
    <w:rsid w:val="00713FF8"/>
    <w:rsid w:val="00715F5F"/>
    <w:rsid w:val="007165D0"/>
    <w:rsid w:val="00725F96"/>
    <w:rsid w:val="0072612D"/>
    <w:rsid w:val="00726342"/>
    <w:rsid w:val="00726D1E"/>
    <w:rsid w:val="007309E2"/>
    <w:rsid w:val="007362F5"/>
    <w:rsid w:val="007520C9"/>
    <w:rsid w:val="00764097"/>
    <w:rsid w:val="0077106F"/>
    <w:rsid w:val="00771BEB"/>
    <w:rsid w:val="0077758E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1F24"/>
    <w:rsid w:val="007F75AA"/>
    <w:rsid w:val="008028FB"/>
    <w:rsid w:val="00804693"/>
    <w:rsid w:val="00810A5C"/>
    <w:rsid w:val="008154A6"/>
    <w:rsid w:val="00817C5E"/>
    <w:rsid w:val="008227AE"/>
    <w:rsid w:val="008339F4"/>
    <w:rsid w:val="0084327B"/>
    <w:rsid w:val="008468B5"/>
    <w:rsid w:val="0085368A"/>
    <w:rsid w:val="00853C9B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0983"/>
    <w:rsid w:val="008D1249"/>
    <w:rsid w:val="008E030D"/>
    <w:rsid w:val="008E411B"/>
    <w:rsid w:val="009001B4"/>
    <w:rsid w:val="00917DDB"/>
    <w:rsid w:val="0092039D"/>
    <w:rsid w:val="0092092E"/>
    <w:rsid w:val="009212FD"/>
    <w:rsid w:val="00921C26"/>
    <w:rsid w:val="009332FC"/>
    <w:rsid w:val="00962FCD"/>
    <w:rsid w:val="0096444E"/>
    <w:rsid w:val="00967CD0"/>
    <w:rsid w:val="00970B23"/>
    <w:rsid w:val="00974C93"/>
    <w:rsid w:val="00983BFB"/>
    <w:rsid w:val="00985EC3"/>
    <w:rsid w:val="00997890"/>
    <w:rsid w:val="009A1E76"/>
    <w:rsid w:val="009A2C93"/>
    <w:rsid w:val="009A3BB4"/>
    <w:rsid w:val="009A5F48"/>
    <w:rsid w:val="009D4F20"/>
    <w:rsid w:val="009E20CF"/>
    <w:rsid w:val="009E2CC4"/>
    <w:rsid w:val="009E5479"/>
    <w:rsid w:val="009E7A8D"/>
    <w:rsid w:val="009F0DDC"/>
    <w:rsid w:val="009F4D0E"/>
    <w:rsid w:val="009F58CC"/>
    <w:rsid w:val="00A02F33"/>
    <w:rsid w:val="00A10258"/>
    <w:rsid w:val="00A10869"/>
    <w:rsid w:val="00A10B0C"/>
    <w:rsid w:val="00A1251F"/>
    <w:rsid w:val="00A14B51"/>
    <w:rsid w:val="00A14C9D"/>
    <w:rsid w:val="00A16146"/>
    <w:rsid w:val="00A1649D"/>
    <w:rsid w:val="00A2172B"/>
    <w:rsid w:val="00A2295B"/>
    <w:rsid w:val="00A40323"/>
    <w:rsid w:val="00A52D3D"/>
    <w:rsid w:val="00A544D0"/>
    <w:rsid w:val="00A55CE2"/>
    <w:rsid w:val="00A641FA"/>
    <w:rsid w:val="00A6523D"/>
    <w:rsid w:val="00A81067"/>
    <w:rsid w:val="00A818B7"/>
    <w:rsid w:val="00A865CC"/>
    <w:rsid w:val="00A86994"/>
    <w:rsid w:val="00A9366E"/>
    <w:rsid w:val="00A93C74"/>
    <w:rsid w:val="00A94F4B"/>
    <w:rsid w:val="00AB42A6"/>
    <w:rsid w:val="00AB73F4"/>
    <w:rsid w:val="00AC1521"/>
    <w:rsid w:val="00AC3963"/>
    <w:rsid w:val="00AC3A85"/>
    <w:rsid w:val="00AC4BAD"/>
    <w:rsid w:val="00AC6E18"/>
    <w:rsid w:val="00AD6C82"/>
    <w:rsid w:val="00AE0435"/>
    <w:rsid w:val="00AE5A7C"/>
    <w:rsid w:val="00AF5EF8"/>
    <w:rsid w:val="00B251B3"/>
    <w:rsid w:val="00B27BC4"/>
    <w:rsid w:val="00B31D39"/>
    <w:rsid w:val="00B33E8C"/>
    <w:rsid w:val="00B367D4"/>
    <w:rsid w:val="00B370FC"/>
    <w:rsid w:val="00B37643"/>
    <w:rsid w:val="00B43716"/>
    <w:rsid w:val="00B46742"/>
    <w:rsid w:val="00B50CD4"/>
    <w:rsid w:val="00B61E54"/>
    <w:rsid w:val="00B6205A"/>
    <w:rsid w:val="00B71375"/>
    <w:rsid w:val="00B73E44"/>
    <w:rsid w:val="00B7484C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394A"/>
    <w:rsid w:val="00BF66E3"/>
    <w:rsid w:val="00C00410"/>
    <w:rsid w:val="00C06F7E"/>
    <w:rsid w:val="00C11308"/>
    <w:rsid w:val="00C20ADD"/>
    <w:rsid w:val="00C25277"/>
    <w:rsid w:val="00C25422"/>
    <w:rsid w:val="00C26D73"/>
    <w:rsid w:val="00C271D6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5CDB"/>
    <w:rsid w:val="00CA5F18"/>
    <w:rsid w:val="00CA6D5B"/>
    <w:rsid w:val="00CA7210"/>
    <w:rsid w:val="00CA7DDC"/>
    <w:rsid w:val="00CB0E13"/>
    <w:rsid w:val="00CB1589"/>
    <w:rsid w:val="00CC7193"/>
    <w:rsid w:val="00CD0A18"/>
    <w:rsid w:val="00CD686E"/>
    <w:rsid w:val="00CE037F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4505"/>
    <w:rsid w:val="00D262CA"/>
    <w:rsid w:val="00D3364B"/>
    <w:rsid w:val="00D346C6"/>
    <w:rsid w:val="00D44F04"/>
    <w:rsid w:val="00D54CE2"/>
    <w:rsid w:val="00D55A4C"/>
    <w:rsid w:val="00D5689B"/>
    <w:rsid w:val="00D61BB0"/>
    <w:rsid w:val="00D642C2"/>
    <w:rsid w:val="00D65074"/>
    <w:rsid w:val="00D65F1A"/>
    <w:rsid w:val="00D7593C"/>
    <w:rsid w:val="00D8477C"/>
    <w:rsid w:val="00D946BD"/>
    <w:rsid w:val="00DA44D5"/>
    <w:rsid w:val="00DC1A9E"/>
    <w:rsid w:val="00DC51C6"/>
    <w:rsid w:val="00DC63DE"/>
    <w:rsid w:val="00DE0169"/>
    <w:rsid w:val="00DE1E49"/>
    <w:rsid w:val="00DE4A24"/>
    <w:rsid w:val="00DE5F60"/>
    <w:rsid w:val="00DE608F"/>
    <w:rsid w:val="00DE79D7"/>
    <w:rsid w:val="00E06653"/>
    <w:rsid w:val="00E146F1"/>
    <w:rsid w:val="00E15BBE"/>
    <w:rsid w:val="00E16B50"/>
    <w:rsid w:val="00E20AE8"/>
    <w:rsid w:val="00E25931"/>
    <w:rsid w:val="00E36BED"/>
    <w:rsid w:val="00E37581"/>
    <w:rsid w:val="00E53D37"/>
    <w:rsid w:val="00E560DB"/>
    <w:rsid w:val="00E60939"/>
    <w:rsid w:val="00E62F61"/>
    <w:rsid w:val="00E6612E"/>
    <w:rsid w:val="00E756B9"/>
    <w:rsid w:val="00E81E7A"/>
    <w:rsid w:val="00E871C5"/>
    <w:rsid w:val="00E876DA"/>
    <w:rsid w:val="00E951F3"/>
    <w:rsid w:val="00EA1AEA"/>
    <w:rsid w:val="00EA74C3"/>
    <w:rsid w:val="00EB014B"/>
    <w:rsid w:val="00EB1F10"/>
    <w:rsid w:val="00EB4FF0"/>
    <w:rsid w:val="00EB7DC2"/>
    <w:rsid w:val="00EC40F9"/>
    <w:rsid w:val="00ED1D70"/>
    <w:rsid w:val="00ED313C"/>
    <w:rsid w:val="00ED3CF8"/>
    <w:rsid w:val="00EE1E60"/>
    <w:rsid w:val="00EE58D9"/>
    <w:rsid w:val="00EE5F50"/>
    <w:rsid w:val="00F0023A"/>
    <w:rsid w:val="00F012F9"/>
    <w:rsid w:val="00F043EA"/>
    <w:rsid w:val="00F06EDE"/>
    <w:rsid w:val="00F10D9E"/>
    <w:rsid w:val="00F15843"/>
    <w:rsid w:val="00F1791B"/>
    <w:rsid w:val="00F211FC"/>
    <w:rsid w:val="00F22EC6"/>
    <w:rsid w:val="00F23E01"/>
    <w:rsid w:val="00F24184"/>
    <w:rsid w:val="00F259DA"/>
    <w:rsid w:val="00F26BEA"/>
    <w:rsid w:val="00F26EBC"/>
    <w:rsid w:val="00F30D8F"/>
    <w:rsid w:val="00F34418"/>
    <w:rsid w:val="00F4216E"/>
    <w:rsid w:val="00F42780"/>
    <w:rsid w:val="00F45D67"/>
    <w:rsid w:val="00F616BF"/>
    <w:rsid w:val="00F6791D"/>
    <w:rsid w:val="00F770C5"/>
    <w:rsid w:val="00F82A2C"/>
    <w:rsid w:val="00F849CB"/>
    <w:rsid w:val="00F97F4A"/>
    <w:rsid w:val="00FB212F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E393B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1393"/>
    <o:shapelayout v:ext="edit">
      <o:idmap v:ext="edit" data="1"/>
    </o:shapelayout>
  </w:shapeDefaults>
  <w:decimalSymbol w:val=","/>
  <w:listSeparator w:val=";"/>
  <w14:docId w14:val="57828762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193</cp:revision>
  <cp:lastPrinted>2020-12-16T08:59:00Z</cp:lastPrinted>
  <dcterms:created xsi:type="dcterms:W3CDTF">2019-03-06T11:05:00Z</dcterms:created>
  <dcterms:modified xsi:type="dcterms:W3CDTF">2021-04-06T11:04:00Z</dcterms:modified>
</cp:coreProperties>
</file>