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0B05EDFC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54C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smlouvy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</w:p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Pr="000724F1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0F84C0DD" w:rsidR="009A3DA5" w:rsidRPr="000724F1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2D6F4E" w:rsidRPr="000724F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2D6F4E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C9258BE" w14:textId="77777777" w:rsidR="009A3DA5" w:rsidRPr="000724F1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0724F1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0B2BEE60" w:rsidR="009A3DA5" w:rsidRPr="000724F1" w:rsidRDefault="00A21634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Zastoupený:  Ladislavem Hynkem, náměstkem hejtmana, na základě ………………..</w:t>
      </w:r>
    </w:p>
    <w:p w14:paraId="3C9258C1" w14:textId="77777777" w:rsidR="009A3DA5" w:rsidRPr="000724F1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0724F1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724F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Pr="000724F1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Pr="000724F1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Pr="000724F1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Pr="000724F1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Pr="000724F1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 w:rsidRPr="000724F1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Pr="000724F1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10F20082" w:rsidR="000E7D2F" w:rsidRPr="000724F1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724F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0DFFE604" w:rsidR="00792EE9" w:rsidRPr="000724F1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6C9F907C" w:rsidR="009A3DA5" w:rsidRDefault="002D6F4E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společně jen „smluvní strany“</w:t>
      </w:r>
    </w:p>
    <w:p w14:paraId="4076E46D" w14:textId="77777777" w:rsidR="002D6F4E" w:rsidRDefault="002D6F4E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F91EBB" w:rsidR="009A3DA5" w:rsidRPr="000724F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A21634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pro děti a mládež v rámci dotačního programu „Program na podporu práce s dětmi a mládeží pro nestátní neziskové organizace v roce </w:t>
      </w:r>
      <w:r w:rsidR="00A21634" w:rsidRPr="000724F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2018</w:t>
      </w:r>
      <w:r w:rsidR="00694B1A" w:rsidRPr="000724F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21634" w:rsidRPr="000724F1">
        <w:rPr>
          <w:rFonts w:ascii="Arial" w:eastAsia="Times New Roman" w:hAnsi="Arial" w:cs="Arial"/>
          <w:sz w:val="24"/>
          <w:szCs w:val="24"/>
          <w:lang w:eastAsia="cs-CZ"/>
        </w:rPr>
        <w:t>. Dotace je tvořena ze 70% finančními prostředky poskytnutými ze státního rozpočtu Ministerstvem školství, mládeže a tělovýchovy (dále také „MŠMT</w:t>
      </w:r>
      <w:r w:rsidR="00694B1A" w:rsidRPr="000724F1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A21634" w:rsidRPr="000724F1">
        <w:rPr>
          <w:rFonts w:ascii="Arial" w:eastAsia="Times New Roman" w:hAnsi="Arial" w:cs="Arial"/>
          <w:sz w:val="24"/>
          <w:szCs w:val="24"/>
          <w:lang w:eastAsia="cs-CZ"/>
        </w:rPr>
        <w:t>, což odpovídá částce ……. Kč, slovy …… korun českých (dále jen „státní dotace“) a z 30% finančními prostředky poskytnutými z územního rozpočtu Olomouckým krajem, což od</w:t>
      </w:r>
      <w:r w:rsidR="007A3028" w:rsidRPr="000724F1">
        <w:rPr>
          <w:rFonts w:ascii="Arial" w:eastAsia="Times New Roman" w:hAnsi="Arial" w:cs="Arial"/>
          <w:sz w:val="24"/>
          <w:szCs w:val="24"/>
          <w:lang w:eastAsia="cs-CZ"/>
        </w:rPr>
        <w:t>povídá částce …… Kč, slovy ……. k</w:t>
      </w:r>
      <w:r w:rsidR="00A21634" w:rsidRPr="000724F1">
        <w:rPr>
          <w:rFonts w:ascii="Arial" w:eastAsia="Times New Roman" w:hAnsi="Arial" w:cs="Arial"/>
          <w:sz w:val="24"/>
          <w:szCs w:val="24"/>
          <w:lang w:eastAsia="cs-CZ"/>
        </w:rPr>
        <w:t>orun českých (dále jen „krajská dotace“).</w:t>
      </w:r>
    </w:p>
    <w:p w14:paraId="3C9258CF" w14:textId="24034F81" w:rsidR="009A3DA5" w:rsidRPr="000724F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724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724F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7A01623D" w:rsidR="009A3DA5" w:rsidRPr="000724F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724F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724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724F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724F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724F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724F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724F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724F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E6D52" w:rsidRPr="000724F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695091A6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5DE74D4" w:rsidR="00001074" w:rsidRPr="000724F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 w:rsidRPr="000724F1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2E6D52" w:rsidRPr="000724F1">
        <w:rPr>
          <w:rFonts w:ascii="Arial" w:eastAsia="Times New Roman" w:hAnsi="Arial" w:cs="Arial"/>
          <w:sz w:val="24"/>
          <w:szCs w:val="24"/>
          <w:lang w:eastAsia="cs-CZ"/>
        </w:rPr>
        <w:t>„Program na podporu práce s dětmi a mládeží pro nestátní neziskové organizace v roc</w:t>
      </w:r>
      <w:r w:rsidR="00C43330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e 2018“ </w:t>
      </w:r>
      <w:r w:rsidR="00C524A4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0724F1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.</w:t>
      </w:r>
      <w:r w:rsidR="002E6D52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E32E30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2E6D52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souladu s dotačním programem </w:t>
      </w:r>
      <w:proofErr w:type="spellStart"/>
      <w:r w:rsidR="002E6D52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="00E32E30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ŠMT</w:t>
      </w:r>
      <w:r w:rsidR="002E6D52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="00F53D00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Podpora</w:t>
      </w:r>
      <w:proofErr w:type="spellEnd"/>
      <w:r w:rsidR="00F53D00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mládeže na krajské úrovni“ (č.j. MSMT – 20793/2017-2) ze dne 5. 10. 2017.</w:t>
      </w:r>
    </w:p>
    <w:p w14:paraId="21AF7287" w14:textId="61B46CDE" w:rsidR="00D11E64" w:rsidRPr="000724F1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Pr="000724F1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9" w14:textId="5E90C916" w:rsidR="009A3DA5" w:rsidRPr="000724F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E815E8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přímo související s realizací </w:t>
      </w:r>
      <w:r w:rsidR="00694B1A" w:rsidRPr="000724F1">
        <w:rPr>
          <w:rFonts w:ascii="Arial" w:eastAsia="Times New Roman" w:hAnsi="Arial" w:cs="Arial"/>
          <w:sz w:val="24"/>
          <w:szCs w:val="24"/>
          <w:lang w:eastAsia="cs-CZ"/>
        </w:rPr>
        <w:t>akce …………….. k</w:t>
      </w:r>
      <w:r w:rsidR="00F50D97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onané v roce 2018, a to </w:t>
      </w:r>
      <w:r w:rsidR="00694B1A" w:rsidRPr="000724F1">
        <w:rPr>
          <w:rFonts w:ascii="Arial" w:eastAsia="Times New Roman" w:hAnsi="Arial" w:cs="Arial"/>
          <w:sz w:val="24"/>
          <w:szCs w:val="24"/>
          <w:lang w:eastAsia="cs-CZ"/>
        </w:rPr>
        <w:t>na:</w:t>
      </w:r>
      <w:r w:rsidR="00E815E8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44FE" w:rsidRPr="000724F1">
        <w:rPr>
          <w:rFonts w:ascii="Arial" w:eastAsia="Times New Roman" w:hAnsi="Arial" w:cs="Arial"/>
          <w:sz w:val="24"/>
          <w:szCs w:val="24"/>
          <w:lang w:eastAsia="cs-CZ"/>
        </w:rPr>
        <w:t>………………………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AC474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4744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AC4744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AC4744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 w:rsidRPr="00AC4744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 w:rsidRPr="00AC4744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C4744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C4744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 w:rsidRPr="00AC474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111BE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11BE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5138D4B" w14:textId="07F6A7BC" w:rsidR="00CB5336" w:rsidRPr="00830D56" w:rsidRDefault="009A3DA5" w:rsidP="000724F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30D5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F50D97" w:rsidRPr="00830D56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</w:t>
      </w:r>
      <w:r w:rsidR="00C43330" w:rsidRPr="00830D5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50D97" w:rsidRPr="00830D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744" w:rsidRPr="00830D56">
        <w:rPr>
          <w:rFonts w:ascii="Arial" w:eastAsia="Times New Roman" w:hAnsi="Arial" w:cs="Arial"/>
          <w:sz w:val="24"/>
          <w:szCs w:val="24"/>
          <w:lang w:eastAsia="cs-CZ"/>
        </w:rPr>
        <w:t>bude doplněno individuálně v návaznosti na žádost a termín konání akce</w:t>
      </w:r>
      <w:r w:rsidR="00111BE7" w:rsidRPr="00830D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744" w:rsidRPr="00830D56">
        <w:rPr>
          <w:rFonts w:ascii="Arial" w:eastAsia="Times New Roman" w:hAnsi="Arial" w:cs="Arial"/>
          <w:sz w:val="24"/>
          <w:szCs w:val="24"/>
          <w:lang w:eastAsia="cs-CZ"/>
        </w:rPr>
        <w:t>v souladu s </w:t>
      </w:r>
      <w:r w:rsidR="00111BE7"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>odst. 7.4 písm. c</w:t>
      </w:r>
      <w:r w:rsidR="00AC4744"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>) Pravidel</w:t>
      </w:r>
      <w:r w:rsidR="00AC4744" w:rsidRPr="00830D56">
        <w:rPr>
          <w:rFonts w:ascii="Arial" w:hAnsi="Arial" w:cs="Arial"/>
          <w:sz w:val="24"/>
          <w:szCs w:val="24"/>
        </w:rPr>
        <w:t>.</w:t>
      </w:r>
      <w:r w:rsidR="00AC4744"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</w:t>
      </w:r>
      <w:r w:rsidR="005E7DB6" w:rsidRPr="00830D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 1. 3. 2018 </w:t>
      </w:r>
      <w:r w:rsidR="00F50D97" w:rsidRPr="00830D56">
        <w:rPr>
          <w:rFonts w:ascii="Arial" w:hAnsi="Arial" w:cs="Arial"/>
          <w:sz w:val="24"/>
          <w:szCs w:val="24"/>
        </w:rPr>
        <w:t>(t</w:t>
      </w:r>
      <w:r w:rsidR="005731DD" w:rsidRPr="00830D56">
        <w:rPr>
          <w:rFonts w:ascii="Arial" w:hAnsi="Arial" w:cs="Arial"/>
          <w:sz w:val="24"/>
          <w:szCs w:val="24"/>
        </w:rPr>
        <w:t>.</w:t>
      </w:r>
      <w:r w:rsidR="00C43330" w:rsidRPr="00830D56">
        <w:rPr>
          <w:rFonts w:ascii="Arial" w:hAnsi="Arial" w:cs="Arial"/>
          <w:sz w:val="24"/>
          <w:szCs w:val="24"/>
        </w:rPr>
        <w:t>j. od data zveřejnění dotačního programu</w:t>
      </w:r>
      <w:r w:rsidR="00AC4744" w:rsidRPr="00830D56">
        <w:rPr>
          <w:rFonts w:ascii="Arial" w:hAnsi="Arial" w:cs="Arial"/>
          <w:sz w:val="24"/>
          <w:szCs w:val="24"/>
        </w:rPr>
        <w:t xml:space="preserve"> na úřední desce).</w:t>
      </w:r>
      <w:r w:rsidR="00111BE7" w:rsidRPr="00830D56">
        <w:rPr>
          <w:rFonts w:ascii="Arial" w:hAnsi="Arial" w:cs="Arial"/>
          <w:sz w:val="24"/>
          <w:szCs w:val="24"/>
        </w:rPr>
        <w:t xml:space="preserve"> Poskytnutou dotaci nelze použít na náklady vzniklé před 1. 3. 2018.</w:t>
      </w:r>
    </w:p>
    <w:p w14:paraId="3C9258EB" w14:textId="77777777" w:rsidR="009A3DA5" w:rsidRPr="00111BE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30D5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</w:t>
      </w:r>
      <w:r w:rsidRPr="00111BE7">
        <w:rPr>
          <w:rFonts w:ascii="Arial" w:eastAsia="Times New Roman" w:hAnsi="Arial" w:cs="Arial"/>
          <w:sz w:val="24"/>
          <w:szCs w:val="24"/>
          <w:lang w:eastAsia="cs-CZ"/>
        </w:rPr>
        <w:t>je příjemce povinen vyvíjet veškerou poskytovatelem požadovanou součinnost.</w:t>
      </w:r>
    </w:p>
    <w:p w14:paraId="3C9258EC" w14:textId="55621BFB" w:rsidR="009A3DA5" w:rsidRPr="00111BE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1BE7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AC4744" w:rsidRPr="00111BE7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</w:t>
      </w:r>
      <w:r w:rsidR="00AC4744" w:rsidRPr="00111BE7">
        <w:rPr>
          <w:rFonts w:ascii="Arial" w:hAnsi="Arial" w:cs="Arial"/>
          <w:sz w:val="24"/>
          <w:szCs w:val="24"/>
        </w:rPr>
        <w:t>30 dnů po ukončení akce, nebo v případě, že akce se uskutečnila před poskytnutím dotace, do 30 dnů od účinnosti smlouvy, nejpozději však do 15. 1. 2019 (pokud by uvedená 30 denní lhůta měla uplynout po tomto datu)</w:t>
      </w:r>
      <w:r w:rsidRPr="00111BE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111BE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111BE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1BE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A4E62B9" w:rsidR="00A9730D" w:rsidRPr="00187BC2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1BE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11BE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111BE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7072C" w:rsidRPr="00111B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111BE7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867B4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730D" w:rsidRPr="00111BE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730D" w:rsidRPr="00111BE7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A9730D" w:rsidRPr="00E7072C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</w:t>
      </w:r>
      <w:r w:rsidR="00E7072C" w:rsidRPr="00E7072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E7072C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E707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 w:rsidRPr="00E7072C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A9730D" w:rsidRPr="00E707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DE39D2" w14:textId="223C47E7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</w:t>
      </w:r>
      <w:r w:rsidR="00E7072C">
        <w:rPr>
          <w:rFonts w:ascii="Arial" w:eastAsia="Times New Roman" w:hAnsi="Arial" w:cs="Arial"/>
          <w:sz w:val="24"/>
          <w:szCs w:val="24"/>
          <w:lang w:eastAsia="cs-CZ"/>
        </w:rPr>
        <w:t>v soupisu jsou pravdivé a úplné.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3C8F4B9" w:rsidR="00A9730D" w:rsidRPr="00E7072C" w:rsidRDefault="00A9730D" w:rsidP="00E7072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E7072C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38FAC365" w14:textId="77777777" w:rsidR="00A9730D" w:rsidRPr="000724F1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2097512" w:rsidR="00A9730D" w:rsidRPr="000724F1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C12FF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být písemná, v listinné podobě, a musí 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724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C12FF" w:rsidRPr="000724F1">
        <w:rPr>
          <w:rFonts w:ascii="Arial" w:eastAsia="Times New Roman" w:hAnsi="Arial" w:cs="Arial"/>
          <w:sz w:val="24"/>
          <w:szCs w:val="24"/>
          <w:lang w:eastAsia="cs-CZ"/>
        </w:rPr>
        <w:t>označení příjemce, datum konání akce, počet účastníků akce, stručné zhodnocení poskytovatelem podporované akce včetně jejího přínosu pro Olomoucký kraj a naplnění cílů a priorit Programu.</w:t>
      </w:r>
      <w:r w:rsidRPr="000724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C12FF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Příjemce předloží společně se závěrečnou zprávou i fotodokumentaci v ro</w:t>
      </w:r>
      <w:r w:rsidR="00AF3ED8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>zsahu nejméně dvou fotografií o </w:t>
      </w:r>
      <w:r w:rsidR="002C12FF" w:rsidRPr="000724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propagaci Olomouckého kraje při této akci na viditelném, veřejně přístupném místě. </w:t>
      </w:r>
    </w:p>
    <w:p w14:paraId="758E3118" w14:textId="055935C9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="00E7072C"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</w:t>
      </w:r>
      <w:r w:rsidRPr="00E7072C">
        <w:rPr>
          <w:rFonts w:ascii="Arial" w:eastAsia="Times New Roman" w:hAnsi="Arial" w:cs="Arial"/>
          <w:sz w:val="24"/>
          <w:szCs w:val="24"/>
          <w:lang w:eastAsia="cs-CZ"/>
        </w:rPr>
        <w:t>do 15 dnů ode dne předložení vyúčtování poskytovateli. Nevrátí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7A75E6">
        <w:rPr>
          <w:rFonts w:ascii="Arial" w:eastAsia="Times New Roman" w:hAnsi="Arial" w:cs="Arial"/>
          <w:sz w:val="24"/>
          <w:szCs w:val="24"/>
          <w:lang w:eastAsia="cs-CZ"/>
        </w:rPr>
        <w:t>. V témže termínu je příjemce povinen vrátit poskytovateli poskytnutou dotaci v částc</w:t>
      </w:r>
      <w:r w:rsidR="0007359B" w:rsidRPr="007A75E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A75E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A75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A75E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3C4F0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4F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C4F0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C4F0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C4F0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C4F0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C4F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C4F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C4F0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C4F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C4F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3C4F0F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C4F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C4F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C4F0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C4F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C4F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C4F0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C4F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C4F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C4F0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C4F0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C4F0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4F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C4F0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E81D95E" w14:textId="4E519DE1" w:rsidR="00606DAF" w:rsidRPr="000724F1" w:rsidRDefault="009A3DA5" w:rsidP="00606DAF">
      <w:pPr>
        <w:pStyle w:val="Odstavecseseznamem"/>
        <w:numPr>
          <w:ilvl w:val="0"/>
          <w:numId w:val="34"/>
        </w:numPr>
        <w:tabs>
          <w:tab w:val="num" w:pos="0"/>
        </w:tabs>
        <w:spacing w:after="120"/>
        <w:rPr>
          <w:rFonts w:ascii="Arial" w:hAnsi="Arial" w:cs="Arial"/>
          <w:sz w:val="24"/>
          <w:szCs w:val="24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krajskou dotaci</w:t>
      </w:r>
      <w:r w:rsidR="00606DAF" w:rsidRPr="000724F1">
        <w:rPr>
          <w:rFonts w:ascii="Arial" w:hAnsi="Arial" w:cs="Arial"/>
          <w:sz w:val="24"/>
          <w:szCs w:val="24"/>
        </w:rPr>
        <w:t xml:space="preserve">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nebo její část</w:t>
      </w:r>
      <w:r w:rsidR="00606DAF" w:rsidRPr="000724F1">
        <w:rPr>
          <w:rFonts w:ascii="Arial" w:hAnsi="Arial" w:cs="Arial"/>
          <w:sz w:val="24"/>
          <w:szCs w:val="24"/>
        </w:rPr>
        <w:t xml:space="preserve">, a vratka je realizována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v roce 2018,</w:t>
      </w:r>
      <w:r w:rsidR="00606DAF" w:rsidRPr="000724F1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č. 27 </w:t>
      </w:r>
      <w:r w:rsidR="00606DAF" w:rsidRPr="000724F1">
        <w:rPr>
          <w:rFonts w:ascii="Arial" w:hAnsi="Arial" w:cs="Arial"/>
          <w:b/>
          <w:bCs/>
          <w:sz w:val="24"/>
          <w:szCs w:val="24"/>
        </w:rPr>
        <w:noBreakHyphen/>
        <w:t xml:space="preserve"> 4228330207/0100</w:t>
      </w:r>
      <w:r w:rsidR="00606DAF" w:rsidRPr="000724F1">
        <w:rPr>
          <w:rFonts w:ascii="Arial" w:hAnsi="Arial" w:cs="Arial"/>
          <w:sz w:val="24"/>
          <w:szCs w:val="24"/>
        </w:rPr>
        <w:t xml:space="preserve"> u Komerční banky, a.s., pobočka Olomouc.  V případě, že je vratka realizována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v roce 2019</w:t>
      </w:r>
      <w:r w:rsidR="00606DAF" w:rsidRPr="000724F1">
        <w:rPr>
          <w:rFonts w:ascii="Arial" w:hAnsi="Arial" w:cs="Arial"/>
          <w:sz w:val="24"/>
          <w:szCs w:val="24"/>
        </w:rPr>
        <w:t xml:space="preserve"> vrátí příjemce krajskou dotaci nebo její část na účet poskytovatele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č. 27-4228320287/0100</w:t>
      </w:r>
      <w:r w:rsidR="00606DAF" w:rsidRPr="000724F1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Případný odvod či penále</w:t>
      </w:r>
      <w:r w:rsidR="00606DAF" w:rsidRPr="000724F1">
        <w:rPr>
          <w:rFonts w:ascii="Arial" w:hAnsi="Arial" w:cs="Arial"/>
          <w:sz w:val="24"/>
          <w:szCs w:val="24"/>
        </w:rPr>
        <w:t>, které se týká krajské dotace, se hradí na účet poskytovatele č. </w:t>
      </w:r>
      <w:r w:rsidR="00606DAF" w:rsidRPr="000724F1">
        <w:rPr>
          <w:rFonts w:ascii="Arial" w:hAnsi="Arial" w:cs="Arial"/>
          <w:b/>
          <w:bCs/>
          <w:sz w:val="24"/>
          <w:szCs w:val="24"/>
        </w:rPr>
        <w:t>27-4228320287/0100</w:t>
      </w:r>
      <w:r w:rsidR="00606DAF" w:rsidRPr="000724F1">
        <w:rPr>
          <w:rFonts w:ascii="Arial" w:hAnsi="Arial" w:cs="Arial"/>
          <w:sz w:val="24"/>
          <w:szCs w:val="24"/>
        </w:rPr>
        <w:t xml:space="preserve"> na základě vystavené faktury. </w:t>
      </w:r>
    </w:p>
    <w:p w14:paraId="3C925912" w14:textId="482D5F98" w:rsidR="009A3DA5" w:rsidRPr="00F737AF" w:rsidRDefault="00606DAF" w:rsidP="00606DAF">
      <w:pPr>
        <w:tabs>
          <w:tab w:val="num" w:pos="567"/>
          <w:tab w:val="left" w:pos="851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0724F1">
        <w:rPr>
          <w:rFonts w:ascii="Arial" w:hAnsi="Arial" w:cs="Arial"/>
          <w:sz w:val="24"/>
          <w:szCs w:val="24"/>
        </w:rPr>
        <w:t xml:space="preserve">V případě, že je příjemce dle této smlouvy povinen vrátit </w:t>
      </w:r>
      <w:r w:rsidRPr="000724F1">
        <w:rPr>
          <w:rFonts w:ascii="Arial" w:hAnsi="Arial" w:cs="Arial"/>
          <w:b/>
          <w:bCs/>
          <w:sz w:val="24"/>
          <w:szCs w:val="24"/>
        </w:rPr>
        <w:t>státní dotaci</w:t>
      </w:r>
      <w:r w:rsidRPr="000724F1">
        <w:rPr>
          <w:rFonts w:ascii="Arial" w:hAnsi="Arial" w:cs="Arial"/>
          <w:sz w:val="24"/>
          <w:szCs w:val="24"/>
        </w:rPr>
        <w:t xml:space="preserve"> </w:t>
      </w:r>
      <w:r w:rsidRPr="000724F1">
        <w:rPr>
          <w:rFonts w:ascii="Arial" w:hAnsi="Arial" w:cs="Arial"/>
          <w:b/>
          <w:bCs/>
          <w:sz w:val="24"/>
          <w:szCs w:val="24"/>
        </w:rPr>
        <w:t xml:space="preserve">nebo její část, </w:t>
      </w:r>
      <w:r w:rsidRPr="000724F1">
        <w:rPr>
          <w:rFonts w:ascii="Arial" w:hAnsi="Arial" w:cs="Arial"/>
          <w:bCs/>
          <w:sz w:val="24"/>
          <w:szCs w:val="24"/>
        </w:rPr>
        <w:t>a vratka je realizována</w:t>
      </w:r>
      <w:r w:rsidRPr="000724F1">
        <w:rPr>
          <w:rFonts w:ascii="Arial" w:hAnsi="Arial" w:cs="Arial"/>
          <w:b/>
          <w:bCs/>
          <w:sz w:val="24"/>
          <w:szCs w:val="24"/>
        </w:rPr>
        <w:t xml:space="preserve"> v roce 2018</w:t>
      </w:r>
      <w:r w:rsidRPr="000724F1">
        <w:rPr>
          <w:rFonts w:ascii="Arial" w:hAnsi="Arial" w:cs="Arial"/>
          <w:sz w:val="24"/>
          <w:szCs w:val="24"/>
        </w:rPr>
        <w:t xml:space="preserve">, vrátí příjemce dotaci na účet </w:t>
      </w:r>
      <w:r w:rsidRPr="000724F1">
        <w:rPr>
          <w:rFonts w:ascii="Arial" w:hAnsi="Arial" w:cs="Arial"/>
          <w:b/>
          <w:bCs/>
          <w:sz w:val="24"/>
          <w:szCs w:val="24"/>
        </w:rPr>
        <w:t>27-4228330207/0100</w:t>
      </w:r>
      <w:r w:rsidR="003C4F0F" w:rsidRPr="000724F1">
        <w:rPr>
          <w:rFonts w:ascii="Arial" w:hAnsi="Arial" w:cs="Arial"/>
          <w:sz w:val="24"/>
          <w:szCs w:val="24"/>
        </w:rPr>
        <w:t xml:space="preserve"> u Komerční banky.</w:t>
      </w:r>
      <w:r w:rsidRPr="000724F1">
        <w:rPr>
          <w:rFonts w:ascii="Arial" w:hAnsi="Arial" w:cs="Arial"/>
          <w:sz w:val="24"/>
          <w:szCs w:val="24"/>
        </w:rPr>
        <w:t xml:space="preserve"> V případě, že </w:t>
      </w:r>
      <w:r w:rsidRPr="000724F1">
        <w:rPr>
          <w:rFonts w:ascii="Arial" w:hAnsi="Arial" w:cs="Arial"/>
          <w:bCs/>
          <w:sz w:val="24"/>
          <w:szCs w:val="24"/>
        </w:rPr>
        <w:t>vratka je realizována</w:t>
      </w:r>
      <w:r w:rsidRPr="000724F1">
        <w:rPr>
          <w:rFonts w:ascii="Arial" w:hAnsi="Arial" w:cs="Arial"/>
          <w:b/>
          <w:bCs/>
          <w:sz w:val="24"/>
          <w:szCs w:val="24"/>
        </w:rPr>
        <w:t xml:space="preserve"> v roce 2019,</w:t>
      </w:r>
      <w:r w:rsidRPr="000724F1">
        <w:rPr>
          <w:rFonts w:ascii="Arial" w:hAnsi="Arial" w:cs="Arial"/>
          <w:sz w:val="24"/>
          <w:szCs w:val="24"/>
        </w:rPr>
        <w:t xml:space="preserve"> je příjemce povinen vrátit státní dotaci nebo její část  nebo </w:t>
      </w:r>
      <w:r w:rsidRPr="000724F1">
        <w:rPr>
          <w:rFonts w:ascii="Arial" w:hAnsi="Arial" w:cs="Arial"/>
          <w:b/>
          <w:bCs/>
          <w:sz w:val="24"/>
          <w:szCs w:val="24"/>
        </w:rPr>
        <w:t xml:space="preserve">uhradit odvod nebo penále, </w:t>
      </w:r>
      <w:r w:rsidRPr="000724F1">
        <w:rPr>
          <w:rFonts w:ascii="Arial" w:hAnsi="Arial" w:cs="Arial"/>
          <w:sz w:val="24"/>
          <w:szCs w:val="24"/>
        </w:rPr>
        <w:t xml:space="preserve">které se týká státní dotace, na účet poskytovatele </w:t>
      </w:r>
      <w:r w:rsidRPr="000724F1">
        <w:rPr>
          <w:rFonts w:ascii="Arial" w:hAnsi="Arial" w:cs="Arial"/>
          <w:b/>
          <w:bCs/>
          <w:sz w:val="24"/>
          <w:szCs w:val="24"/>
        </w:rPr>
        <w:t xml:space="preserve">94-5722811/0710 </w:t>
      </w:r>
      <w:r w:rsidRPr="00F737AF">
        <w:rPr>
          <w:rFonts w:ascii="Arial" w:hAnsi="Arial" w:cs="Arial"/>
          <w:bCs/>
          <w:sz w:val="24"/>
          <w:szCs w:val="24"/>
        </w:rPr>
        <w:t>u České národní banky.</w:t>
      </w:r>
      <w:r w:rsidRPr="00F737AF">
        <w:rPr>
          <w:rFonts w:ascii="Arial" w:hAnsi="Arial" w:cs="Arial"/>
          <w:sz w:val="24"/>
          <w:szCs w:val="24"/>
        </w:rPr>
        <w:t xml:space="preserve"> </w:t>
      </w:r>
    </w:p>
    <w:p w14:paraId="3C925914" w14:textId="5DFDD597" w:rsidR="009A3DA5" w:rsidRPr="000724F1" w:rsidRDefault="009A3DA5" w:rsidP="003C4F0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adresy sídla, 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D7CB484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724F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0B33F7" w:rsidRPr="000724F1">
        <w:rPr>
          <w:rFonts w:ascii="Arial" w:eastAsia="Times New Roman" w:hAnsi="Arial" w:cs="Arial"/>
          <w:sz w:val="24"/>
          <w:szCs w:val="24"/>
          <w:lang w:eastAsia="cs-CZ"/>
        </w:rPr>
        <w:t>h (jsou-li zřízeny) po dobu nejméně jednoho roku od účinnosti této smlouvy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</w:t>
      </w:r>
      <w:r w:rsidR="00EE23A3" w:rsidRPr="000724F1">
        <w:rPr>
          <w:rFonts w:ascii="Arial" w:eastAsia="Times New Roman" w:hAnsi="Arial" w:cs="Arial"/>
          <w:sz w:val="24"/>
          <w:szCs w:val="24"/>
          <w:lang w:eastAsia="cs-CZ"/>
        </w:rPr>
        <w:t>né zařízení, s </w:t>
      </w:r>
      <w:r w:rsidRPr="000724F1">
        <w:rPr>
          <w:rFonts w:ascii="Arial" w:eastAsia="Times New Roman" w:hAnsi="Arial" w:cs="Arial"/>
          <w:sz w:val="24"/>
          <w:szCs w:val="24"/>
          <w:lang w:eastAsia="cs-CZ"/>
        </w:rPr>
        <w:t xml:space="preserve">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085BBE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5BB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085BBE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85BB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85BB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85BBE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085BB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85BB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24D1C66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C" w14:textId="2EF94391" w:rsidR="009A3DA5" w:rsidRDefault="000B33F7" w:rsidP="000B33F7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Hynek</w:t>
            </w:r>
          </w:p>
          <w:p w14:paraId="2BA1DD48" w14:textId="7550AFDF" w:rsidR="000B33F7" w:rsidRPr="000B33F7" w:rsidRDefault="000B33F7" w:rsidP="000B33F7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22552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2FFEAA5C" w14:textId="77777777" w:rsidR="009542C7" w:rsidRDefault="009542C7" w:rsidP="009542C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E" w14:textId="77777777" w:rsidR="009542C7" w:rsidRDefault="009542C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542C7" w14:paraId="6411B811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B807" w14:textId="77777777" w:rsidR="009542C7" w:rsidRDefault="009542C7" w:rsidP="000B33F7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4D9BA" w14:textId="77777777" w:rsidR="009542C7" w:rsidRDefault="009542C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044205B2" w14:textId="1EB458A6" w:rsidR="00D65393" w:rsidRPr="000B33F7" w:rsidRDefault="00EE23A3" w:rsidP="00085BBE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b/>
          <w:strike/>
          <w:sz w:val="24"/>
          <w:szCs w:val="24"/>
          <w:lang w:eastAsia="cs-CZ"/>
        </w:rPr>
      </w:pPr>
      <w:r w:rsidRPr="000B33F7">
        <w:rPr>
          <w:rFonts w:ascii="Arial" w:eastAsia="Times New Roman" w:hAnsi="Arial" w:cs="Arial"/>
          <w:b/>
          <w:strike/>
          <w:sz w:val="24"/>
          <w:szCs w:val="24"/>
          <w:lang w:eastAsia="cs-CZ"/>
        </w:rPr>
        <w:t xml:space="preserve"> </w:t>
      </w:r>
    </w:p>
    <w:sectPr w:rsidR="00D65393" w:rsidRPr="000B33F7" w:rsidSect="007903E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04EC5" w14:textId="77777777" w:rsidR="00183CAA" w:rsidRDefault="00183CAA" w:rsidP="00D40C40">
      <w:r>
        <w:separator/>
      </w:r>
    </w:p>
  </w:endnote>
  <w:endnote w:type="continuationSeparator" w:id="0">
    <w:p w14:paraId="567266D4" w14:textId="77777777" w:rsidR="00183CAA" w:rsidRDefault="00183CA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649704382"/>
      <w:docPartObj>
        <w:docPartGallery w:val="Page Numbers (Bottom of Page)"/>
        <w:docPartUnique/>
      </w:docPartObj>
    </w:sdtPr>
    <w:sdtEndPr/>
    <w:sdtContent>
      <w:p w14:paraId="4A0E0378" w14:textId="2A705706" w:rsidR="00327804" w:rsidRPr="00327804" w:rsidRDefault="00BB255E" w:rsidP="00327804">
        <w:pPr>
          <w:pStyle w:val="Zpat"/>
          <w:pBdr>
            <w:top w:val="single" w:sz="4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26</w: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2. 2018 </w: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37</w: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 w:rsidR="00121CF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48</w: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16A8017E" w14:textId="38E84CE9" w:rsidR="00327804" w:rsidRPr="00327804" w:rsidRDefault="00BB255E" w:rsidP="00327804">
        <w:pPr>
          <w:pStyle w:val="Zpat"/>
          <w:pBdr>
            <w:top w:val="single" w:sz="4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15</w:t>
        </w:r>
        <w:r w:rsidR="00327804"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– Program na podporu práce s dětmi a mládeží pro nestátní neziskové organizace v roce 2018 - </w:t>
        </w:r>
      </w:p>
      <w:p w14:paraId="464DEBA8" w14:textId="77777777" w:rsidR="00327804" w:rsidRPr="00327804" w:rsidRDefault="00327804" w:rsidP="00327804">
        <w:pPr>
          <w:pStyle w:val="Zpat"/>
          <w:pBdr>
            <w:top w:val="single" w:sz="4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vyhlášení</w:t>
        </w:r>
      </w:p>
      <w:p w14:paraId="37BA5330" w14:textId="3C53DD88" w:rsidR="00D20B9A" w:rsidRPr="00B721F1" w:rsidRDefault="00327804" w:rsidP="00B721F1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Příloha č. 3 – Vzor</w:t>
        </w:r>
        <w:r w:rsidR="00B721F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ová veřejnoprávní smlouva</w:t>
        </w:r>
        <w:r w:rsidRPr="0032780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 poskytnutí dotace na akci právnickým osobám</w:t>
        </w:r>
        <w:r w:rsidR="00B721F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v rámci programu na podporu práce s dětmi a mládeží pro NNO v roce 2018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32561" w14:textId="77777777" w:rsidR="00183CAA" w:rsidRDefault="00183CAA" w:rsidP="00D40C40">
      <w:r>
        <w:separator/>
      </w:r>
    </w:p>
  </w:footnote>
  <w:footnote w:type="continuationSeparator" w:id="0">
    <w:p w14:paraId="53D31E73" w14:textId="77777777" w:rsidR="00183CAA" w:rsidRDefault="00183CA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B87F2" w14:textId="7C6989B3" w:rsidR="00CD5CE3" w:rsidRPr="008225FD" w:rsidRDefault="008E624A" w:rsidP="00CD5CE3">
    <w:pPr>
      <w:pStyle w:val="Zhlav"/>
      <w:jc w:val="center"/>
      <w:rPr>
        <w:rFonts w:ascii="Arial" w:hAnsi="Arial" w:cs="Arial"/>
        <w:i/>
        <w:sz w:val="24"/>
        <w:szCs w:val="24"/>
      </w:rPr>
    </w:pPr>
    <w:r w:rsidRPr="008225FD">
      <w:rPr>
        <w:rFonts w:ascii="Arial" w:hAnsi="Arial" w:cs="Arial"/>
        <w:i/>
        <w:sz w:val="24"/>
        <w:szCs w:val="24"/>
      </w:rPr>
      <w:t>Příloha č. 3 – Vzor</w:t>
    </w:r>
    <w:r w:rsidR="00B721F1" w:rsidRPr="008225FD">
      <w:rPr>
        <w:rFonts w:ascii="Arial" w:hAnsi="Arial" w:cs="Arial"/>
        <w:i/>
        <w:sz w:val="24"/>
        <w:szCs w:val="24"/>
      </w:rPr>
      <w:t>ová veřejnoprávní smlouva</w:t>
    </w:r>
    <w:r w:rsidRPr="008225FD">
      <w:rPr>
        <w:rFonts w:ascii="Arial" w:hAnsi="Arial" w:cs="Arial"/>
        <w:i/>
        <w:sz w:val="24"/>
        <w:szCs w:val="24"/>
      </w:rPr>
      <w:t xml:space="preserve"> o poskytnutí dotace na akci</w:t>
    </w:r>
  </w:p>
  <w:p w14:paraId="6418EFA7" w14:textId="36E28C5F" w:rsidR="008E624A" w:rsidRPr="008225FD" w:rsidRDefault="008E624A" w:rsidP="00CD5CE3">
    <w:pPr>
      <w:pStyle w:val="Zhlav"/>
      <w:jc w:val="center"/>
      <w:rPr>
        <w:rFonts w:ascii="Arial" w:hAnsi="Arial" w:cs="Arial"/>
        <w:i/>
        <w:sz w:val="24"/>
        <w:szCs w:val="24"/>
      </w:rPr>
    </w:pPr>
    <w:r w:rsidRPr="008225FD">
      <w:rPr>
        <w:rFonts w:ascii="Arial" w:hAnsi="Arial" w:cs="Arial"/>
        <w:i/>
        <w:sz w:val="24"/>
        <w:szCs w:val="24"/>
      </w:rPr>
      <w:t>právnickým osobám</w:t>
    </w:r>
    <w:r w:rsidR="00B721F1" w:rsidRPr="008225FD">
      <w:rPr>
        <w:rFonts w:ascii="Arial" w:hAnsi="Arial" w:cs="Arial"/>
        <w:i/>
        <w:sz w:val="24"/>
        <w:szCs w:val="24"/>
      </w:rPr>
      <w:t xml:space="preserve"> v rámci programu na podporu práce s dětmi a mládeží pro NNO v roce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DE7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3769"/>
    <w:rsid w:val="000647E7"/>
    <w:rsid w:val="00064A0C"/>
    <w:rsid w:val="000672AE"/>
    <w:rsid w:val="00071CAE"/>
    <w:rsid w:val="000724F1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5BBE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33F7"/>
    <w:rsid w:val="000B4B4A"/>
    <w:rsid w:val="000B6F2C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1BE7"/>
    <w:rsid w:val="001130A1"/>
    <w:rsid w:val="001158F5"/>
    <w:rsid w:val="0011722F"/>
    <w:rsid w:val="00117CC2"/>
    <w:rsid w:val="00117EA0"/>
    <w:rsid w:val="00121CF8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CAA"/>
    <w:rsid w:val="00183F3D"/>
    <w:rsid w:val="001854AA"/>
    <w:rsid w:val="00185788"/>
    <w:rsid w:val="0018578D"/>
    <w:rsid w:val="001876F7"/>
    <w:rsid w:val="00187870"/>
    <w:rsid w:val="00187BC2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4B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6C2B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4C35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89C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2FF"/>
    <w:rsid w:val="002C1669"/>
    <w:rsid w:val="002C270B"/>
    <w:rsid w:val="002C2880"/>
    <w:rsid w:val="002C2940"/>
    <w:rsid w:val="002C4E03"/>
    <w:rsid w:val="002C6503"/>
    <w:rsid w:val="002D2C99"/>
    <w:rsid w:val="002D5445"/>
    <w:rsid w:val="002D6F4E"/>
    <w:rsid w:val="002E127B"/>
    <w:rsid w:val="002E22EC"/>
    <w:rsid w:val="002E4AC7"/>
    <w:rsid w:val="002E6113"/>
    <w:rsid w:val="002E6D52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278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F0F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3D6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9C6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31DD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E7DB6"/>
    <w:rsid w:val="005F27D1"/>
    <w:rsid w:val="005F43AE"/>
    <w:rsid w:val="005F4772"/>
    <w:rsid w:val="005F635A"/>
    <w:rsid w:val="006061B0"/>
    <w:rsid w:val="00606441"/>
    <w:rsid w:val="00606DAF"/>
    <w:rsid w:val="00607499"/>
    <w:rsid w:val="00607CC5"/>
    <w:rsid w:val="00610DE8"/>
    <w:rsid w:val="00610E32"/>
    <w:rsid w:val="00611A33"/>
    <w:rsid w:val="0061249D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B1A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D696B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921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3E7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028"/>
    <w:rsid w:val="007A6D92"/>
    <w:rsid w:val="007A75E6"/>
    <w:rsid w:val="007B0945"/>
    <w:rsid w:val="007B0AE0"/>
    <w:rsid w:val="007B1A7C"/>
    <w:rsid w:val="007B44AB"/>
    <w:rsid w:val="007B4BDC"/>
    <w:rsid w:val="007B6609"/>
    <w:rsid w:val="007C018B"/>
    <w:rsid w:val="007C0228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5FD"/>
    <w:rsid w:val="00822CBA"/>
    <w:rsid w:val="00824CBB"/>
    <w:rsid w:val="00826334"/>
    <w:rsid w:val="00830D56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7B4F"/>
    <w:rsid w:val="008771BB"/>
    <w:rsid w:val="00880F39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1509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24A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27ADE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42C7"/>
    <w:rsid w:val="009544FE"/>
    <w:rsid w:val="00955EF2"/>
    <w:rsid w:val="0095627A"/>
    <w:rsid w:val="00957D20"/>
    <w:rsid w:val="0096469A"/>
    <w:rsid w:val="00966543"/>
    <w:rsid w:val="00967B30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C7BD7"/>
    <w:rsid w:val="009D2600"/>
    <w:rsid w:val="009D2BF2"/>
    <w:rsid w:val="009D3C37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1634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AAE"/>
    <w:rsid w:val="00AB4ECA"/>
    <w:rsid w:val="00AB66CC"/>
    <w:rsid w:val="00AC020C"/>
    <w:rsid w:val="00AC13E7"/>
    <w:rsid w:val="00AC34BB"/>
    <w:rsid w:val="00AC4744"/>
    <w:rsid w:val="00AD0592"/>
    <w:rsid w:val="00AD3B56"/>
    <w:rsid w:val="00AD46AF"/>
    <w:rsid w:val="00AE18C4"/>
    <w:rsid w:val="00AE30DE"/>
    <w:rsid w:val="00AE3DBD"/>
    <w:rsid w:val="00AF161F"/>
    <w:rsid w:val="00AF3ED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2E16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1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5E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330"/>
    <w:rsid w:val="00C43C6C"/>
    <w:rsid w:val="00C43E35"/>
    <w:rsid w:val="00C47458"/>
    <w:rsid w:val="00C475DB"/>
    <w:rsid w:val="00C47F0C"/>
    <w:rsid w:val="00C51C7B"/>
    <w:rsid w:val="00C522FA"/>
    <w:rsid w:val="00C524A4"/>
    <w:rsid w:val="00C568AA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1706"/>
    <w:rsid w:val="00C92651"/>
    <w:rsid w:val="00C93442"/>
    <w:rsid w:val="00C95988"/>
    <w:rsid w:val="00C965F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5CE3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2E3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072C"/>
    <w:rsid w:val="00E71C80"/>
    <w:rsid w:val="00E72981"/>
    <w:rsid w:val="00E72E98"/>
    <w:rsid w:val="00E750DB"/>
    <w:rsid w:val="00E764A0"/>
    <w:rsid w:val="00E76976"/>
    <w:rsid w:val="00E76FF4"/>
    <w:rsid w:val="00E8134E"/>
    <w:rsid w:val="00E815E8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3A3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97"/>
    <w:rsid w:val="00F50DE0"/>
    <w:rsid w:val="00F53D0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37AF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6D2A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6B44-AC1D-46E6-BAAB-D751DAF4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2383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Kosková Kateřina</cp:lastModifiedBy>
  <cp:revision>58</cp:revision>
  <cp:lastPrinted>2016-11-21T11:05:00Z</cp:lastPrinted>
  <dcterms:created xsi:type="dcterms:W3CDTF">2017-09-18T17:12:00Z</dcterms:created>
  <dcterms:modified xsi:type="dcterms:W3CDTF">2018-02-06T09:45:00Z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