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722267">
        <w:trPr>
          <w:cantSplit/>
        </w:trPr>
        <w:tc>
          <w:tcPr>
            <w:tcW w:w="2826" w:type="dxa"/>
            <w:gridSpan w:val="2"/>
          </w:tcPr>
          <w:p w:rsidR="00722267" w:rsidRDefault="00722267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PŘÍLOHA </w:t>
            </w:r>
          </w:p>
        </w:tc>
      </w:tr>
      <w:tr w:rsidR="00722267">
        <w:trPr>
          <w:cantSplit/>
        </w:trPr>
        <w:tc>
          <w:tcPr>
            <w:tcW w:w="314" w:type="dxa"/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722267" w:rsidRDefault="005104C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722267">
        <w:trPr>
          <w:cantSplit/>
        </w:trPr>
        <w:tc>
          <w:tcPr>
            <w:tcW w:w="2826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722267">
        <w:trPr>
          <w:cantSplit/>
        </w:trPr>
        <w:tc>
          <w:tcPr>
            <w:tcW w:w="2826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2017</w:t>
            </w:r>
          </w:p>
        </w:tc>
      </w:tr>
      <w:tr w:rsidR="00722267">
        <w:trPr>
          <w:cantSplit/>
        </w:trPr>
        <w:tc>
          <w:tcPr>
            <w:tcW w:w="2826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722267">
        <w:trPr>
          <w:cantSplit/>
        </w:trPr>
        <w:tc>
          <w:tcPr>
            <w:tcW w:w="2826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722267" w:rsidRDefault="00722267">
      <w:pPr>
        <w:sectPr w:rsidR="00722267" w:rsidSect="00E56A7D">
          <w:headerReference w:type="default" r:id="rId7"/>
          <w:footerReference w:type="default" r:id="rId8"/>
          <w:pgSz w:w="16835" w:h="11903" w:orient="landscape"/>
          <w:pgMar w:top="566" w:right="568" w:bottom="568" w:left="566" w:header="566" w:footer="568" w:gutter="0"/>
          <w:pgNumType w:start="459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2826" w:type="dxa"/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7"/>
        <w:gridCol w:w="7536"/>
        <w:gridCol w:w="314"/>
        <w:gridCol w:w="785"/>
        <w:gridCol w:w="3140"/>
        <w:gridCol w:w="3141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A.1.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 (TEXT)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7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Účetní jednotka nemá informace o tom, že by byl porušen princip nepřetržitého trvání.</w:t>
            </w:r>
          </w:p>
        </w:tc>
      </w:tr>
      <w:tr w:rsidR="00722267">
        <w:trPr>
          <w:cantSplit/>
        </w:trPr>
        <w:tc>
          <w:tcPr>
            <w:tcW w:w="15701" w:type="dxa"/>
            <w:gridSpan w:val="7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A.2.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 (TEXT)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7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Vykazování syntetických účtů vychází z platné legislativy a Českých účetních standardů. Zásoby s výjimkou pohonných hmot, jsou účtovány způsobem B, netýká se kancelářských potřeb, které jsou účtovány přímo do spotřeby v souladu s vnitřním předpisem. Nákup a spotřeba pohonných hmot jsou účtovány způsobem A. Pořízené zásoby se oceňují pořizovacími cenami.</w:t>
            </w:r>
          </w:p>
        </w:tc>
      </w:tr>
      <w:tr w:rsidR="00722267">
        <w:trPr>
          <w:cantSplit/>
        </w:trPr>
        <w:tc>
          <w:tcPr>
            <w:tcW w:w="15701" w:type="dxa"/>
            <w:gridSpan w:val="7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(TEXT)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7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Majetek je oceňován v souladu s platnými právními předpisy, změny způsobu oceňování nenastaly. Majetek určený k prodeji je oceňován reálnou hodnotou k datu rozhodnutí rady o záměru prodeje (u záměrů od </w:t>
            </w:r>
            <w:proofErr w:type="gramStart"/>
            <w:r>
              <w:rPr>
                <w:rFonts w:ascii="Arial" w:hAnsi="Arial"/>
                <w:sz w:val="18"/>
              </w:rPr>
              <w:t>1.7.2016</w:t>
            </w:r>
            <w:proofErr w:type="gramEnd"/>
            <w:r>
              <w:rPr>
                <w:rFonts w:ascii="Arial" w:hAnsi="Arial"/>
                <w:sz w:val="18"/>
              </w:rPr>
              <w:t xml:space="preserve">), hladina významnosti v případě hmotného majetku je 40 tis. Kč, v případě nehmotného majetku 60 tis. Kč (rozdíl mezi reálnou hodnotou a zůstatkovou cenou u odpisovaného majetku a rozdíl mezi reálnou hodnotou a pořizovací cenou u neodpisovaného majetku). U záměrů z dřívějšího období je ocenění RH provedeno v den předání z hospodaření příspěvkové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organizace.Účetní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jednotka neprovádí daňové odpisy. Účetní jednotka provádí rovnoměrný způsob odpisování majetku měsíčně v souladu s ČÚS č. 708. Účetní jednotka vede podrozvahovou evidenci v souladu s vyhláškou č. 410/2009 Sb., ve znění pozdějších předpisů a v souladu s vnitřními předpisy. V podrozvahové evidenci je veden majetek, který byl svěřen k hospodaření příspěvkovým organizacím (účet 012, 013, 014, 019, 021, 022, 025, 029, 031, 032 a 036). V podrozvahové evidenci je rovněž veden zapůjčený majetek, včetně státního majetku. Na účtu 018 - Drobný dlouhodobý nehmotný majetek v rozsahu od 0,00 - 60 000,00 Kč, na účtu 028 - Drobný dlouhodobý hmotný majetek v rozsahu od 3 000,00 - 40 000,00 Kč, majetek s nižší cenou je evidován na účtu 902 - Jiný drobný dlouhodobý hmotný majetek. DDNM a DDHM vytvořený vlastní činností v roce 2017 nebyl pořízen. Přepočet údajů v cizích měnách na českou měnu je prováděn podle pevného kurzu, který je stanovený k </w:t>
            </w:r>
            <w:proofErr w:type="gramStart"/>
            <w:r>
              <w:rPr>
                <w:rFonts w:ascii="Arial" w:hAnsi="Arial"/>
                <w:sz w:val="18"/>
              </w:rPr>
              <w:t>1.1</w:t>
            </w:r>
            <w:proofErr w:type="gramEnd"/>
            <w:r>
              <w:rPr>
                <w:rFonts w:ascii="Arial" w:hAnsi="Arial"/>
                <w:sz w:val="18"/>
              </w:rPr>
              <w:t>. daného účetního období. Účet 419 - Ostatní fondy: fond sociálních potřeb je účtován rozvahově, fond na podporu výstavby a obnovu vodohospodářské infrastruktury výsledkově. Časové rozlišování je prováděno podle vnitřních směrnic.</w:t>
            </w:r>
          </w:p>
        </w:tc>
      </w:tr>
      <w:tr w:rsidR="00722267">
        <w:trPr>
          <w:cantSplit/>
        </w:trPr>
        <w:tc>
          <w:tcPr>
            <w:tcW w:w="15701" w:type="dxa"/>
            <w:gridSpan w:val="7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o stavu účtů v knize podrozvahových účtů</w:t>
            </w:r>
          </w:p>
        </w:tc>
      </w:tr>
      <w:tr w:rsidR="00722267">
        <w:trPr>
          <w:cantSplit/>
        </w:trPr>
        <w:tc>
          <w:tcPr>
            <w:tcW w:w="15701" w:type="dxa"/>
            <w:gridSpan w:val="7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536" w:type="dxa"/>
            <w:tcBorders>
              <w:top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722267">
        <w:trPr>
          <w:cantSplit/>
        </w:trPr>
        <w:tc>
          <w:tcPr>
            <w:tcW w:w="785" w:type="dxa"/>
            <w:gridSpan w:val="2"/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7850" w:type="dxa"/>
            <w:gridSpan w:val="2"/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722267" w:rsidRDefault="00722267">
      <w:pPr>
        <w:sectPr w:rsidR="0072226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7850"/>
        <w:gridCol w:w="785"/>
        <w:gridCol w:w="3140"/>
        <w:gridCol w:w="3141"/>
      </w:tblGrid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P.I.</w:t>
            </w:r>
            <w:proofErr w:type="gramEnd"/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28 593 915 042,23 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27 145 152 248,97 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nehmotný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1 527 603,90 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1 222 089,10 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1 061 209,48 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1 061 209,48 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28 591 326 228,85 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27 142 868 950,39 </w:t>
            </w:r>
          </w:p>
        </w:tc>
      </w:tr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105 028,00 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13 941 811,51 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105 028,00 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13 941 811,51 </w:t>
            </w:r>
          </w:p>
        </w:tc>
      </w:tr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podmíněné pohledávky z </w:t>
            </w:r>
            <w:proofErr w:type="spellStart"/>
            <w:r>
              <w:rPr>
                <w:rFonts w:ascii="Arial" w:hAnsi="Arial"/>
                <w:sz w:val="16"/>
              </w:rPr>
              <w:t>důvodou</w:t>
            </w:r>
            <w:proofErr w:type="spellEnd"/>
            <w:r>
              <w:rPr>
                <w:rFonts w:ascii="Arial" w:hAnsi="Arial"/>
                <w:sz w:val="16"/>
              </w:rPr>
              <w:t xml:space="preserve">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5 338 119,00 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6 415 619,50 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282 349,00 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2 276 417,00 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979 534,00 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4 076 236,00 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4 139 202,50 </w:t>
            </w:r>
          </w:p>
        </w:tc>
      </w:tr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P.V.</w:t>
            </w:r>
            <w:proofErr w:type="gramEnd"/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podmíněné pohledávky z transferů a dlouhodobé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1 181 597 765,83 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311 940 776,46 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1 168 813 641,80 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301 442 551,22 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12 784 124,03 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10 498 225,24 </w:t>
            </w:r>
          </w:p>
        </w:tc>
      </w:tr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28 283 067,66 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10 075 924,66 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18 294 143,00 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9 988 924,66 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10 075 924,66 </w:t>
            </w:r>
          </w:p>
        </w:tc>
      </w:tr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785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274 000 000,00 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274 000 000,00 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785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29 727 104 639,34 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27 692 494 458,28 </w:t>
            </w:r>
          </w:p>
        </w:tc>
      </w:tr>
      <w:tr w:rsidR="00722267">
        <w:trPr>
          <w:cantSplit/>
        </w:trPr>
        <w:tc>
          <w:tcPr>
            <w:tcW w:w="15701" w:type="dxa"/>
            <w:gridSpan w:val="5"/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22267" w:rsidRDefault="00722267">
      <w:pPr>
        <w:sectPr w:rsidR="00722267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A.5.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3 písm. b) zákona (TEXT)</w:t>
            </w:r>
          </w:p>
        </w:tc>
      </w:tr>
    </w:tbl>
    <w:p w:rsidR="00722267" w:rsidRDefault="00722267">
      <w:pPr>
        <w:sectPr w:rsidR="00722267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1"/>
      </w:tblGrid>
      <w:tr w:rsidR="00722267">
        <w:trPr>
          <w:cantSplit/>
        </w:trPr>
        <w:tc>
          <w:tcPr>
            <w:tcW w:w="15701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Olomoucký kraj byl vytvořen ústavním zákonem č. 347/1997 Sb., o vytvoření vyšších územních samosprávných celků a o změně ústavního zákona České národní rady č. 1/1993 Sb., Ústava České republiky, účinným od 1. 1. 2000. Olomoucký kraj není zapsán v obchodním rejstříku.</w:t>
            </w:r>
          </w:p>
        </w:tc>
      </w:tr>
      <w:tr w:rsidR="00722267">
        <w:trPr>
          <w:cantSplit/>
        </w:trPr>
        <w:tc>
          <w:tcPr>
            <w:tcW w:w="15701" w:type="dxa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A.6.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6 zákona (TEXT)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Mezi datem </w:t>
            </w:r>
            <w:proofErr w:type="gramStart"/>
            <w:r>
              <w:rPr>
                <w:rFonts w:ascii="Arial" w:hAnsi="Arial"/>
                <w:sz w:val="18"/>
              </w:rPr>
              <w:t>31.12.2017</w:t>
            </w:r>
            <w:proofErr w:type="gramEnd"/>
            <w:r>
              <w:rPr>
                <w:rFonts w:ascii="Arial" w:hAnsi="Arial"/>
                <w:sz w:val="18"/>
              </w:rPr>
              <w:t xml:space="preserve"> a okamžikem sestavení účetní závěrky nenastaly žádné události, které by měly významný ekonomický dopad.</w:t>
            </w:r>
          </w:p>
        </w:tc>
      </w:tr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B.1.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 (TEXT)</w:t>
            </w:r>
          </w:p>
        </w:tc>
      </w:tr>
    </w:tbl>
    <w:p w:rsidR="00722267" w:rsidRDefault="00722267">
      <w:pPr>
        <w:sectPr w:rsidR="00722267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1"/>
      </w:tblGrid>
      <w:tr w:rsidR="00722267">
        <w:trPr>
          <w:cantSplit/>
        </w:trPr>
        <w:tc>
          <w:tcPr>
            <w:tcW w:w="15701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Při převodu vlastnictví k nemovitým věcem, které podléhají zápisu do katastru nemovitostí a jsou zařazeny do užívání, se zahajuje odpisování prvním dnem měsíce, který následuje po měsíci, ve kterém byl doručen návrh na vklad katastrálnímu úřadu. K </w:t>
            </w:r>
            <w:proofErr w:type="gramStart"/>
            <w:r>
              <w:rPr>
                <w:rFonts w:ascii="Arial" w:hAnsi="Arial"/>
                <w:sz w:val="18"/>
              </w:rPr>
              <w:t>31.12.2017</w:t>
            </w:r>
            <w:proofErr w:type="gramEnd"/>
            <w:r>
              <w:rPr>
                <w:rFonts w:ascii="Arial" w:hAnsi="Arial"/>
                <w:sz w:val="18"/>
              </w:rPr>
              <w:t xml:space="preserve"> nemá účetní jednotka podaný návrh na vklad do katastru nemovitostí, ke kterému k datu uzávěrky nepřišla doložka o zápisu.</w:t>
            </w:r>
          </w:p>
        </w:tc>
      </w:tr>
      <w:tr w:rsidR="00722267">
        <w:trPr>
          <w:cantSplit/>
        </w:trPr>
        <w:tc>
          <w:tcPr>
            <w:tcW w:w="15701" w:type="dxa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7"/>
        <w:gridCol w:w="785"/>
        <w:gridCol w:w="7850"/>
        <w:gridCol w:w="3140"/>
        <w:gridCol w:w="3141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B.2.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 (TEXT)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Netýká se - účetní jednotka Olomoucký kraj nemá fond investic.</w:t>
            </w: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B.3.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68 odst. 3 (ČÍSLO A TEXT)</w:t>
            </w:r>
          </w:p>
        </w:tc>
      </w:tr>
      <w:tr w:rsidR="00722267">
        <w:trPr>
          <w:cantSplit/>
        </w:trPr>
        <w:tc>
          <w:tcPr>
            <w:tcW w:w="1570" w:type="dxa"/>
            <w:gridSpan w:val="3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1" w:type="dxa"/>
            <w:gridSpan w:val="3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průběhu roku 2017 nedošlo k významnému vzájemnému zúčtování.</w:t>
            </w: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C.I.1.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 xml:space="preserve"> Jmění účetní jednotky" a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C.I.3.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 xml:space="preserve"> Transfery na pořízení dlouhodobého majetku"</w:t>
            </w: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722267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5" w:type="dxa"/>
            <w:gridSpan w:val="2"/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722267" w:rsidRDefault="00722267">
      <w:pPr>
        <w:sectPr w:rsidR="00722267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5"/>
        <w:gridCol w:w="3140"/>
        <w:gridCol w:w="3141"/>
      </w:tblGrid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C.1.</w:t>
            </w:r>
            <w:proofErr w:type="gramEnd"/>
          </w:p>
        </w:tc>
        <w:tc>
          <w:tcPr>
            <w:tcW w:w="863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Zvýšení stavu transferů na pořízení dlouhodobého majetku za běžné účetní období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159 276 308,09 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57 219 161,07 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C.2.</w:t>
            </w:r>
            <w:proofErr w:type="gramEnd"/>
          </w:p>
        </w:tc>
        <w:tc>
          <w:tcPr>
            <w:tcW w:w="863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stavu transferů na pořízení dlouhodobého majetku ve věcné a časové souvislosti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25 958 217,07 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26 040 296,33 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D.1.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 (ČÍSLO A TEXT)</w:t>
            </w:r>
          </w:p>
        </w:tc>
      </w:tr>
    </w:tbl>
    <w:p w:rsidR="00722267" w:rsidRDefault="00722267">
      <w:pPr>
        <w:sectPr w:rsidR="00722267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1"/>
      </w:tblGrid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1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Účetní jednotka Olomoucký kraj nemá majetek oceněný podle § 25 </w:t>
            </w:r>
            <w:proofErr w:type="spellStart"/>
            <w:r>
              <w:rPr>
                <w:rFonts w:ascii="Arial" w:hAnsi="Arial"/>
                <w:sz w:val="18"/>
              </w:rPr>
              <w:t>ost</w:t>
            </w:r>
            <w:proofErr w:type="spellEnd"/>
            <w:r>
              <w:rPr>
                <w:rFonts w:ascii="Arial" w:hAnsi="Arial"/>
                <w:sz w:val="18"/>
              </w:rPr>
              <w:t>. 1 písm. k) zákona nebo v případě souborů tohoto majetku podle § 71 odst. 2 písm. a)</w:t>
            </w:r>
          </w:p>
        </w:tc>
      </w:tr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5"/>
        <w:gridCol w:w="2356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D.2.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 (ČÍSLO)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celkové výměry lesních pozemků s lesním porostem ve výši 57 Kč/m2 (ČÍSLO)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Výměra lesních pozemků s lesním porostem oceněným jiným způsobem (ČÍSLO)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oceněným jiným způsobem (ČÍSLO)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 oceněných jiným způsobem (ČÍSLO)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Komentář k ocenění lesních pozemků jiným způsobem (ČÍSLO A 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  <w:gridSpan w:val="2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4131" w:type="dxa"/>
            <w:gridSpan w:val="2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Netýká se.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E.1.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(TEXT)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722267" w:rsidRDefault="00722267">
      <w:pPr>
        <w:sectPr w:rsidR="00722267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C.I.3.</w:t>
            </w:r>
            <w:proofErr w:type="gramEnd"/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účtu 403 Transfery byla provedena oprava chybně použité analytiky v roce 2012, v roce 2017 Olomoucký kraj neprovedl žádný bezúplatný převod (SU 403, AU 0200)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572 326 999,78 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C.I.7.</w:t>
            </w:r>
            <w:proofErr w:type="gramEnd"/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Olomoucký kraj zaúčtoval opravu na účtu 408 - odúčtování účtu 042 - akce u příspěvkové organizace SŠ žel., techn. a služeb Šumperk - výměna oken a úprava fasády - akce byla v roce 2017 realizována jako oprava.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84 763 322,94 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B.II</w:t>
            </w:r>
            <w:proofErr w:type="gramEnd"/>
            <w:r>
              <w:rPr>
                <w:rFonts w:ascii="Arial" w:hAnsi="Arial"/>
                <w:b/>
                <w:sz w:val="18"/>
              </w:rPr>
              <w:t>.28.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účtu 373 Krátkodobé poskytnuté zálohy na transfery došlo v porovnání s roku 2016 k poklesu o 35 724 662,69 Kč - vyúčtování projektů, které byly již ukončeny.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1 447 516 589,07 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B.II</w:t>
            </w:r>
            <w:proofErr w:type="gramEnd"/>
            <w:r>
              <w:rPr>
                <w:rFonts w:ascii="Arial" w:hAnsi="Arial"/>
                <w:b/>
                <w:sz w:val="18"/>
              </w:rPr>
              <w:t>.32.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účtu 388 Dohadné účty aktivní došlo k nárůstu proti roku 2018 o 335 354 316,96 Kč - financování projektů ex-post.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1 335 651 147,89 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D.II</w:t>
            </w:r>
            <w:proofErr w:type="gramEnd"/>
            <w:r>
              <w:rPr>
                <w:rFonts w:ascii="Arial" w:hAnsi="Arial"/>
                <w:b/>
                <w:sz w:val="18"/>
              </w:rPr>
              <w:t>.1.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účtu 451 Dlouhodobé úvěry došlo ve srovnání s rokem 2016 k poklesu o 100 879 653,50 Kč - splátky úvěrů EIB.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3 654 272 283,50 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D.II</w:t>
            </w:r>
            <w:proofErr w:type="gramEnd"/>
            <w:r>
              <w:rPr>
                <w:rFonts w:ascii="Arial" w:hAnsi="Arial"/>
                <w:b/>
                <w:sz w:val="18"/>
              </w:rPr>
              <w:t>.8.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472 Dlouhodobé přijaté zálohy na transfery vykazuje proti roku 2015 zvýšení o 310 267 183,55 Kč - probíhá nové programové období.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558 100 944,92 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D.III</w:t>
            </w:r>
            <w:proofErr w:type="gramEnd"/>
            <w:r>
              <w:rPr>
                <w:rFonts w:ascii="Arial" w:hAnsi="Arial"/>
                <w:b/>
                <w:sz w:val="18"/>
              </w:rPr>
              <w:t>.32.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374 Krátkodobé přijaté zálohy na transfery vykazuje proti roku 2016 zvýšení o 175 723 493,26 Kč - probíhá nové programové období.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1 093 021 554,26 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A.IV</w:t>
            </w:r>
            <w:proofErr w:type="gramEnd"/>
            <w:r>
              <w:rPr>
                <w:rFonts w:ascii="Arial" w:hAnsi="Arial"/>
                <w:b/>
                <w:sz w:val="18"/>
              </w:rPr>
              <w:t>.6.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471 Dlouhodobé poskytnuté zálohy na transfery vykazuje proti roku 2016 pokles o 424 401 547,17 Kč - vyúčtování projektů, které byly ukončeny.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513 457 160,00 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5"/>
        <w:gridCol w:w="2356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E.2.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výkazu zisku a ztráty (TEXT)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722267" w:rsidRDefault="00722267">
      <w:pPr>
        <w:sectPr w:rsidR="00722267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A.I.30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Prodaný dlouhodobý hmotný majetek činil 2 790 835,00 Kč, pokles proti roku 2016 o 109 258 949,60 Kč.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2 790 835,00 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A.I.31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Prodané pozemky činily 10 412 076,79 Kč, pokles proti roku 2016 o 24 552 775,08 Kč.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10 412 076,79 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B.I.14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Výnosy z prodeje dlouhodobého hmotného majetku kromě pozemků činily 13 708 000,00 Kč, což je pokles proti roku 2016 o 80 370 057,26 Kč.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13 708 000,00 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B.I.15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Výnosy z prodeje pozemků činily 492 204,10 Kč, pokles proti roku 2016 o 8 353 726,90 </w:t>
            </w:r>
            <w:proofErr w:type="gramStart"/>
            <w:r>
              <w:rPr>
                <w:rFonts w:ascii="Arial" w:hAnsi="Arial"/>
                <w:sz w:val="18"/>
              </w:rPr>
              <w:t>Kč..</w:t>
            </w:r>
            <w:proofErr w:type="gramEnd"/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492 204,10 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A.I.23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Účet 542 Jiné pokuty a penále vykazuje nárůst proti roku 2016 o 19 333 625,37 Kč. Stav na účtu ovlivnilo zejména zaúčtování platebního výměru ÚRR - projekt silnice II/444 Mohelnice - Stavenice, ve výši 23 518 604,00 Kč.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31 225 444,00 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C.V.2.</w:t>
            </w:r>
            <w:proofErr w:type="gramEnd"/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 účtu 595 Dodatečné odvody daně z příjmů byla zaúčtována korekce daně z příjmu právnických osob za rok 2016 na základě daňového přiznání, zpracovaného daňovým poradenstvím.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20 231 400,00 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5"/>
        <w:gridCol w:w="2356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E.3.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 (TEXT)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722267" w:rsidRDefault="00722267">
      <w:pPr>
        <w:sectPr w:rsidR="00722267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Přehled o peněžních tocích je sestavován od roku 2011.  Peněžní toky z provozní činnosti byly v roce 2017 ovlivněny změnou stavu opravných </w:t>
            </w:r>
            <w:proofErr w:type="spellStart"/>
            <w:r>
              <w:rPr>
                <w:rFonts w:ascii="Arial" w:hAnsi="Arial"/>
                <w:sz w:val="18"/>
              </w:rPr>
              <w:t>položke</w:t>
            </w:r>
            <w:proofErr w:type="spellEnd"/>
            <w:r>
              <w:rPr>
                <w:rFonts w:ascii="Arial" w:hAnsi="Arial"/>
                <w:sz w:val="18"/>
              </w:rPr>
              <w:t xml:space="preserve"> (vytvoření opravné položky k účtu 061 - NOK, opravné položky 192, 194 a 199 k pohledávkám), prodejem dlouhodobého majetku, změnou stavu krátkodobých pohledávek, krátkodobých závazků a odpisy majetku.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434 352 094,00 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roce 2017 došlo ke snížení příjmů z prodeje dlouhodobého majetku určeného k prodeji proti roku 2016.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434 879 334,16-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Celková změna stavu peněžních prostředků meziročně o 42 310 380,10 Kč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333 644 357,22 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Stav peněžních prostředků k rozvahovému dni </w:t>
            </w:r>
            <w:proofErr w:type="gramStart"/>
            <w:r>
              <w:rPr>
                <w:rFonts w:ascii="Arial" w:hAnsi="Arial"/>
                <w:sz w:val="18"/>
              </w:rPr>
              <w:t>31.12.2017</w:t>
            </w:r>
            <w:proofErr w:type="gramEnd"/>
            <w:r>
              <w:rPr>
                <w:rFonts w:ascii="Arial" w:hAnsi="Arial"/>
                <w:sz w:val="18"/>
              </w:rPr>
              <w:t xml:space="preserve"> se meziročně zvýšil o 333 644 357,22 Kč.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1 350 456 896,79 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5"/>
        <w:gridCol w:w="2356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E.4.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změnách vlastního kapitálu (TEXT)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722267" w:rsidRDefault="00722267">
      <w:pPr>
        <w:sectPr w:rsidR="00722267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A.I.</w:t>
            </w:r>
            <w:proofErr w:type="gramEnd"/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Výkaz je sestavován od roku 2011, jmění účetní jednotky je ovlivněno zejména svěřením majetku vlastním příspěvkovým organizacím v souvislosti s předáním dokončeného dlouhodobého majetku (ukončení nájemní smlouvy, změna zřizovací listiny a svěření majetku ZZS OK Olomouc a OLÚ Paseka), případně převody majetku ze zřizovaných příspěvkových organizací zpět na zřizovatele z důvodu prodeje nebo darování jiné VÚJ.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2 806 905 748,63-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A.III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Transfery na pořízení dlouhodobého majetku - zejména z důvodu ukončení nájemní smlouvy, změny zřizovací </w:t>
            </w:r>
            <w:proofErr w:type="spellStart"/>
            <w:r>
              <w:rPr>
                <w:rFonts w:ascii="Arial" w:hAnsi="Arial"/>
                <w:sz w:val="18"/>
              </w:rPr>
              <w:t>listny</w:t>
            </w:r>
            <w:proofErr w:type="spellEnd"/>
            <w:r>
              <w:rPr>
                <w:rFonts w:ascii="Arial" w:hAnsi="Arial"/>
                <w:sz w:val="18"/>
              </w:rPr>
              <w:t xml:space="preserve"> a svěření majetku příspěvkovým organizacím ZZS OK Olomouc a OLÚ Paseka došlo k výrazné změně u položky </w:t>
            </w:r>
            <w:proofErr w:type="gramStart"/>
            <w:r>
              <w:rPr>
                <w:rFonts w:ascii="Arial" w:hAnsi="Arial"/>
                <w:sz w:val="18"/>
              </w:rPr>
              <w:t>A.III</w:t>
            </w:r>
            <w:proofErr w:type="gramEnd"/>
            <w:r>
              <w:rPr>
                <w:rFonts w:ascii="Arial" w:hAnsi="Arial"/>
                <w:sz w:val="18"/>
              </w:rPr>
              <w:t xml:space="preserve">.1.. U položky </w:t>
            </w:r>
            <w:proofErr w:type="gramStart"/>
            <w:r>
              <w:rPr>
                <w:rFonts w:ascii="Arial" w:hAnsi="Arial"/>
                <w:sz w:val="18"/>
              </w:rPr>
              <w:t>A.III</w:t>
            </w:r>
            <w:proofErr w:type="gramEnd"/>
            <w:r>
              <w:rPr>
                <w:rFonts w:ascii="Arial" w:hAnsi="Arial"/>
                <w:sz w:val="18"/>
              </w:rPr>
              <w:t>.2. byla v roce 2017 provedena oprava chybně použité analytiky z roku 2012. v roce 2017 Olomoucký kraj neprovedl žádný bezúplatný převod (SU 403 AU 0200).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572 326 999,78 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A.V.</w:t>
            </w:r>
            <w:proofErr w:type="gramEnd"/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Oceňovací rozdíly při prvotním použití metody - stav se </w:t>
            </w:r>
            <w:proofErr w:type="spellStart"/>
            <w:r>
              <w:rPr>
                <w:rFonts w:ascii="Arial" w:hAnsi="Arial"/>
                <w:sz w:val="18"/>
              </w:rPr>
              <w:t>prodi</w:t>
            </w:r>
            <w:proofErr w:type="spellEnd"/>
            <w:r>
              <w:rPr>
                <w:rFonts w:ascii="Arial" w:hAnsi="Arial"/>
                <w:sz w:val="18"/>
              </w:rPr>
              <w:t xml:space="preserve"> roku 2016 nezměnil, v roce 2017 nebyl účetní pohyb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2 041 706 204,40-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A.VI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Účetní jednotka Olomoucký kraj neeviduje k datu </w:t>
            </w:r>
            <w:proofErr w:type="gramStart"/>
            <w:r>
              <w:rPr>
                <w:rFonts w:ascii="Arial" w:hAnsi="Arial"/>
                <w:sz w:val="18"/>
              </w:rPr>
              <w:t>31.12.2017</w:t>
            </w:r>
            <w:proofErr w:type="gramEnd"/>
            <w:r>
              <w:rPr>
                <w:rFonts w:ascii="Arial" w:hAnsi="Arial"/>
                <w:sz w:val="18"/>
              </w:rPr>
              <w:t xml:space="preserve"> žádný majetek, určený k prodeji, přeceněný na reálnou hodnotu</w:t>
            </w:r>
          </w:p>
        </w:tc>
        <w:tc>
          <w:tcPr>
            <w:tcW w:w="2356" w:type="dxa"/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A.VII</w:t>
            </w:r>
            <w:proofErr w:type="gram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11775" w:type="dxa"/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 účtu 408 - Opravy předcházejících období bylo zaúčtováno 293 930,00 Kč - odúčtování nedokončené investice - akce ŠŠ </w:t>
            </w:r>
            <w:proofErr w:type="spellStart"/>
            <w:r>
              <w:rPr>
                <w:rFonts w:ascii="Arial" w:hAnsi="Arial"/>
                <w:sz w:val="18"/>
              </w:rPr>
              <w:t>žel.,techn</w:t>
            </w:r>
            <w:proofErr w:type="spellEnd"/>
            <w:r>
              <w:rPr>
                <w:rFonts w:ascii="Arial" w:hAnsi="Arial"/>
                <w:sz w:val="18"/>
              </w:rPr>
              <w:t>. a služeb Šumperk - výměna oken a úprava fasády - akce byla v roce 2017 provedena jako oprava</w:t>
            </w:r>
          </w:p>
        </w:tc>
        <w:tc>
          <w:tcPr>
            <w:tcW w:w="2356" w:type="dxa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84 763 322,94 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2"/>
        <w:gridCol w:w="3141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F.</w:t>
            </w:r>
          </w:p>
        </w:tc>
        <w:tc>
          <w:tcPr>
            <w:tcW w:w="15073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3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Ostatní fondy - územní samosprávné celky, svazky obcí, regionální rady regionů soudržnosti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2560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2" w:type="dxa"/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1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:rsidR="00722267" w:rsidRDefault="00722267">
      <w:pPr>
        <w:sectPr w:rsidR="00722267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2"/>
        <w:gridCol w:w="3141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G.I.</w:t>
            </w:r>
            <w:proofErr w:type="gramEnd"/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43 113 891,36 </w:t>
            </w: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65 196 410,70 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62 114 126,65 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3 082 284,05 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70 064 742,50 </w:t>
            </w: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38 245 559,56 </w:t>
            </w:r>
          </w:p>
        </w:tc>
      </w:tr>
      <w:tr w:rsidR="00722267">
        <w:trPr>
          <w:cantSplit/>
        </w:trPr>
        <w:tc>
          <w:tcPr>
            <w:tcW w:w="15701" w:type="dxa"/>
            <w:gridSpan w:val="3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722267" w:rsidRDefault="00722267">
      <w:pPr>
        <w:sectPr w:rsidR="00722267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G.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.3. Stavby" výkazu rozvahy</w:t>
            </w: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722267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722267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2 698 447 328,76 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913 180 218,56 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1 785 267 110,20 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2 221 815 355,18 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G.1.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227 982,00 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38 061,00 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189 921,00 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3 658 399,54 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G.2.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1 858 636 249,09 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616 060 274,00 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1 242 575 975,09 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1 533 969 690,82 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G.3.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nebytové domy a nebytové jednotky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438 821 663,39 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166 397 622,00 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272 424 041,39 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344 292 571,61 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G.4.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173 052 084,24 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40 618 829,56 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132 433 254,68 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178 232 640,25 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G.5.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149 176 448,82 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66 177 890,00 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82 998 558,82 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95 815 980,51 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G.6.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78 532 901,22 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23 887 542,00 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54 645 359,22 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65 846 072,45 </w:t>
            </w: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H.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.1. Pozemky" výkazu rozvahy</w:t>
            </w: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722267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722267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49 717 152,69 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49 717 152,69 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61 084 786,27 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H.1.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5 604 250,00 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5 604 250,00 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7 840 122,15 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H.2.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H.3.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5 251 584,00 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5 251 584,00 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5 463 177,36 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H.4.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8 076 393,93 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8 076 393,93 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8 827 655,42 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H.5.</w:t>
            </w:r>
            <w:proofErr w:type="gramEnd"/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30 784 924,76 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30 784 924,76 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38 953 831,34 </w:t>
            </w:r>
          </w:p>
        </w:tc>
      </w:tr>
      <w:tr w:rsidR="00722267">
        <w:trPr>
          <w:cantSplit/>
        </w:trPr>
        <w:tc>
          <w:tcPr>
            <w:tcW w:w="15701" w:type="dxa"/>
            <w:gridSpan w:val="6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I.</w:t>
            </w:r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.4. Náklady z přecenění reálnou hodnotou" výkazu zisku a ztráty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722267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722267" w:rsidRDefault="00722267">
      <w:pPr>
        <w:sectPr w:rsidR="00722267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27 236 611,94 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I.1.</w:t>
            </w:r>
            <w:proofErr w:type="gramEnd"/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 majetku určeného k prodeji podle § 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27 236 611,94 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I.2.</w:t>
            </w:r>
            <w:proofErr w:type="gramEnd"/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722267" w:rsidRDefault="00722267">
      <w:pPr>
        <w:sectPr w:rsidR="00722267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</w:t>
            </w:r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Doplňující informace k 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položce "B.II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.4. Výnosy z přecenění reálnou hodnotou" výkazu zisku a ztráty</w:t>
            </w:r>
          </w:p>
        </w:tc>
      </w:tr>
      <w:tr w:rsidR="00722267">
        <w:trPr>
          <w:cantSplit/>
        </w:trPr>
        <w:tc>
          <w:tcPr>
            <w:tcW w:w="15701" w:type="dxa"/>
            <w:gridSpan w:val="4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722267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722267" w:rsidRDefault="00722267">
      <w:pPr>
        <w:sectPr w:rsidR="00722267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8 170 664,42 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108 284 376,39 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J.1.</w:t>
            </w:r>
            <w:proofErr w:type="gramEnd"/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8 170 664,42 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108 284 376,39 </w:t>
            </w:r>
          </w:p>
        </w:tc>
      </w:tr>
      <w:tr w:rsidR="00722267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J.2.</w:t>
            </w:r>
            <w:proofErr w:type="gramEnd"/>
          </w:p>
        </w:tc>
        <w:tc>
          <w:tcPr>
            <w:tcW w:w="879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0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722267" w:rsidRDefault="00722267">
      <w:pPr>
        <w:sectPr w:rsidR="00722267">
          <w:headerReference w:type="default" r:id="rId121"/>
          <w:footerReference w:type="default" r:id="rId122"/>
          <w:headerReference w:type="first" r:id="rId123"/>
          <w:footerReference w:type="first" r:id="rId1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K.</w:t>
            </w:r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poskytnutým garancím</w:t>
            </w:r>
          </w:p>
        </w:tc>
      </w:tr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125"/>
          <w:footerReference w:type="default" r:id="rId126"/>
          <w:headerReference w:type="first" r:id="rId127"/>
          <w:footerReference w:type="first" r:id="rId12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4916"/>
      </w:tblGrid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K1.</w:t>
            </w:r>
          </w:p>
        </w:tc>
        <w:tc>
          <w:tcPr>
            <w:tcW w:w="14916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Doplňující informace k poskytnutým garancím jednorázovým</w:t>
            </w:r>
          </w:p>
        </w:tc>
      </w:tr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K2.</w:t>
            </w:r>
          </w:p>
        </w:tc>
        <w:tc>
          <w:tcPr>
            <w:tcW w:w="14916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Doplňující informace k poskytnutým garancím ostatním</w:t>
            </w:r>
          </w:p>
        </w:tc>
      </w:tr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1" w:type="dxa"/>
            <w:gridSpan w:val="2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Poznámky k vyplnění: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sloupce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Poznámka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IČ je identifikační číslo osoby (číselný kód k jednoznačné identifikaci subjektu), které jí bylo přiděleno Českým statistickým úřadem, Obchodním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rejstříkem nebo živnostenským úřadem. IČ by mělo být unikátní. V tomto sloupci uvede účetní jednotka IČ osoby (účetní jednotky), v jejíž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prospěch byla garance poskytnuta.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nebo obchodní jméno účetní jednotky, v jejíž prospěch byla garance poskytnuta. Název představuje označení, pod kterým účetní jednotka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provozuje svoji činnost. Obchodním jménem účetní jednotky zapsané do obchodního rejstříku je obchodní firma.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IČ je identifikační číslo osoby (číselný kód k jednoznačné identifikaci subjektu), které jí bylo přiděleno Českým statistickým úřadem, Obchodním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rejstříkem nebo živnostenským úřadem. IČ by mělo být unikátní.  V tomto sloupci uvede účetní jednotka IČ účetní jednotky (účetní jednotky), za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jejíž závazek byla garance poskytnuta.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nebo obchodní jméno účetní jednotky, za jejíž závazek byla poskytnuta garance. Název představuje označení, pod kterým účetní jednotka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provozuje svoji činnost. Obchodním jménem účetní jednotky </w:t>
            </w:r>
            <w:proofErr w:type="spellStart"/>
            <w:r>
              <w:rPr>
                <w:rFonts w:ascii="Arial" w:hAnsi="Arial"/>
                <w:i/>
                <w:sz w:val="14"/>
              </w:rPr>
              <w:t>zapsáné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do obchodního rejstříku je obchodní firma.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5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Datumem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poskytnutí garance se rozumí její zachycení v podrozvaze. Okamžikem vzniku podmíněného závazku se rozumí den poskytnutí písemného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prohlášení ručitele </w:t>
            </w:r>
            <w:proofErr w:type="spellStart"/>
            <w:r>
              <w:rPr>
                <w:rFonts w:ascii="Arial" w:hAnsi="Arial"/>
                <w:i/>
                <w:sz w:val="14"/>
              </w:rPr>
              <w:t>veřiteli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o ručení za závazky dlužníka vůči věřiteli (včetně podpisu avalu směnky), není-li dohodnuto jinak, podpisu záruční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listiny, schválení zákona o poskytnutí záruky Českou republikou.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Výše zajištěné pohledávky k aktuálnímu či poslednímu rozvahovému dni.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Den a měsíc účetního období, za které je sestavována účetní závěrka, a v němž došlo k plnění vyplývajícímu z garance. Plněním se rozumí realizace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garance, neboli úplné či částečné převzetí dluhu za původního dlužníka z titulu poskytnuté garance, neboť dlužník není schopen splatit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pohledávku </w:t>
            </w:r>
            <w:proofErr w:type="spellStart"/>
            <w:r>
              <w:rPr>
                <w:rFonts w:ascii="Arial" w:hAnsi="Arial"/>
                <w:i/>
                <w:sz w:val="14"/>
              </w:rPr>
              <w:t>vznikou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ručiteli z realizace garance.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8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 uhrazené pohledávky z titulu ručení či záruky v účetním období, za které je sestavována podrozvaha.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Souhrn dosavadních plnění (úhrad realizovaných ručitelem) z titulu konkrétního ručení či záruky.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</w:t>
            </w: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jednotka uvede číslo dle následujícího výčtu: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1 - Půjčky (zápůjčky), úvěry, návratné finanční výpomoci, 2 - Dluhové cenné papíry (včetně směnek), 3 - Přijaté vklady a depozita,</w:t>
            </w:r>
          </w:p>
        </w:tc>
      </w:tr>
      <w:tr w:rsidR="00722267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4 - Ostatní dlouhodobé závazky.</w:t>
            </w:r>
          </w:p>
        </w:tc>
      </w:tr>
    </w:tbl>
    <w:p w:rsidR="00722267" w:rsidRDefault="00722267">
      <w:pPr>
        <w:sectPr w:rsidR="00722267">
          <w:headerReference w:type="default" r:id="rId129"/>
          <w:footerReference w:type="default" r:id="rId130"/>
          <w:headerReference w:type="first" r:id="rId131"/>
          <w:footerReference w:type="first" r:id="rId13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722267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L.</w:t>
            </w:r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o projektech partnerství veřejného a soukromého sektoru</w:t>
            </w:r>
          </w:p>
        </w:tc>
      </w:tr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722267" w:rsidRDefault="00722267">
      <w:pPr>
        <w:sectPr w:rsidR="00722267">
          <w:headerReference w:type="default" r:id="rId133"/>
          <w:footerReference w:type="default" r:id="rId134"/>
          <w:headerReference w:type="first" r:id="rId135"/>
          <w:footerReference w:type="first" r:id="rId13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14602"/>
      </w:tblGrid>
      <w:tr w:rsidR="00722267">
        <w:trPr>
          <w:cantSplit/>
        </w:trPr>
        <w:tc>
          <w:tcPr>
            <w:tcW w:w="15701" w:type="dxa"/>
            <w:gridSpan w:val="2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Poznámky k vyplnění: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sloupce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Poznámka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a název veřejné zakázky, jak je uveden ve Věstníku veřejných zakázek.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Podle charakteru služeb, které jsou předmětem veřejné zakázky, uvede účetní jednotka odpovídající písmenné označení z následujícího výčtu: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 - Dopravní infrastruktura, B - Vzdělávání a související služby, C - Vodovody, kanalizace a nakládání s odpady, D - Sociální služby,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E - Zdravotnické služby, F - Teplo, energie, G - Ostatní.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 až 7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Předpokládaný nebo skutečný rok zahájení a rok ukončení stavby, pokud je stavba součástí předmětné veřejné zakázky.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 až 12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Skutečné náklady dodavatele na pořízení majetku v jednotlivých letech.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13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Skutečné náklady na pořízení majetku v celkové výši od uzavření smlouvy.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14 a 15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Rok zahájení a rok ukončení plateb poskytovaných účetní jednotkou dodavateli.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16,18,20,22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Celkové platby za dostupnost hrazené účetní jednotkou dodavateli. Obvykle zahrnují tak zvanou servisní složku, úhradu nákladů na pořízení majetku,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72226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úhradu nákladů na externí dluhové financování a další.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17,19,21,23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Investiční složka platby za </w:t>
            </w:r>
            <w:proofErr w:type="gramStart"/>
            <w:r>
              <w:rPr>
                <w:rFonts w:ascii="Arial" w:hAnsi="Arial"/>
                <w:i/>
                <w:sz w:val="14"/>
              </w:rPr>
              <w:t>dostupnost, neboli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výdaje na pořízení majetku v jednotlivých letech.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24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Celkové výdaje na pořízení majetku v platbách za dostupnost.</w:t>
            </w:r>
          </w:p>
        </w:tc>
      </w:tr>
      <w:tr w:rsidR="00722267">
        <w:trPr>
          <w:cantSplit/>
        </w:trPr>
        <w:tc>
          <w:tcPr>
            <w:tcW w:w="1099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25 až 29</w:t>
            </w:r>
          </w:p>
        </w:tc>
        <w:tc>
          <w:tcPr>
            <w:tcW w:w="14602" w:type="dxa"/>
            <w:tcMar>
              <w:top w:w="24" w:type="dxa"/>
              <w:bottom w:w="24" w:type="dxa"/>
            </w:tcMar>
          </w:tcPr>
          <w:p w:rsidR="00722267" w:rsidRDefault="005104C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Další plnění zadavatele v souvislosti s projektem (například nákup pozemků, úvěr poskytnutý dodavateli a další).</w:t>
            </w:r>
          </w:p>
        </w:tc>
      </w:tr>
    </w:tbl>
    <w:p w:rsidR="00722267" w:rsidRDefault="00722267">
      <w:pPr>
        <w:sectPr w:rsidR="00722267">
          <w:headerReference w:type="default" r:id="rId137"/>
          <w:footerReference w:type="default" r:id="rId138"/>
          <w:headerReference w:type="first" r:id="rId139"/>
          <w:footerReference w:type="first" r:id="rId14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0"/>
        <w:gridCol w:w="7851"/>
      </w:tblGrid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1" w:type="dxa"/>
            <w:gridSpan w:val="2"/>
            <w:tcBorders>
              <w:top w:val="single" w:sz="0" w:space="0" w:color="auto"/>
            </w:tcBorders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7850" w:type="dxa"/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7851" w:type="dxa"/>
          </w:tcPr>
          <w:p w:rsidR="00722267" w:rsidRDefault="0072226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15701" w:type="dxa"/>
            <w:gridSpan w:val="2"/>
          </w:tcPr>
          <w:p w:rsidR="00722267" w:rsidRDefault="0072226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22267">
        <w:trPr>
          <w:cantSplit/>
        </w:trPr>
        <w:tc>
          <w:tcPr>
            <w:tcW w:w="7850" w:type="dxa"/>
            <w:tcMar>
              <w:bottom w:w="4" w:type="dxa"/>
            </w:tcMar>
            <w:vAlign w:val="bottom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  <w:tc>
          <w:tcPr>
            <w:tcW w:w="7851" w:type="dxa"/>
            <w:tcMar>
              <w:bottom w:w="4" w:type="dxa"/>
            </w:tcMar>
            <w:vAlign w:val="bottom"/>
          </w:tcPr>
          <w:p w:rsidR="00722267" w:rsidRDefault="00722267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</w:tr>
    </w:tbl>
    <w:p w:rsidR="005104C4" w:rsidRDefault="005104C4">
      <w:bookmarkStart w:id="0" w:name="_GoBack"/>
      <w:bookmarkEnd w:id="0"/>
    </w:p>
    <w:sectPr w:rsidR="005104C4">
      <w:headerReference w:type="default" r:id="rId141"/>
      <w:footerReference w:type="default" r:id="rId142"/>
      <w:headerReference w:type="first" r:id="rId143"/>
      <w:footerReference w:type="first" r:id="rId144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82" w:rsidRDefault="00405E82">
      <w:pPr>
        <w:spacing w:after="0" w:line="240" w:lineRule="auto"/>
      </w:pPr>
      <w:r>
        <w:separator/>
      </w:r>
    </w:p>
  </w:endnote>
  <w:endnote w:type="continuationSeparator" w:id="0">
    <w:p w:rsidR="00405E82" w:rsidRDefault="0040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CC430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0D65CB" w:rsidP="000D65CB">
          <w:pPr>
            <w:tabs>
              <w:tab w:val="left" w:pos="1440"/>
              <w:tab w:val="center" w:pos="3885"/>
            </w:tabs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ab/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459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6046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463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72226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464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6046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465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6046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</w:t>
          </w:r>
          <w:r w:rsidR="00126F69">
            <w:rPr>
              <w:rFonts w:ascii="Arial" w:hAnsi="Arial"/>
              <w:i/>
              <w:sz w:val="14"/>
            </w:rPr>
            <w:t>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 xml:space="preserve">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466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467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468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469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 w:rsidR="005104C4">
            <w:rPr>
              <w:rFonts w:ascii="Arial" w:hAnsi="Arial"/>
              <w:i/>
              <w:sz w:val="14"/>
            </w:rPr>
            <w:t xml:space="preserve"> </w:t>
          </w:r>
          <w:r>
            <w:rPr>
              <w:rFonts w:ascii="Arial" w:hAnsi="Arial"/>
              <w:i/>
              <w:sz w:val="14"/>
            </w:rPr>
            <w:t>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6046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72226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460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470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471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472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6046B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461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72226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473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 w:rsidR="005104C4">
            <w:rPr>
              <w:rFonts w:ascii="Arial" w:hAnsi="Arial"/>
              <w:i/>
              <w:sz w:val="14"/>
            </w:rPr>
            <w:t xml:space="preserve"> </w:t>
          </w:r>
          <w:r>
            <w:rPr>
              <w:rFonts w:ascii="Arial" w:hAnsi="Arial"/>
              <w:i/>
              <w:sz w:val="14"/>
            </w:rPr>
            <w:t>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474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02.05.2018 09:37:20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C4303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2226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38399B" w:rsidRDefault="0038399B" w:rsidP="0038399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722267" w:rsidRDefault="000D65CB" w:rsidP="00126F69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</w:t>
          </w:r>
          <w:r w:rsidR="006046B9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22267" w:rsidRDefault="005B0824" w:rsidP="003E06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5104C4">
            <w:rPr>
              <w:rFonts w:ascii="Arial" w:hAnsi="Arial"/>
              <w:i/>
              <w:sz w:val="14"/>
            </w:rPr>
            <w:t xml:space="preserve">trana </w:t>
          </w:r>
          <w:r w:rsidR="005104C4">
            <w:rPr>
              <w:rFonts w:ascii="Arial" w:hAnsi="Arial"/>
              <w:i/>
              <w:sz w:val="14"/>
            </w:rPr>
            <w:fldChar w:fldCharType="begin"/>
          </w:r>
          <w:r w:rsidR="005104C4">
            <w:rPr>
              <w:rFonts w:ascii="Arial" w:hAnsi="Arial"/>
              <w:i/>
              <w:sz w:val="14"/>
            </w:rPr>
            <w:instrText>PAGE</w:instrText>
          </w:r>
          <w:r w:rsidR="005104C4">
            <w:rPr>
              <w:rFonts w:ascii="Arial" w:hAnsi="Arial"/>
              <w:i/>
              <w:sz w:val="14"/>
            </w:rPr>
            <w:fldChar w:fldCharType="separate"/>
          </w:r>
          <w:r w:rsidR="0038399B">
            <w:rPr>
              <w:rFonts w:ascii="Arial" w:hAnsi="Arial"/>
              <w:i/>
              <w:noProof/>
              <w:sz w:val="14"/>
            </w:rPr>
            <w:t>462</w:t>
          </w:r>
          <w:r w:rsidR="005104C4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3E06E0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82" w:rsidRDefault="00405E82">
      <w:pPr>
        <w:spacing w:after="0" w:line="240" w:lineRule="auto"/>
      </w:pPr>
      <w:r>
        <w:separator/>
      </w:r>
    </w:p>
  </w:footnote>
  <w:footnote w:type="continuationSeparator" w:id="0">
    <w:p w:rsidR="00405E82" w:rsidRDefault="0040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A.5.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18 odst. 3 písm. b) zákona (TEXT)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B.1.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6 (TEXT)</w:t>
          </w: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7"/>
      <w:gridCol w:w="2041"/>
      <w:gridCol w:w="5024"/>
      <w:gridCol w:w="1570"/>
      <w:gridCol w:w="3140"/>
      <w:gridCol w:w="3141"/>
    </w:tblGrid>
    <w:tr w:rsidR="00722267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0" w:type="auto"/>
          <w:gridSpan w:val="6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C.I.1.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 xml:space="preserve"> Jmění účetní jednotky" a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C.I.3.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 xml:space="preserve"> Transfery na pořízení dlouhodobého majetku"</w:t>
          </w:r>
        </w:p>
      </w:tc>
    </w:tr>
    <w:tr w:rsidR="00722267">
      <w:trPr>
        <w:cantSplit/>
      </w:trPr>
      <w:tc>
        <w:tcPr>
          <w:tcW w:w="0" w:type="auto"/>
          <w:gridSpan w:val="7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722267">
      <w:trPr>
        <w:cantSplit/>
      </w:trPr>
      <w:tc>
        <w:tcPr>
          <w:tcW w:w="0" w:type="auto"/>
          <w:gridSpan w:val="2"/>
          <w:shd w:val="clear" w:color="auto" w:fill="E3E3E3"/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gridSpan w:val="2"/>
        </w:tcPr>
        <w:p w:rsidR="00722267" w:rsidRDefault="00722267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PŘÍLOHA </w:t>
          </w:r>
        </w:p>
      </w:tc>
    </w:tr>
    <w:tr w:rsidR="00722267">
      <w:trPr>
        <w:cantSplit/>
      </w:trPr>
      <w:tc>
        <w:tcPr>
          <w:tcW w:w="0" w:type="auto"/>
        </w:tcPr>
        <w:p w:rsidR="00722267" w:rsidRDefault="0072226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722267" w:rsidRDefault="005104C4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</w:t>
          </w:r>
        </w:p>
      </w:tc>
    </w:tr>
    <w:tr w:rsidR="00722267">
      <w:trPr>
        <w:cantSplit/>
      </w:trPr>
      <w:tc>
        <w:tcPr>
          <w:tcW w:w="0" w:type="auto"/>
          <w:gridSpan w:val="2"/>
        </w:tcPr>
        <w:p w:rsidR="00722267" w:rsidRDefault="0072226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722267" w:rsidRDefault="005104C4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2017</w:t>
          </w:r>
        </w:p>
      </w:tc>
    </w:tr>
    <w:tr w:rsidR="00722267">
      <w:trPr>
        <w:cantSplit/>
      </w:trPr>
      <w:tc>
        <w:tcPr>
          <w:tcW w:w="0" w:type="auto"/>
          <w:gridSpan w:val="2"/>
        </w:tcPr>
        <w:p w:rsidR="00722267" w:rsidRDefault="00722267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722267" w:rsidRDefault="005104C4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D.1.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 (ČÍSLO A TEXT)</w:t>
          </w: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E.1.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(TEXT)</w:t>
          </w: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E.2.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výkazu zisku a ztráty (TEXT)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E.3.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peněžních tocích (TEXT)</w:t>
          </w: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E.4.</w:t>
          </w:r>
          <w:proofErr w:type="gramEnd"/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změnách vlastního kapitálu (TEXT)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4710"/>
      <w:gridCol w:w="314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2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0" w:type="auto"/>
          <w:gridSpan w:val="4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722267">
      <w:trPr>
        <w:cantSplit/>
      </w:trPr>
      <w:tc>
        <w:tcPr>
          <w:tcW w:w="0" w:type="auto"/>
          <w:gridSpan w:val="5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0" w:type="auto"/>
          <w:gridSpan w:val="4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shd w:val="clear" w:color="auto" w:fill="E3E3E3"/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2"/>
      <w:gridCol w:w="942"/>
      <w:gridCol w:w="1256"/>
      <w:gridCol w:w="2198"/>
      <w:gridCol w:w="2198"/>
      <w:gridCol w:w="2199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4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0" w:type="auto"/>
          <w:gridSpan w:val="7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A.II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>.3. Stavby" výkazu rozvahy</w:t>
          </w:r>
        </w:p>
      </w:tc>
    </w:tr>
    <w:tr w:rsidR="00722267">
      <w:trPr>
        <w:cantSplit/>
      </w:trPr>
      <w:tc>
        <w:tcPr>
          <w:tcW w:w="0" w:type="auto"/>
          <w:gridSpan w:val="8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722267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722267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left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0" w:type="auto"/>
          <w:gridSpan w:val="8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2"/>
      <w:gridCol w:w="942"/>
      <w:gridCol w:w="1256"/>
      <w:gridCol w:w="2198"/>
      <w:gridCol w:w="2198"/>
      <w:gridCol w:w="2199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4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gridSpan w:val="8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722267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722267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left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0" w:type="auto"/>
          <w:gridSpan w:val="8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1570"/>
      <w:gridCol w:w="3140"/>
      <w:gridCol w:w="314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I.</w:t>
          </w:r>
        </w:p>
      </w:tc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A.II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>.4. Náklady z přecenění reálnou hodnotou" výkazu zisku a ztráty</w:t>
          </w:r>
        </w:p>
      </w:tc>
    </w:tr>
    <w:tr w:rsidR="00722267">
      <w:trPr>
        <w:cantSplit/>
      </w:trPr>
      <w:tc>
        <w:tcPr>
          <w:tcW w:w="0" w:type="auto"/>
          <w:gridSpan w:val="6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722267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1570"/>
      <w:gridCol w:w="3140"/>
      <w:gridCol w:w="314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gridSpan w:val="6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722267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3"/>
          <w:shd w:val="clear" w:color="auto" w:fill="E3E3E3"/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7"/>
      <w:gridCol w:w="2041"/>
      <w:gridCol w:w="5024"/>
      <w:gridCol w:w="471"/>
      <w:gridCol w:w="314"/>
      <w:gridCol w:w="785"/>
      <w:gridCol w:w="3140"/>
      <w:gridCol w:w="3141"/>
    </w:tblGrid>
    <w:tr w:rsidR="00722267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7850" w:type="dxa"/>
          <w:gridSpan w:val="4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5"/>
          <w:tcMar>
            <w:top w:w="-5" w:type="dxa"/>
            <w:bottom w:w="-5" w:type="dxa"/>
          </w:tcMar>
          <w:vAlign w:val="center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A.4.</w:t>
          </w:r>
          <w:proofErr w:type="gramEnd"/>
        </w:p>
      </w:tc>
      <w:tc>
        <w:tcPr>
          <w:tcW w:w="15073" w:type="dxa"/>
          <w:gridSpan w:val="8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5 zákona o stavu účtů v knize podrozvahových účtů</w:t>
          </w:r>
        </w:p>
      </w:tc>
    </w:tr>
    <w:tr w:rsidR="00722267">
      <w:trPr>
        <w:cantSplit/>
      </w:trPr>
      <w:tc>
        <w:tcPr>
          <w:tcW w:w="15701" w:type="dxa"/>
          <w:gridSpan w:val="9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785" w:type="dxa"/>
          <w:gridSpan w:val="2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7536" w:type="dxa"/>
          <w:gridSpan w:val="3"/>
          <w:tcBorders>
            <w:top w:val="single" w:sz="0" w:space="0" w:color="auto"/>
          </w:tcBorders>
          <w:shd w:val="clear" w:color="auto" w:fill="E3E3E3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Podrozvahový</w:t>
          </w:r>
        </w:p>
      </w:tc>
      <w:tc>
        <w:tcPr>
          <w:tcW w:w="6281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722267">
      <w:trPr>
        <w:cantSplit/>
      </w:trPr>
      <w:tc>
        <w:tcPr>
          <w:tcW w:w="785" w:type="dxa"/>
          <w:gridSpan w:val="2"/>
          <w:shd w:val="clear" w:color="auto" w:fill="E3E3E3"/>
          <w:tcMar>
            <w:left w:w="10" w:type="dxa"/>
            <w:right w:w="10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7850" w:type="dxa"/>
          <w:gridSpan w:val="4"/>
          <w:shd w:val="clear" w:color="auto" w:fill="E3E3E3"/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722267" w:rsidRDefault="005104C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22267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722267" w:rsidRDefault="0072226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K.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poskytnutým garancím</w:t>
          </w:r>
        </w:p>
      </w:tc>
    </w:tr>
    <w:tr w:rsidR="00722267">
      <w:trPr>
        <w:cantSplit/>
      </w:trPr>
      <w:tc>
        <w:tcPr>
          <w:tcW w:w="0" w:type="auto"/>
          <w:gridSpan w:val="4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722267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  <w:tr w:rsidR="00722267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L.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722267" w:rsidRDefault="005104C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o projektech partnerství veřejného a soukromého sektoru</w:t>
          </w:r>
        </w:p>
      </w:tc>
    </w:tr>
    <w:tr w:rsidR="00722267">
      <w:trPr>
        <w:cantSplit/>
      </w:trPr>
      <w:tc>
        <w:tcPr>
          <w:tcW w:w="0" w:type="auto"/>
          <w:gridSpan w:val="4"/>
        </w:tcPr>
        <w:p w:rsidR="00722267" w:rsidRDefault="0072226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22267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(04012018 08:23 / 201609011111)</w:t>
          </w:r>
        </w:p>
      </w:tc>
    </w:tr>
    <w:tr w:rsidR="00722267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722267" w:rsidRDefault="0072226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722267" w:rsidRDefault="005104C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0000ALV06BFW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A1" w:rsidRDefault="005104C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67"/>
    <w:rsid w:val="00053B55"/>
    <w:rsid w:val="000D65CB"/>
    <w:rsid w:val="00126F69"/>
    <w:rsid w:val="00147A98"/>
    <w:rsid w:val="001D39AF"/>
    <w:rsid w:val="00237CCC"/>
    <w:rsid w:val="002A2E67"/>
    <w:rsid w:val="0038399B"/>
    <w:rsid w:val="003E06E0"/>
    <w:rsid w:val="00405E82"/>
    <w:rsid w:val="005104C4"/>
    <w:rsid w:val="005B0824"/>
    <w:rsid w:val="006046B9"/>
    <w:rsid w:val="00722267"/>
    <w:rsid w:val="00760D9E"/>
    <w:rsid w:val="007E65A1"/>
    <w:rsid w:val="00B6178F"/>
    <w:rsid w:val="00CC4303"/>
    <w:rsid w:val="00E56A7D"/>
    <w:rsid w:val="00E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91F3BD0-6E16-42F8-88B3-36248D01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5CB"/>
  </w:style>
  <w:style w:type="paragraph" w:styleId="Zpat">
    <w:name w:val="footer"/>
    <w:basedOn w:val="Normln"/>
    <w:link w:val="ZpatChar"/>
    <w:uiPriority w:val="99"/>
    <w:unhideWhenUsed/>
    <w:rsid w:val="000D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5CB"/>
  </w:style>
  <w:style w:type="paragraph" w:styleId="Textbubliny">
    <w:name w:val="Balloon Text"/>
    <w:basedOn w:val="Normln"/>
    <w:link w:val="TextbublinyChar"/>
    <w:uiPriority w:val="99"/>
    <w:semiHidden/>
    <w:unhideWhenUsed/>
    <w:rsid w:val="00E5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38" Type="http://schemas.openxmlformats.org/officeDocument/2006/relationships/footer" Target="footer66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28" Type="http://schemas.openxmlformats.org/officeDocument/2006/relationships/footer" Target="footer61.xml"/><Relationship Id="rId144" Type="http://schemas.openxmlformats.org/officeDocument/2006/relationships/footer" Target="footer69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7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129" Type="http://schemas.openxmlformats.org/officeDocument/2006/relationships/header" Target="header62.xml"/><Relationship Id="rId137" Type="http://schemas.openxmlformats.org/officeDocument/2006/relationships/header" Target="header66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40" Type="http://schemas.openxmlformats.org/officeDocument/2006/relationships/footer" Target="footer67.xm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30" Type="http://schemas.openxmlformats.org/officeDocument/2006/relationships/footer" Target="footer62.xml"/><Relationship Id="rId135" Type="http://schemas.openxmlformats.org/officeDocument/2006/relationships/header" Target="header65.xml"/><Relationship Id="rId143" Type="http://schemas.openxmlformats.org/officeDocument/2006/relationships/header" Target="header69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header" Target="header68.xml"/><Relationship Id="rId146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3215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16</cp:revision>
  <cp:lastPrinted>2018-05-29T09:16:00Z</cp:lastPrinted>
  <dcterms:created xsi:type="dcterms:W3CDTF">2018-05-02T07:37:00Z</dcterms:created>
  <dcterms:modified xsi:type="dcterms:W3CDTF">2018-05-30T12:39:00Z</dcterms:modified>
</cp:coreProperties>
</file>