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68" w:rsidRDefault="00251D68" w:rsidP="00251D68">
      <w:pPr>
        <w:tabs>
          <w:tab w:val="left" w:pos="709"/>
        </w:tabs>
        <w:suppressAutoHyphens w:val="0"/>
        <w:spacing w:before="120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bookmarkStart w:id="0" w:name="_GoBack"/>
      <w:bookmarkEnd w:id="0"/>
      <w:r w:rsidRPr="00D57A0C">
        <w:rPr>
          <w:rFonts w:eastAsiaTheme="minorHAnsi" w:cs="Arial"/>
          <w:b/>
          <w:bCs/>
          <w:sz w:val="22"/>
          <w:szCs w:val="22"/>
          <w:lang w:eastAsia="en-US"/>
        </w:rPr>
        <w:t>Kritéria hodnocení žádostí o dotac</w:t>
      </w:r>
      <w:r>
        <w:rPr>
          <w:rFonts w:eastAsiaTheme="minorHAnsi" w:cs="Arial"/>
          <w:b/>
          <w:bCs/>
          <w:sz w:val="22"/>
          <w:szCs w:val="22"/>
          <w:lang w:eastAsia="en-US"/>
        </w:rPr>
        <w:t>i</w:t>
      </w:r>
    </w:p>
    <w:p w:rsidR="003C6FFC" w:rsidRDefault="003C6FFC" w:rsidP="00251D68">
      <w:pPr>
        <w:tabs>
          <w:tab w:val="left" w:pos="709"/>
        </w:tabs>
        <w:suppressAutoHyphens w:val="0"/>
        <w:spacing w:before="120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widowControl w:val="0"/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widowControl w:val="0"/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Rozsah/význam projektu</w:t>
            </w:r>
          </w:p>
        </w:tc>
        <w:tc>
          <w:tcPr>
            <w:tcW w:w="1663" w:type="dxa"/>
            <w:vAlign w:val="center"/>
          </w:tcPr>
          <w:p w:rsidR="003C6FFC" w:rsidRPr="003C6FFC" w:rsidRDefault="003C6FFC" w:rsidP="003C6FFC">
            <w:pPr>
              <w:widowControl w:val="0"/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tabs>
                <w:tab w:val="center" w:pos="405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Velký význam pro naplňování cíle dotačního titulu (krajský).</w:t>
            </w:r>
          </w:p>
          <w:p w:rsidR="003C6FFC" w:rsidRPr="003C6FFC" w:rsidRDefault="003C6FFC" w:rsidP="003C6FFC">
            <w:pPr>
              <w:tabs>
                <w:tab w:val="center" w:pos="405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Střední význam pro naplňování cíle dotačního titulu (okresní).</w:t>
            </w:r>
          </w:p>
          <w:p w:rsidR="003C6FFC" w:rsidRPr="003C6FFC" w:rsidRDefault="003C6FFC" w:rsidP="003C6FFC">
            <w:pPr>
              <w:tabs>
                <w:tab w:val="center" w:pos="405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Malý význam pro naplňování cíle dotačního titulu (lokální).</w:t>
            </w:r>
          </w:p>
        </w:tc>
        <w:tc>
          <w:tcPr>
            <w:tcW w:w="1663" w:type="dxa"/>
            <w:vAlign w:val="center"/>
          </w:tcPr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71 - 100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36 - 70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1 - 35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Členská základna žadatele</w:t>
            </w:r>
          </w:p>
        </w:tc>
        <w:tc>
          <w:tcPr>
            <w:tcW w:w="1663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Počet bodů: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Počet členů vyšší než 10.000 osob.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Počet členů vyšší než 5.000 osob.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Počet členů vyšší než 1.000 osob.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Počet členů vyšší než 200 osob.</w:t>
            </w:r>
          </w:p>
        </w:tc>
        <w:tc>
          <w:tcPr>
            <w:tcW w:w="1663" w:type="dxa"/>
          </w:tcPr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100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80</w:t>
            </w: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50</w:t>
            </w: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25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i/>
                <w:i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Použití dotace</w:t>
            </w:r>
          </w:p>
        </w:tc>
        <w:tc>
          <w:tcPr>
            <w:tcW w:w="1663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Počet bodů: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numPr>
                <w:ilvl w:val="0"/>
                <w:numId w:val="5"/>
              </w:numPr>
              <w:suppressAutoHyphens w:val="0"/>
              <w:ind w:left="390" w:hanging="390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 xml:space="preserve">Ubytování a strava pro reprezentaci Olomouckého kraje na mistrovství ČR a dalších významných soutěžích reprezentace. </w:t>
            </w:r>
          </w:p>
          <w:p w:rsidR="003C6FFC" w:rsidRPr="003C6FFC" w:rsidRDefault="003C6FFC" w:rsidP="003C6FFC">
            <w:pPr>
              <w:numPr>
                <w:ilvl w:val="0"/>
                <w:numId w:val="5"/>
              </w:numPr>
              <w:suppressAutoHyphens w:val="0"/>
              <w:ind w:left="390" w:hanging="390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 xml:space="preserve">Výdaje související s přípravou a realizací kulturních </w:t>
            </w: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br/>
              <w:t xml:space="preserve">a sportovních akcí, zejména výdaje za poháry, ceny </w:t>
            </w: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br/>
              <w:t>do soutěží, medaile, diplomy, materiálně-technické neinvestiční vybavení a materiálně-technické zajištění.</w:t>
            </w:r>
          </w:p>
          <w:p w:rsidR="003C6FFC" w:rsidRPr="003C6FFC" w:rsidRDefault="003C6FFC" w:rsidP="003C6FFC">
            <w:pPr>
              <w:numPr>
                <w:ilvl w:val="0"/>
                <w:numId w:val="5"/>
              </w:numPr>
              <w:suppressAutoHyphens w:val="0"/>
              <w:ind w:left="390" w:hanging="390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 xml:space="preserve">Výdaje související s přípravou a realizací kulturních </w:t>
            </w: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br/>
              <w:t>a sportovních akcí, zejména propagace, propagační materiály, fotodokumentace, ozvučení/hudební doprovod, pořízení vybavení pro požární sport a pitný režim pro soutěžící, rozhodčí a pořadatele.</w:t>
            </w:r>
          </w:p>
          <w:p w:rsidR="003C6FFC" w:rsidRPr="003C6FFC" w:rsidRDefault="003C6FFC" w:rsidP="003C6FFC">
            <w:pPr>
              <w:numPr>
                <w:ilvl w:val="0"/>
                <w:numId w:val="5"/>
              </w:numPr>
              <w:suppressAutoHyphens w:val="0"/>
              <w:ind w:left="390" w:hanging="390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Mzdy a související odvody pracovníkům sekretariátu, výdaje spojené s provozem kanceláře, pořízení kancelářských potřeb, úhrada nájmu kanceláře bez energií, úhradu poštovních, internetových a telefonních služeb.</w:t>
            </w:r>
          </w:p>
        </w:tc>
        <w:tc>
          <w:tcPr>
            <w:tcW w:w="1663" w:type="dxa"/>
          </w:tcPr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40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30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20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10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 xml:space="preserve">Rozdělení podle úrovně soutěží </w:t>
            </w:r>
          </w:p>
        </w:tc>
        <w:tc>
          <w:tcPr>
            <w:tcW w:w="1663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:rsidR="003C6FFC" w:rsidRPr="003C6FFC" w:rsidRDefault="003C6FFC" w:rsidP="003C6FFC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249" w:hanging="249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krajské úrovni. </w:t>
            </w:r>
          </w:p>
          <w:p w:rsidR="003C6FFC" w:rsidRPr="003C6FFC" w:rsidRDefault="003C6FFC" w:rsidP="003C6FFC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249" w:hanging="249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okresní úrovni.</w:t>
            </w:r>
          </w:p>
          <w:p w:rsidR="003C6FFC" w:rsidRPr="003C6FFC" w:rsidRDefault="003C6FFC" w:rsidP="003C6FFC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249" w:hanging="249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lokální úrovni.</w:t>
            </w:r>
          </w:p>
        </w:tc>
        <w:tc>
          <w:tcPr>
            <w:tcW w:w="1663" w:type="dxa"/>
          </w:tcPr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100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50</w:t>
            </w: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25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 xml:space="preserve">Naplnění účelu a priorit programu </w:t>
            </w:r>
          </w:p>
        </w:tc>
        <w:tc>
          <w:tcPr>
            <w:tcW w:w="1663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3C6FFC" w:rsidRPr="003C6FFC" w:rsidTr="001D542D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vAlign w:val="center"/>
          </w:tcPr>
          <w:p w:rsidR="003C6FFC" w:rsidRPr="003C6FFC" w:rsidRDefault="003C6FFC" w:rsidP="003C6FFC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49" w:hanging="249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Projekt na krajské úrovni rozvoj vzdělávání dětí a mládeže v oblasti ochrany člověka tím, že vyvíjí preventivně-</w:t>
            </w: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lastRenderedPageBreak/>
              <w:t xml:space="preserve">výchovnou činnost mezi občany a mládeží, uspokojují zájmy dětí a mládeže prostřednictvím všestranné činnosti zejména v kolektivech mladých hasičů, dorostenců, dorostenek, mužů a žen při pravidelné celoroční činnosti a dalších vzdělávacích akcí. </w:t>
            </w:r>
          </w:p>
          <w:p w:rsidR="003C6FFC" w:rsidRPr="003C6FFC" w:rsidRDefault="003C6FFC" w:rsidP="003C6FFC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249" w:hanging="249"/>
              <w:contextualSpacing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 xml:space="preserve">Projekt na okresní úrovni rozvoj vzdělávání dětí a mládeže v oblasti ochrany člověka tím, že vyvíjí preventivně-výchovnou činnost mezi občany a mládeží, uspokojují zájmy dětí a mládeže prostřednictvím všestranné činnosti zejména v kolektivech mladých hasičů, dorostenců, dorostenek, mužů a žen při pravidelné celoroční činnosti </w:t>
            </w: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br/>
              <w:t>a dalších vzdělávacích akcí.</w:t>
            </w:r>
          </w:p>
          <w:p w:rsidR="003C6FFC" w:rsidRPr="003C6FFC" w:rsidRDefault="003C6FFC" w:rsidP="003C6FFC">
            <w:pPr>
              <w:numPr>
                <w:ilvl w:val="0"/>
                <w:numId w:val="7"/>
              </w:numPr>
              <w:suppressAutoHyphens w:val="0"/>
              <w:ind w:left="249" w:hanging="249"/>
              <w:contextualSpacing/>
              <w:jc w:val="both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 xml:space="preserve">Projekt na lokální úrovni rozvoj vzdělávání dětí a mládeže v oblasti ochrany člověka tím, že vyvíjí preventivně-výchovnou činnost mezi občany a mládeží, uspokojují zájmy dětí a mládeže prostřednictvím všestranné činnosti zejména v kolektivech mladých hasičů, dorostenců, dorostenek, mužů a žen při pravidelné celoroční činnosti </w:t>
            </w: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br/>
              <w:t>a dalších vzdělávacích akcí.</w:t>
            </w:r>
          </w:p>
        </w:tc>
        <w:tc>
          <w:tcPr>
            <w:tcW w:w="1663" w:type="dxa"/>
          </w:tcPr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lastRenderedPageBreak/>
              <w:t>100</w:t>
            </w: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50</w:t>
            </w: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3C6FFC" w:rsidRPr="003C6FFC" w:rsidRDefault="003C6FFC" w:rsidP="003C6FFC">
            <w:pPr>
              <w:tabs>
                <w:tab w:val="left" w:pos="851"/>
              </w:tabs>
              <w:suppressAutoHyphens w:val="0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3C6FFC">
              <w:rPr>
                <w:rFonts w:eastAsiaTheme="minorHAnsi" w:cs="Arial"/>
                <w:sz w:val="22"/>
                <w:szCs w:val="22"/>
                <w:lang w:eastAsia="en-US"/>
              </w:rPr>
              <w:t>25</w:t>
            </w:r>
          </w:p>
        </w:tc>
      </w:tr>
    </w:tbl>
    <w:p w:rsidR="003C6FFC" w:rsidRPr="003C6FFC" w:rsidRDefault="003C6FFC" w:rsidP="003C6FFC">
      <w:pPr>
        <w:suppressAutoHyphens w:val="0"/>
        <w:ind w:left="851" w:hanging="851"/>
        <w:jc w:val="both"/>
        <w:rPr>
          <w:rFonts w:eastAsiaTheme="minorHAnsi" w:cs="Arial"/>
          <w:bCs/>
          <w:strike/>
          <w:color w:val="0000FF"/>
          <w:sz w:val="22"/>
          <w:szCs w:val="22"/>
          <w:u w:val="single"/>
          <w:lang w:eastAsia="en-US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3C6FFC" w:rsidRPr="003C6FFC" w:rsidTr="001D542D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HODNOCENÍ KRITÉRIÍ </w:t>
            </w:r>
          </w:p>
        </w:tc>
      </w:tr>
      <w:tr w:rsidR="003C6FFC" w:rsidRPr="003C6FFC" w:rsidTr="001D542D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:rsidR="003C6FFC" w:rsidRPr="003C6FFC" w:rsidRDefault="003C6FFC" w:rsidP="003C6FFC">
            <w:pPr>
              <w:suppressAutoHyphens w:val="0"/>
              <w:ind w:left="113" w:right="113" w:hanging="851"/>
              <w:jc w:val="righ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:rsidR="003C6FFC" w:rsidRPr="003C6FFC" w:rsidRDefault="003C6FFC" w:rsidP="003C6FFC">
            <w:pPr>
              <w:suppressAutoHyphens w:val="0"/>
              <w:ind w:left="851" w:hanging="851"/>
              <w:jc w:val="both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BODOVÁ</w:t>
            </w:r>
          </w:p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:rsidR="003C6FFC" w:rsidRPr="003C6FFC" w:rsidRDefault="003C6FFC" w:rsidP="003C6FFC">
            <w:pPr>
              <w:suppressAutoHyphens w:val="0"/>
              <w:ind w:left="851" w:hanging="851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Maximální počet bodů</w:t>
            </w:r>
          </w:p>
          <w:p w:rsidR="003C6FFC" w:rsidRPr="003C6FFC" w:rsidRDefault="003C6FFC" w:rsidP="003C6FFC">
            <w:pPr>
              <w:suppressAutoHyphens w:val="0"/>
              <w:ind w:left="33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který může posuzovaná žádost dosáhnout</w:t>
            </w:r>
          </w:p>
        </w:tc>
      </w:tr>
      <w:tr w:rsidR="003C6FFC" w:rsidRPr="003C6FFC" w:rsidTr="001D542D">
        <w:tc>
          <w:tcPr>
            <w:tcW w:w="705" w:type="dxa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A1</w:t>
            </w:r>
          </w:p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2126" w:type="dxa"/>
          </w:tcPr>
          <w:p w:rsidR="003C6FFC" w:rsidRPr="003C6FFC" w:rsidRDefault="003C6FFC" w:rsidP="003C6FFC">
            <w:pPr>
              <w:suppressAutoHyphens w:val="0"/>
              <w:ind w:left="176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 xml:space="preserve">Hodnotí administrátor </w:t>
            </w:r>
          </w:p>
        </w:tc>
        <w:tc>
          <w:tcPr>
            <w:tcW w:w="1987" w:type="dxa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1 – 100</w:t>
            </w:r>
          </w:p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25 – 100</w:t>
            </w:r>
          </w:p>
        </w:tc>
        <w:tc>
          <w:tcPr>
            <w:tcW w:w="2411" w:type="dxa"/>
            <w:vAlign w:val="center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500</w:t>
            </w:r>
          </w:p>
        </w:tc>
      </w:tr>
      <w:tr w:rsidR="003C6FFC" w:rsidRPr="003C6FFC" w:rsidTr="001D542D">
        <w:tc>
          <w:tcPr>
            <w:tcW w:w="705" w:type="dxa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B1</w:t>
            </w:r>
          </w:p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2126" w:type="dxa"/>
          </w:tcPr>
          <w:p w:rsidR="003C6FFC" w:rsidRPr="003C6FFC" w:rsidRDefault="003C6FFC" w:rsidP="003C6FFC">
            <w:pPr>
              <w:suppressAutoHyphens w:val="0"/>
              <w:ind w:left="176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Hodnotí poradní orgán</w:t>
            </w:r>
          </w:p>
        </w:tc>
        <w:tc>
          <w:tcPr>
            <w:tcW w:w="1987" w:type="dxa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10 – 100</w:t>
            </w:r>
          </w:p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25 – 100</w:t>
            </w:r>
          </w:p>
        </w:tc>
        <w:tc>
          <w:tcPr>
            <w:tcW w:w="2411" w:type="dxa"/>
            <w:vAlign w:val="center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94" w:type="dxa"/>
            <w:vMerge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3C6FFC" w:rsidRPr="003C6FFC" w:rsidTr="001D542D">
        <w:tc>
          <w:tcPr>
            <w:tcW w:w="705" w:type="dxa"/>
            <w:tcBorders>
              <w:bottom w:val="single" w:sz="4" w:space="0" w:color="auto"/>
            </w:tcBorders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C1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FFC" w:rsidRPr="003C6FFC" w:rsidRDefault="003C6FFC" w:rsidP="003C6FFC">
            <w:pPr>
              <w:suppressAutoHyphens w:val="0"/>
              <w:ind w:left="176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25 – 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C6FFC" w:rsidRPr="003C6FFC" w:rsidRDefault="003C6FFC" w:rsidP="003C6FFC">
            <w:pPr>
              <w:suppressAutoHyphens w:val="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3C6FFC" w:rsidRPr="003C6FFC" w:rsidTr="001D542D">
        <w:tc>
          <w:tcPr>
            <w:tcW w:w="9923" w:type="dxa"/>
            <w:gridSpan w:val="5"/>
            <w:shd w:val="clear" w:color="auto" w:fill="BFBFBF" w:themeFill="background1" w:themeFillShade="BF"/>
          </w:tcPr>
          <w:p w:rsidR="003C6FFC" w:rsidRPr="003C6FFC" w:rsidRDefault="003C6FFC" w:rsidP="003C6FFC">
            <w:pPr>
              <w:suppressAutoHyphens w:val="0"/>
              <w:spacing w:before="80" w:after="80"/>
              <w:ind w:left="851" w:hanging="851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VYSVĚTLENÍ BODOVÁNÍ </w:t>
            </w:r>
          </w:p>
        </w:tc>
      </w:tr>
      <w:tr w:rsidR="003C6FFC" w:rsidRPr="003C6FFC" w:rsidTr="001D542D">
        <w:tc>
          <w:tcPr>
            <w:tcW w:w="4818" w:type="dxa"/>
            <w:gridSpan w:val="3"/>
          </w:tcPr>
          <w:p w:rsidR="003C6FFC" w:rsidRPr="003C6FFC" w:rsidRDefault="003C6FFC" w:rsidP="003C6FFC">
            <w:pPr>
              <w:suppressAutoHyphens w:val="0"/>
              <w:spacing w:before="80" w:after="8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sz w:val="20"/>
                <w:szCs w:val="20"/>
                <w:lang w:eastAsia="en-US"/>
              </w:rPr>
              <w:t>PODKLAD PRO ROZHODNUTÍ ŘÍDÍCÍHO ORGÁNU</w:t>
            </w:r>
          </w:p>
        </w:tc>
        <w:tc>
          <w:tcPr>
            <w:tcW w:w="2411" w:type="dxa"/>
          </w:tcPr>
          <w:p w:rsidR="003C6FFC" w:rsidRPr="003C6FFC" w:rsidRDefault="003C6FFC" w:rsidP="003C6FFC">
            <w:pPr>
              <w:suppressAutoHyphens w:val="0"/>
              <w:spacing w:before="80" w:after="80"/>
              <w:ind w:left="34"/>
              <w:jc w:val="both"/>
              <w:rPr>
                <w:rFonts w:eastAsiaTheme="minorHAnsi" w:cs="Arial"/>
                <w:b/>
                <w:caps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caps/>
                <w:sz w:val="20"/>
                <w:szCs w:val="20"/>
                <w:lang w:eastAsia="en-US"/>
              </w:rPr>
              <w:t>Počet DOSAŽENÝCH bodů</w:t>
            </w:r>
          </w:p>
        </w:tc>
        <w:tc>
          <w:tcPr>
            <w:tcW w:w="2694" w:type="dxa"/>
          </w:tcPr>
          <w:p w:rsidR="003C6FFC" w:rsidRPr="003C6FFC" w:rsidRDefault="003C6FFC" w:rsidP="003C6FFC">
            <w:pPr>
              <w:suppressAutoHyphens w:val="0"/>
              <w:spacing w:before="80" w:after="80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b/>
                <w:caps/>
                <w:sz w:val="20"/>
                <w:szCs w:val="20"/>
                <w:lang w:eastAsia="en-US"/>
              </w:rPr>
              <w:t>Návrh řídícímu ORgánu</w:t>
            </w:r>
          </w:p>
        </w:tc>
      </w:tr>
      <w:tr w:rsidR="003C6FFC" w:rsidRPr="003C6FFC" w:rsidTr="001D542D">
        <w:tc>
          <w:tcPr>
            <w:tcW w:w="4818" w:type="dxa"/>
            <w:gridSpan w:val="3"/>
          </w:tcPr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 xml:space="preserve">Hodnocení administrátorem, odborným orgánem, Radou Olomouckého kraje </w:t>
            </w:r>
          </w:p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(celkový bodový zisk A1 – C1)</w:t>
            </w:r>
          </w:p>
        </w:tc>
        <w:tc>
          <w:tcPr>
            <w:tcW w:w="2411" w:type="dxa"/>
          </w:tcPr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1–200</w:t>
            </w:r>
          </w:p>
        </w:tc>
        <w:tc>
          <w:tcPr>
            <w:tcW w:w="2694" w:type="dxa"/>
          </w:tcPr>
          <w:p w:rsidR="003C6FFC" w:rsidRPr="003C6FFC" w:rsidRDefault="003C6FFC" w:rsidP="003C6FFC">
            <w:pPr>
              <w:suppressAutoHyphens w:val="0"/>
              <w:spacing w:before="120"/>
              <w:ind w:left="851" w:hanging="851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NEVYHOVĚT</w:t>
            </w:r>
          </w:p>
        </w:tc>
      </w:tr>
      <w:tr w:rsidR="003C6FFC" w:rsidRPr="003C6FFC" w:rsidTr="001D542D">
        <w:tc>
          <w:tcPr>
            <w:tcW w:w="4818" w:type="dxa"/>
            <w:gridSpan w:val="3"/>
          </w:tcPr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 xml:space="preserve">Hodnocení administrátorem, odborným orgánem, Radou Olomouckého kraje </w:t>
            </w:r>
          </w:p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(celkový bodový zisk A1 – C1)</w:t>
            </w:r>
          </w:p>
        </w:tc>
        <w:tc>
          <w:tcPr>
            <w:tcW w:w="2411" w:type="dxa"/>
          </w:tcPr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201–450</w:t>
            </w:r>
          </w:p>
        </w:tc>
        <w:tc>
          <w:tcPr>
            <w:tcW w:w="2694" w:type="dxa"/>
          </w:tcPr>
          <w:p w:rsidR="003C6FFC" w:rsidRPr="003C6FFC" w:rsidRDefault="003C6FFC" w:rsidP="003C6FFC">
            <w:pPr>
              <w:suppressAutoHyphens w:val="0"/>
              <w:ind w:left="851" w:hanging="851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VYHOVĚT</w:t>
            </w:r>
          </w:p>
          <w:p w:rsidR="003C6FFC" w:rsidRPr="003C6FFC" w:rsidRDefault="003C6FFC" w:rsidP="003C6FFC">
            <w:pPr>
              <w:suppressAutoHyphens w:val="0"/>
              <w:ind w:left="851" w:hanging="851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MŮŽE BÝT KRÁCENO</w:t>
            </w:r>
          </w:p>
          <w:p w:rsidR="003C6FFC" w:rsidRPr="003C6FFC" w:rsidRDefault="003C6FFC" w:rsidP="003C6FFC">
            <w:pPr>
              <w:suppressAutoHyphens w:val="0"/>
              <w:spacing w:after="80"/>
              <w:ind w:left="851" w:hanging="851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(částečné vyhovění*)</w:t>
            </w:r>
          </w:p>
        </w:tc>
      </w:tr>
      <w:tr w:rsidR="003C6FFC" w:rsidRPr="003C6FFC" w:rsidTr="001D542D">
        <w:tc>
          <w:tcPr>
            <w:tcW w:w="4818" w:type="dxa"/>
            <w:gridSpan w:val="3"/>
          </w:tcPr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 xml:space="preserve">Hodnocení administrátorem, odborným orgánem, Radou Olomouckého kraje </w:t>
            </w:r>
          </w:p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(celkový bodový zisk A1 – C1)</w:t>
            </w:r>
          </w:p>
        </w:tc>
        <w:tc>
          <w:tcPr>
            <w:tcW w:w="2411" w:type="dxa"/>
          </w:tcPr>
          <w:p w:rsidR="003C6FFC" w:rsidRPr="003C6FFC" w:rsidRDefault="003C6FFC" w:rsidP="003C6FFC">
            <w:pPr>
              <w:suppressAutoHyphens w:val="0"/>
              <w:ind w:left="34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451–500</w:t>
            </w:r>
          </w:p>
        </w:tc>
        <w:tc>
          <w:tcPr>
            <w:tcW w:w="2694" w:type="dxa"/>
          </w:tcPr>
          <w:p w:rsidR="003C6FFC" w:rsidRPr="003C6FFC" w:rsidRDefault="003C6FFC" w:rsidP="003C6FFC">
            <w:pPr>
              <w:suppressAutoHyphens w:val="0"/>
              <w:spacing w:before="120"/>
              <w:ind w:left="851" w:hanging="851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C6FFC">
              <w:rPr>
                <w:rFonts w:eastAsiaTheme="minorHAnsi" w:cs="Arial"/>
                <w:sz w:val="20"/>
                <w:szCs w:val="20"/>
                <w:lang w:eastAsia="en-US"/>
              </w:rPr>
              <w:t>VYHOVĚT</w:t>
            </w:r>
          </w:p>
        </w:tc>
      </w:tr>
    </w:tbl>
    <w:p w:rsidR="003C6FFC" w:rsidRPr="003C6FFC" w:rsidRDefault="003C6FFC" w:rsidP="003C6FFC">
      <w:pPr>
        <w:suppressAutoHyphens w:val="0"/>
        <w:ind w:left="708"/>
        <w:jc w:val="both"/>
        <w:rPr>
          <w:rFonts w:eastAsiaTheme="minorHAnsi" w:cs="Arial"/>
          <w:i/>
          <w:sz w:val="20"/>
          <w:szCs w:val="20"/>
          <w:lang w:eastAsia="en-US"/>
        </w:rPr>
      </w:pPr>
      <w:r w:rsidRPr="003C6FFC">
        <w:rPr>
          <w:rFonts w:eastAsiaTheme="minorHAnsi" w:cs="Arial"/>
          <w:i/>
          <w:iCs/>
          <w:sz w:val="20"/>
          <w:szCs w:val="20"/>
          <w:lang w:eastAsia="en-US"/>
        </w:rPr>
        <w:t xml:space="preserve">*Může být vyhověno částečně nebo v plné výši. </w:t>
      </w:r>
      <w:r w:rsidRPr="003C6FFC">
        <w:rPr>
          <w:rFonts w:eastAsiaTheme="minorHAnsi" w:cs="Arial"/>
          <w:i/>
          <w:sz w:val="20"/>
          <w:szCs w:val="20"/>
          <w:lang w:eastAsia="en-US"/>
        </w:rPr>
        <w:t>Ke krácení požadavku dojde především v případech převisu žádostí a nedostatku finančních prostředků, které jsou v daném dotačním programu/titulu k dispozici.</w:t>
      </w:r>
    </w:p>
    <w:p w:rsidR="003C6FFC" w:rsidRPr="00D57A0C" w:rsidRDefault="003C6FFC" w:rsidP="00251D68">
      <w:pPr>
        <w:tabs>
          <w:tab w:val="left" w:pos="709"/>
        </w:tabs>
        <w:suppressAutoHyphens w:val="0"/>
        <w:spacing w:before="120"/>
        <w:jc w:val="both"/>
        <w:rPr>
          <w:rFonts w:eastAsiaTheme="minorHAnsi" w:cs="Arial"/>
          <w:bCs/>
          <w:i/>
          <w:color w:val="FF0000"/>
          <w:sz w:val="22"/>
          <w:szCs w:val="22"/>
          <w:lang w:eastAsia="en-US"/>
        </w:rPr>
      </w:pPr>
    </w:p>
    <w:sectPr w:rsidR="003C6FFC" w:rsidRPr="00D57A0C" w:rsidSect="000E3A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CF" w:rsidRDefault="002B29CF" w:rsidP="00251D68">
      <w:r>
        <w:separator/>
      </w:r>
    </w:p>
  </w:endnote>
  <w:endnote w:type="continuationSeparator" w:id="0">
    <w:p w:rsidR="002B29CF" w:rsidRDefault="002B29CF" w:rsidP="0025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68" w:rsidRPr="004F08B2" w:rsidRDefault="000E3AAF" w:rsidP="00251D68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="00251D68" w:rsidRPr="004F08B2">
      <w:rPr>
        <w:rFonts w:cs="Arial"/>
        <w:i/>
        <w:sz w:val="20"/>
        <w:szCs w:val="20"/>
      </w:rPr>
      <w:t xml:space="preserve"> Olomouckého kraje </w:t>
    </w:r>
    <w:r w:rsidR="00A40E76">
      <w:rPr>
        <w:rFonts w:cs="Arial"/>
        <w:i/>
        <w:sz w:val="20"/>
        <w:szCs w:val="20"/>
      </w:rPr>
      <w:t>25</w:t>
    </w:r>
    <w:r w:rsidR="003C6FFC">
      <w:rPr>
        <w:rFonts w:cs="Arial"/>
        <w:i/>
        <w:sz w:val="20"/>
        <w:szCs w:val="20"/>
      </w:rPr>
      <w:t>. 2. 2019</w:t>
    </w:r>
    <w:r w:rsidR="00251D68" w:rsidRPr="004F08B2">
      <w:rPr>
        <w:rFonts w:cs="Arial"/>
        <w:i/>
        <w:sz w:val="20"/>
        <w:szCs w:val="20"/>
      </w:rPr>
      <w:tab/>
    </w:r>
    <w:r w:rsidR="00251D68"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="00251D68" w:rsidRPr="006D045D">
      <w:rPr>
        <w:i/>
        <w:sz w:val="20"/>
      </w:rPr>
      <w:t xml:space="preserve">Strana </w:t>
    </w:r>
    <w:r w:rsidR="00251D68" w:rsidRPr="006D045D">
      <w:rPr>
        <w:i/>
        <w:sz w:val="20"/>
      </w:rPr>
      <w:fldChar w:fldCharType="begin"/>
    </w:r>
    <w:r w:rsidR="00251D68" w:rsidRPr="006D045D">
      <w:rPr>
        <w:i/>
        <w:sz w:val="20"/>
      </w:rPr>
      <w:instrText xml:space="preserve"> PAGE </w:instrText>
    </w:r>
    <w:r w:rsidR="00251D68" w:rsidRPr="006D045D">
      <w:rPr>
        <w:i/>
        <w:sz w:val="20"/>
      </w:rPr>
      <w:fldChar w:fldCharType="separate"/>
    </w:r>
    <w:r w:rsidR="00A40E76">
      <w:rPr>
        <w:i/>
        <w:noProof/>
        <w:sz w:val="20"/>
      </w:rPr>
      <w:t>5</w:t>
    </w:r>
    <w:r w:rsidR="00251D68" w:rsidRPr="006D045D">
      <w:rPr>
        <w:i/>
        <w:sz w:val="20"/>
      </w:rPr>
      <w:fldChar w:fldCharType="end"/>
    </w:r>
    <w:r w:rsidR="00251D68" w:rsidRPr="006D045D">
      <w:rPr>
        <w:i/>
        <w:sz w:val="20"/>
      </w:rPr>
      <w:t xml:space="preserve"> (celkem </w:t>
    </w:r>
    <w:r>
      <w:rPr>
        <w:i/>
        <w:sz w:val="20"/>
      </w:rPr>
      <w:t>8</w:t>
    </w:r>
    <w:r w:rsidR="00251D68" w:rsidRPr="006D045D">
      <w:rPr>
        <w:i/>
        <w:sz w:val="20"/>
      </w:rPr>
      <w:t>)</w:t>
    </w:r>
  </w:p>
  <w:p w:rsidR="00E33A18" w:rsidRDefault="00E33A18" w:rsidP="00251D68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34. - </w:t>
    </w:r>
    <w:r w:rsidRPr="00E33A18">
      <w:rPr>
        <w:i/>
        <w:iCs/>
        <w:sz w:val="20"/>
        <w:szCs w:val="20"/>
      </w:rPr>
      <w:t>Dotace na činnost, akce a projekty hasičů, spolků a pobočných spolků hasičů Olomouckého kraje 2019 – vyhodnocení dotačního titulu 2</w:t>
    </w:r>
  </w:p>
  <w:p w:rsidR="00251D68" w:rsidRPr="00251D68" w:rsidRDefault="00251D68" w:rsidP="00251D68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1 – Kritéria hodnocení žádostí o dotaci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CF" w:rsidRDefault="002B29CF" w:rsidP="00251D68">
      <w:r>
        <w:separator/>
      </w:r>
    </w:p>
  </w:footnote>
  <w:footnote w:type="continuationSeparator" w:id="0">
    <w:p w:rsidR="002B29CF" w:rsidRDefault="002B29CF" w:rsidP="0025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18" w:rsidRPr="00251D68" w:rsidRDefault="00E33A18" w:rsidP="00E33A18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1 – Kritéria hodnocení žádostí o dotaci</w:t>
    </w:r>
  </w:p>
  <w:p w:rsidR="00E33A18" w:rsidRDefault="00E33A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5CD"/>
    <w:multiLevelType w:val="multilevel"/>
    <w:tmpl w:val="38C8C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E907D7"/>
    <w:multiLevelType w:val="hybridMultilevel"/>
    <w:tmpl w:val="F8B00680"/>
    <w:lvl w:ilvl="0" w:tplc="ACC203DA">
      <w:start w:val="1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364B6"/>
    <w:multiLevelType w:val="hybridMultilevel"/>
    <w:tmpl w:val="EDCC6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D13F2"/>
    <w:multiLevelType w:val="hybridMultilevel"/>
    <w:tmpl w:val="D8782358"/>
    <w:lvl w:ilvl="0" w:tplc="968AD7C2">
      <w:start w:val="1"/>
      <w:numFmt w:val="upperLetter"/>
      <w:lvlText w:val="%1."/>
      <w:lvlJc w:val="left"/>
      <w:pPr>
        <w:ind w:left="158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36384743"/>
    <w:multiLevelType w:val="hybridMultilevel"/>
    <w:tmpl w:val="509E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A0714"/>
    <w:multiLevelType w:val="hybridMultilevel"/>
    <w:tmpl w:val="3B84BB8A"/>
    <w:lvl w:ilvl="0" w:tplc="2B9C714A">
      <w:start w:val="1"/>
      <w:numFmt w:val="decimal"/>
      <w:lvlText w:val="%1."/>
      <w:lvlJc w:val="left"/>
      <w:pPr>
        <w:ind w:left="284" w:firstLine="436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500A67"/>
    <w:multiLevelType w:val="hybridMultilevel"/>
    <w:tmpl w:val="936E5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68"/>
    <w:rsid w:val="00093F07"/>
    <w:rsid w:val="000C1AA7"/>
    <w:rsid w:val="000E3AAF"/>
    <w:rsid w:val="00133D2A"/>
    <w:rsid w:val="00152F41"/>
    <w:rsid w:val="00251D68"/>
    <w:rsid w:val="002B29CF"/>
    <w:rsid w:val="003C6FFC"/>
    <w:rsid w:val="004B2EC1"/>
    <w:rsid w:val="004C6FE8"/>
    <w:rsid w:val="004E5EF6"/>
    <w:rsid w:val="005A5C48"/>
    <w:rsid w:val="007872CB"/>
    <w:rsid w:val="0086080D"/>
    <w:rsid w:val="008F7299"/>
    <w:rsid w:val="00A40E76"/>
    <w:rsid w:val="00AA0423"/>
    <w:rsid w:val="00BF3571"/>
    <w:rsid w:val="00C4758D"/>
    <w:rsid w:val="00C833C8"/>
    <w:rsid w:val="00CE24FC"/>
    <w:rsid w:val="00D56291"/>
    <w:rsid w:val="00DB62D8"/>
    <w:rsid w:val="00DC7CD4"/>
    <w:rsid w:val="00DD3C2D"/>
    <w:rsid w:val="00E33A18"/>
    <w:rsid w:val="00F90C8F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D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1D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1D68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1D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1D68"/>
    <w:rPr>
      <w:rFonts w:ascii="Arial" w:eastAsia="Times New Roman" w:hAnsi="Arial" w:cs="Times New Roman"/>
      <w:sz w:val="24"/>
      <w:szCs w:val="24"/>
      <w:lang w:eastAsia="ar-SA"/>
    </w:rPr>
  </w:style>
  <w:style w:type="character" w:styleId="slostrnky">
    <w:name w:val="page number"/>
    <w:rsid w:val="00251D68"/>
    <w:rPr>
      <w:rFonts w:ascii="Arial" w:hAnsi="Arial"/>
      <w:dstrike w:val="0"/>
      <w:color w:val="auto"/>
      <w:sz w:val="20"/>
      <w:u w:val="none"/>
      <w:vertAlign w:val="baseline"/>
    </w:rPr>
  </w:style>
  <w:style w:type="table" w:styleId="Mkatabulky">
    <w:name w:val="Table Grid"/>
    <w:basedOn w:val="Normlntabulka"/>
    <w:uiPriority w:val="59"/>
    <w:rsid w:val="003C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D68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1D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1D68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1D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1D68"/>
    <w:rPr>
      <w:rFonts w:ascii="Arial" w:eastAsia="Times New Roman" w:hAnsi="Arial" w:cs="Times New Roman"/>
      <w:sz w:val="24"/>
      <w:szCs w:val="24"/>
      <w:lang w:eastAsia="ar-SA"/>
    </w:rPr>
  </w:style>
  <w:style w:type="character" w:styleId="slostrnky">
    <w:name w:val="page number"/>
    <w:rsid w:val="00251D68"/>
    <w:rPr>
      <w:rFonts w:ascii="Arial" w:hAnsi="Arial"/>
      <w:dstrike w:val="0"/>
      <w:color w:val="auto"/>
      <w:sz w:val="20"/>
      <w:u w:val="none"/>
      <w:vertAlign w:val="baseline"/>
    </w:rPr>
  </w:style>
  <w:style w:type="table" w:styleId="Mkatabulky">
    <w:name w:val="Table Grid"/>
    <w:basedOn w:val="Normlntabulka"/>
    <w:uiPriority w:val="59"/>
    <w:rsid w:val="003C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Calábková Lucie</dc:creator>
  <cp:lastModifiedBy>Hložková</cp:lastModifiedBy>
  <cp:revision>4</cp:revision>
  <dcterms:created xsi:type="dcterms:W3CDTF">2019-02-04T14:26:00Z</dcterms:created>
  <dcterms:modified xsi:type="dcterms:W3CDTF">2019-02-05T15:22:00Z</dcterms:modified>
</cp:coreProperties>
</file>