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E5" w:rsidRDefault="00CD29E5" w:rsidP="00CD29E5">
      <w:pPr>
        <w:spacing w:after="120"/>
        <w:jc w:val="center"/>
        <w:rPr>
          <w:rFonts w:ascii="Arial" w:hAnsi="Arial" w:cs="Arial"/>
        </w:rPr>
      </w:pPr>
      <w:r>
        <w:rPr>
          <w:rFonts w:ascii="Arial" w:hAnsi="Arial" w:cs="Arial"/>
        </w:rPr>
        <w:t>Olomoucký kraj</w:t>
      </w:r>
    </w:p>
    <w:p w:rsidR="00CD29E5" w:rsidRDefault="00CD29E5" w:rsidP="00CD29E5">
      <w:pPr>
        <w:spacing w:after="120"/>
        <w:jc w:val="center"/>
        <w:rPr>
          <w:rFonts w:ascii="Arial" w:hAnsi="Arial" w:cs="Arial"/>
        </w:rPr>
      </w:pPr>
      <w:r>
        <w:rPr>
          <w:rFonts w:ascii="Arial" w:hAnsi="Arial" w:cs="Arial"/>
        </w:rPr>
        <w:t xml:space="preserve">pověřuje </w:t>
      </w:r>
    </w:p>
    <w:p w:rsidR="00CD29E5" w:rsidRDefault="00CD29E5" w:rsidP="00CD29E5">
      <w:pPr>
        <w:jc w:val="both"/>
        <w:rPr>
          <w:rFonts w:ascii="Arial" w:hAnsi="Arial" w:cs="Arial"/>
          <w:i/>
        </w:rPr>
      </w:pPr>
      <w:r>
        <w:rPr>
          <w:rFonts w:ascii="Arial" w:hAnsi="Arial" w:cs="Arial"/>
          <w:i/>
        </w:rPr>
        <w:t>SMN … … …</w:t>
      </w:r>
    </w:p>
    <w:p w:rsidR="00CD29E5" w:rsidRDefault="00CD29E5" w:rsidP="00CD29E5">
      <w:pPr>
        <w:jc w:val="both"/>
        <w:rPr>
          <w:rFonts w:ascii="Arial" w:hAnsi="Arial" w:cs="Arial"/>
        </w:rPr>
      </w:pPr>
      <w:r>
        <w:rPr>
          <w:rFonts w:ascii="Arial" w:hAnsi="Arial" w:cs="Arial"/>
        </w:rPr>
        <w:t>IČ: … … …</w:t>
      </w:r>
    </w:p>
    <w:p w:rsidR="00CD29E5" w:rsidRDefault="00CD29E5" w:rsidP="00CD29E5">
      <w:pPr>
        <w:jc w:val="both"/>
        <w:rPr>
          <w:rFonts w:ascii="Arial" w:hAnsi="Arial" w:cs="Arial"/>
        </w:rPr>
      </w:pPr>
      <w:r>
        <w:rPr>
          <w:rFonts w:ascii="Arial" w:hAnsi="Arial" w:cs="Arial"/>
        </w:rPr>
        <w:t>se sídlem: … … …</w:t>
      </w:r>
    </w:p>
    <w:p w:rsidR="00CD29E5" w:rsidRDefault="00CD29E5" w:rsidP="00CD29E5">
      <w:pPr>
        <w:spacing w:after="120"/>
        <w:jc w:val="both"/>
        <w:rPr>
          <w:rFonts w:ascii="Arial" w:hAnsi="Arial" w:cs="Arial"/>
        </w:rPr>
      </w:pPr>
      <w:r>
        <w:rPr>
          <w:rFonts w:ascii="Arial" w:hAnsi="Arial" w:cs="Arial"/>
        </w:rPr>
        <w:t>(dále jen „Nemocnice“)</w:t>
      </w:r>
    </w:p>
    <w:p w:rsidR="00CD29E5" w:rsidRDefault="00CD29E5" w:rsidP="00CD29E5">
      <w:pPr>
        <w:jc w:val="center"/>
        <w:rPr>
          <w:rFonts w:ascii="Arial" w:hAnsi="Arial" w:cs="Arial"/>
        </w:rPr>
      </w:pPr>
      <w:r>
        <w:rPr>
          <w:rFonts w:ascii="Arial" w:hAnsi="Arial" w:cs="Arial"/>
        </w:rPr>
        <w:t xml:space="preserve">v souladu s usnesením Zastupitelstva Olomouckého kraje </w:t>
      </w:r>
    </w:p>
    <w:p w:rsidR="00CD29E5" w:rsidRDefault="00CD29E5" w:rsidP="00CD29E5">
      <w:pPr>
        <w:spacing w:after="120"/>
        <w:jc w:val="center"/>
        <w:rPr>
          <w:rFonts w:ascii="Arial" w:hAnsi="Arial" w:cs="Arial"/>
        </w:rPr>
      </w:pPr>
      <w:r>
        <w:rPr>
          <w:rFonts w:ascii="Arial" w:hAnsi="Arial" w:cs="Arial"/>
        </w:rPr>
        <w:t>č. UZ/…/…/201</w:t>
      </w:r>
      <w:r w:rsidR="000169A8">
        <w:rPr>
          <w:rFonts w:ascii="Arial" w:hAnsi="Arial" w:cs="Arial"/>
        </w:rPr>
        <w:t>9</w:t>
      </w:r>
      <w:r>
        <w:rPr>
          <w:rFonts w:ascii="Arial" w:hAnsi="Arial" w:cs="Arial"/>
        </w:rPr>
        <w:t xml:space="preserve"> ze dne …. …. 201</w:t>
      </w:r>
      <w:r w:rsidR="000169A8">
        <w:rPr>
          <w:rFonts w:ascii="Arial" w:hAnsi="Arial" w:cs="Arial"/>
        </w:rPr>
        <w:t>9</w:t>
      </w:r>
    </w:p>
    <w:p w:rsidR="00CD29E5" w:rsidRDefault="00CD29E5" w:rsidP="00CD29E5">
      <w:pPr>
        <w:spacing w:after="120"/>
        <w:jc w:val="center"/>
        <w:rPr>
          <w:rFonts w:ascii="Arial" w:hAnsi="Arial" w:cs="Arial"/>
        </w:rPr>
      </w:pPr>
      <w:r>
        <w:rPr>
          <w:rFonts w:ascii="Arial" w:hAnsi="Arial" w:cs="Arial"/>
        </w:rPr>
        <w:t xml:space="preserve">na dobu do 30. 6. 2027 </w:t>
      </w:r>
    </w:p>
    <w:p w:rsidR="00CD29E5" w:rsidRDefault="00CD29E5" w:rsidP="00CD29E5">
      <w:pPr>
        <w:spacing w:after="120"/>
        <w:jc w:val="center"/>
        <w:rPr>
          <w:rFonts w:ascii="Arial" w:hAnsi="Arial" w:cs="Arial"/>
        </w:rPr>
      </w:pPr>
      <w:r>
        <w:rPr>
          <w:rFonts w:ascii="Arial" w:hAnsi="Arial" w:cs="Arial"/>
        </w:rPr>
        <w:t xml:space="preserve">na adrese … … … </w:t>
      </w:r>
    </w:p>
    <w:p w:rsidR="00CD29E5" w:rsidRDefault="00CD29E5" w:rsidP="00CD29E5">
      <w:pPr>
        <w:spacing w:after="120"/>
        <w:jc w:val="both"/>
        <w:rPr>
          <w:rFonts w:ascii="Arial" w:hAnsi="Arial" w:cs="Arial"/>
        </w:rPr>
      </w:pPr>
      <w:r>
        <w:rPr>
          <w:rFonts w:ascii="Arial" w:hAnsi="Arial" w:cs="Arial"/>
        </w:rPr>
        <w:t xml:space="preserve">poskytováním zdravotních služeb </w:t>
      </w:r>
      <w:r w:rsidR="00A40D7B">
        <w:rPr>
          <w:rFonts w:ascii="Arial" w:hAnsi="Arial" w:cs="Arial"/>
        </w:rPr>
        <w:t xml:space="preserve">ve </w:t>
      </w:r>
      <w:r>
        <w:rPr>
          <w:rFonts w:ascii="Arial" w:hAnsi="Arial" w:cs="Arial"/>
        </w:rPr>
        <w:t>form</w:t>
      </w:r>
      <w:r w:rsidR="00A40D7B">
        <w:rPr>
          <w:rFonts w:ascii="Arial" w:hAnsi="Arial" w:cs="Arial"/>
        </w:rPr>
        <w:t>ě</w:t>
      </w:r>
      <w:r>
        <w:rPr>
          <w:rFonts w:ascii="Arial" w:hAnsi="Arial" w:cs="Arial"/>
        </w:rPr>
        <w:t xml:space="preserve"> </w:t>
      </w:r>
      <w:r w:rsidR="00A40D7B">
        <w:rPr>
          <w:rFonts w:ascii="Arial" w:hAnsi="Arial" w:cs="Arial"/>
        </w:rPr>
        <w:t xml:space="preserve">lůžkové </w:t>
      </w:r>
      <w:r>
        <w:rPr>
          <w:rFonts w:ascii="Arial" w:hAnsi="Arial" w:cs="Arial"/>
        </w:rPr>
        <w:t>péče</w:t>
      </w:r>
      <w:r w:rsidR="00A40D7B">
        <w:rPr>
          <w:rFonts w:ascii="Arial" w:hAnsi="Arial" w:cs="Arial"/>
        </w:rPr>
        <w:t>, jednodenní péče a ambulantní péče</w:t>
      </w:r>
      <w:r>
        <w:rPr>
          <w:rFonts w:ascii="Arial" w:hAnsi="Arial" w:cs="Arial"/>
        </w:rPr>
        <w:t xml:space="preserve">, </w:t>
      </w:r>
      <w:r w:rsidR="00A40D7B">
        <w:rPr>
          <w:rFonts w:ascii="Arial" w:hAnsi="Arial" w:cs="Arial"/>
        </w:rPr>
        <w:t>která je hrazena z veřejného zdravotního pojištění, a to v oboru zdravotní péče vnitřní lékařství případně v</w:t>
      </w:r>
      <w:r w:rsidR="00030D4E">
        <w:rPr>
          <w:rFonts w:ascii="Arial" w:hAnsi="Arial" w:cs="Arial"/>
        </w:rPr>
        <w:t> dalších oborech zdravotní péče,</w:t>
      </w:r>
    </w:p>
    <w:p w:rsidR="00CD29E5" w:rsidRDefault="00CD29E5" w:rsidP="00CD29E5">
      <w:pPr>
        <w:spacing w:after="120"/>
        <w:jc w:val="both"/>
        <w:rPr>
          <w:rFonts w:ascii="Arial" w:hAnsi="Arial" w:cs="Arial"/>
          <w:sz w:val="22"/>
          <w:szCs w:val="22"/>
        </w:rPr>
      </w:pPr>
      <w:r>
        <w:rPr>
          <w:rFonts w:ascii="Arial" w:hAnsi="Arial" w:cs="Arial"/>
        </w:rPr>
        <w:t>v nichž je nebo bude oprávněna poskytovat zdravotní služby na základě rozhodnutí o udělení oprávnění k poskytování zdravotních služeb podle zákona č. 372/2011 Sb., o zdravotních službách a podmínkách jejich poskytování (zákon o zdravotních službách),</w:t>
      </w:r>
      <w:r w:rsidR="00030D4E">
        <w:rPr>
          <w:rFonts w:ascii="Arial" w:hAnsi="Arial" w:cs="Arial"/>
        </w:rPr>
        <w:t xml:space="preserve"> </w:t>
      </w:r>
      <w:r>
        <w:rPr>
          <w:rFonts w:ascii="Arial" w:hAnsi="Arial" w:cs="Arial"/>
        </w:rPr>
        <w:t xml:space="preserve">a jež budou poskytovány v budově, která bude zhotovena v rámci projektu "SMN a.s. - </w:t>
      </w:r>
      <w:proofErr w:type="spellStart"/>
      <w:proofErr w:type="gramStart"/>
      <w:r>
        <w:rPr>
          <w:rFonts w:ascii="Arial" w:hAnsi="Arial" w:cs="Arial"/>
        </w:rPr>
        <w:t>o.z</w:t>
      </w:r>
      <w:proofErr w:type="spellEnd"/>
      <w:r>
        <w:rPr>
          <w:rFonts w:ascii="Arial" w:hAnsi="Arial" w:cs="Arial"/>
        </w:rPr>
        <w:t>.</w:t>
      </w:r>
      <w:proofErr w:type="gramEnd"/>
      <w:r>
        <w:rPr>
          <w:rFonts w:ascii="Arial" w:hAnsi="Arial" w:cs="Arial"/>
        </w:rPr>
        <w:t xml:space="preserve"> Nemocnice Šternberk - Interní pavilon" v areálu nemocnice ve Šternberku na výše uvedené adrese,</w:t>
      </w:r>
    </w:p>
    <w:p w:rsidR="00CD29E5" w:rsidRDefault="00CD29E5" w:rsidP="00CD29E5">
      <w:pPr>
        <w:spacing w:after="120"/>
        <w:jc w:val="both"/>
        <w:rPr>
          <w:rFonts w:ascii="Arial" w:hAnsi="Arial" w:cs="Arial"/>
        </w:rPr>
      </w:pPr>
      <w:r>
        <w:rPr>
          <w:rFonts w:ascii="Arial" w:hAnsi="Arial" w:cs="Arial"/>
        </w:rPr>
        <w:t xml:space="preserve">a to jako výkonem služeb obecného hospodářského zájmu v souladu s Rozhodnutím Evropské Komise ze dne 20. 12. 2011 o použití čl. 106 odst. 2 Smlouvy o fungování Evropské unie na státní podporu ve formě vyrovnávací platby za závazek veřejné služby udělené určitým podnikům pověřeným poskytováním služeb obecného hospodářského zájmu (2012/21/EU). </w:t>
      </w:r>
    </w:p>
    <w:p w:rsidR="00CD29E5" w:rsidRDefault="00CD29E5" w:rsidP="00CD29E5">
      <w:pPr>
        <w:spacing w:after="120"/>
        <w:jc w:val="both"/>
        <w:rPr>
          <w:rFonts w:ascii="Arial" w:hAnsi="Arial" w:cs="Arial"/>
        </w:rPr>
      </w:pPr>
      <w:r>
        <w:rPr>
          <w:rFonts w:ascii="Arial" w:hAnsi="Arial" w:cs="Arial"/>
        </w:rPr>
        <w:t xml:space="preserve">Z důvodu neovlivňování obchodu a kumulace s jinými vyrovnávacími platbami za stejnou službu obecného hospodářského zájmu nesmí být podpora kumulována s podporou de </w:t>
      </w:r>
      <w:proofErr w:type="spellStart"/>
      <w:r>
        <w:rPr>
          <w:rFonts w:ascii="Arial" w:hAnsi="Arial" w:cs="Arial"/>
        </w:rPr>
        <w:t>minimis</w:t>
      </w:r>
      <w:proofErr w:type="spellEnd"/>
      <w:r>
        <w:rPr>
          <w:rFonts w:ascii="Arial" w:hAnsi="Arial" w:cs="Arial"/>
        </w:rPr>
        <w:t>, udílenou za poskytování služby obecného hospodářského zájmu.</w:t>
      </w:r>
    </w:p>
    <w:p w:rsidR="00CD29E5" w:rsidRDefault="00CD29E5" w:rsidP="00CD29E5">
      <w:pPr>
        <w:spacing w:after="120"/>
        <w:jc w:val="both"/>
        <w:rPr>
          <w:rFonts w:ascii="Arial" w:hAnsi="Arial" w:cs="Arial"/>
        </w:rPr>
      </w:pPr>
      <w:r>
        <w:rPr>
          <w:rFonts w:ascii="Arial" w:hAnsi="Arial" w:cs="Arial"/>
        </w:rPr>
        <w:t>Nemocnici nejsou udělena tímto pověřením žádná výhradní ani zvláštní práva k poskytování zdravotních služeb.</w:t>
      </w:r>
    </w:p>
    <w:p w:rsidR="00CD29E5" w:rsidRDefault="00CD29E5" w:rsidP="00CD29E5">
      <w:pPr>
        <w:jc w:val="both"/>
        <w:rPr>
          <w:rFonts w:ascii="Arial" w:hAnsi="Arial" w:cs="Arial"/>
        </w:rPr>
      </w:pPr>
      <w:r>
        <w:rPr>
          <w:rFonts w:ascii="Arial" w:hAnsi="Arial" w:cs="Arial"/>
        </w:rPr>
        <w:t>Pravidla pro výpočet dovolené výše vyrovnávacích plateb na investice v souvislosti se závazkem veřejné služby jsou uvedena v příloze tohoto pověření.</w:t>
      </w:r>
    </w:p>
    <w:p w:rsidR="00CD29E5" w:rsidRDefault="00CD29E5" w:rsidP="00CD29E5">
      <w:pPr>
        <w:jc w:val="both"/>
        <w:rPr>
          <w:rFonts w:ascii="Arial" w:hAnsi="Arial" w:cs="Arial"/>
        </w:rPr>
      </w:pPr>
    </w:p>
    <w:p w:rsidR="00CD29E5" w:rsidRDefault="00CD29E5" w:rsidP="00CD29E5">
      <w:pPr>
        <w:spacing w:after="120"/>
        <w:jc w:val="both"/>
        <w:rPr>
          <w:rFonts w:ascii="Arial" w:hAnsi="Arial" w:cs="Arial"/>
        </w:rPr>
      </w:pPr>
      <w:r>
        <w:rPr>
          <w:rFonts w:ascii="Arial" w:hAnsi="Arial" w:cs="Arial"/>
        </w:rPr>
        <w:t xml:space="preserve">V souvislosti s tímto pověřením není Olomoucký kraj povinen výše uvedené Nemocnici poskytovat vyrovnávací platbu za plnění výše uvedeného závazku veřejné služby. Úhrada nákladů za poskytování zdravotnické služby v rozsahu tohoto pověření je kryta platbami veřejného zdravotního pojištění podle zákona č. 48/1997 Sb., o veřejném zdravotním pojištění a o změně a doplnění některých souvisejících zákonů, ve znění pozdějších předpisů, prováděcích právních předpisů k uvedenému zákonu a právních předpisů souvisejících. </w:t>
      </w: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 xml:space="preserve">Pokud bude uvedená Nemocnice v průběhu doby, v níž je pověřena tímto pověřením, příjemcem finančních prostředků z veřejných zdrojů, předloží Olomouckému kraji na základě jeho výzvy alespoň jednou za tři roky takové informace, aby mohla být provedena kontrola a přezkoumání vyrovnávacích plateb a zamezeno poskytnutí </w:t>
      </w:r>
      <w:r>
        <w:rPr>
          <w:rFonts w:ascii="Arial" w:hAnsi="Arial" w:cs="Arial"/>
          <w:sz w:val="24"/>
          <w:szCs w:val="24"/>
        </w:rPr>
        <w:lastRenderedPageBreak/>
        <w:t xml:space="preserve">nadměrné vyrovnávací platby, a zároveň bylo zajištěno případné vrácení jakékoliv nadměrné vyrovnávací platby. </w:t>
      </w:r>
    </w:p>
    <w:p w:rsidR="00030D4E" w:rsidRDefault="00030D4E"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 xml:space="preserve">Povinnost vrátit nadměrně vyplacenou vyrovnávací platbu z jiných zdrojů než rozpočtu Olomouckého kraje ani jiné povinnosti stanovené v souvislosti s poskytnutím finančních prostředků z veřejných zdrojů nejsou tímto pověřením dotčeny. Nadměrnou vyrovnávací platbou se rozumí platby vyšší, než jsou platby nezbytné k pokrytí čistých nákladů investiční podpory uvedené v tomto pověření. </w:t>
      </w:r>
    </w:p>
    <w:p w:rsidR="00030D4E" w:rsidRDefault="00030D4E"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 xml:space="preserve">Toto pověření nabývá účinnosti dnem, kdy dostane nemocnice k užívání zkolaudovanou budovu zhotovenou v rámci projektu "SMN a.s. - </w:t>
      </w:r>
      <w:proofErr w:type="spellStart"/>
      <w:proofErr w:type="gramStart"/>
      <w:r>
        <w:rPr>
          <w:rFonts w:ascii="Arial" w:hAnsi="Arial" w:cs="Arial"/>
          <w:sz w:val="24"/>
          <w:szCs w:val="24"/>
        </w:rPr>
        <w:t>o.z</w:t>
      </w:r>
      <w:proofErr w:type="spellEnd"/>
      <w:r>
        <w:rPr>
          <w:rFonts w:ascii="Arial" w:hAnsi="Arial" w:cs="Arial"/>
          <w:sz w:val="24"/>
          <w:szCs w:val="24"/>
        </w:rPr>
        <w:t>.</w:t>
      </w:r>
      <w:proofErr w:type="gramEnd"/>
      <w:r>
        <w:rPr>
          <w:rFonts w:ascii="Arial" w:hAnsi="Arial" w:cs="Arial"/>
          <w:sz w:val="24"/>
          <w:szCs w:val="24"/>
        </w:rPr>
        <w:t xml:space="preserve"> Nemocnice Šternberk - Interní pavilon" v areálu nemocnice ve Šternberku na adrese</w:t>
      </w:r>
      <w:r w:rsidR="00030D4E">
        <w:rPr>
          <w:rFonts w:ascii="Arial" w:hAnsi="Arial" w:cs="Arial"/>
          <w:sz w:val="24"/>
          <w:szCs w:val="24"/>
        </w:rPr>
        <w:t xml:space="preserve"> </w:t>
      </w:r>
      <w:r>
        <w:rPr>
          <w:rFonts w:ascii="Arial" w:hAnsi="Arial" w:cs="Arial"/>
          <w:sz w:val="24"/>
          <w:szCs w:val="24"/>
        </w:rPr>
        <w:t>…</w:t>
      </w:r>
      <w:r w:rsidR="00030D4E">
        <w:rPr>
          <w:rFonts w:ascii="Arial" w:hAnsi="Arial" w:cs="Arial"/>
          <w:sz w:val="24"/>
          <w:szCs w:val="24"/>
        </w:rPr>
        <w:t xml:space="preserve"> … …</w:t>
      </w:r>
      <w:r>
        <w:rPr>
          <w:rFonts w:ascii="Arial" w:hAnsi="Arial" w:cs="Arial"/>
          <w:sz w:val="24"/>
          <w:szCs w:val="24"/>
        </w:rPr>
        <w:t xml:space="preserve"> v rámci 61. výzvy pro podávání žádostí o poskytnutí podpory v rámci Operačního programu Životní prostředí (OPŽP) 2014–2020, kterou vyhlásilo Ministerstvo životního prostředí dne 3. 4. 2017 prostřednictvím Státního fondu životního prostředí ČR (SFŽP ČR). </w:t>
      </w: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color w:val="00B050"/>
          <w:sz w:val="24"/>
          <w:szCs w:val="24"/>
        </w:rPr>
      </w:pP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Příloha:</w:t>
      </w:r>
    </w:p>
    <w:p w:rsidR="00CD29E5" w:rsidRDefault="00CD29E5" w:rsidP="00CD29E5">
      <w:pPr>
        <w:pStyle w:val="Odstavecseseznamem"/>
        <w:spacing w:after="120"/>
        <w:ind w:left="0"/>
        <w:jc w:val="both"/>
        <w:rPr>
          <w:rFonts w:ascii="Arial" w:hAnsi="Arial" w:cs="Arial"/>
          <w:color w:val="FF0000"/>
          <w:sz w:val="24"/>
          <w:szCs w:val="24"/>
        </w:rPr>
      </w:pPr>
      <w:r>
        <w:rPr>
          <w:rFonts w:ascii="Arial" w:hAnsi="Arial" w:cs="Arial"/>
          <w:sz w:val="24"/>
          <w:szCs w:val="24"/>
        </w:rPr>
        <w:t xml:space="preserve">Pravidla pro výpočet dovolené výše vyrovnávacích plateb na investice v souvislosti se závazkem veřejné služby v oblasti zdravotnictví </w:t>
      </w:r>
      <w:r>
        <w:rPr>
          <w:rFonts w:ascii="Arial" w:hAnsi="Arial" w:cs="Arial"/>
          <w:color w:val="FF0000"/>
          <w:sz w:val="24"/>
          <w:szCs w:val="24"/>
        </w:rPr>
        <w:t xml:space="preserve"> </w:t>
      </w:r>
    </w:p>
    <w:p w:rsidR="00CD29E5" w:rsidRDefault="00CD29E5" w:rsidP="00CD29E5">
      <w:pPr>
        <w:autoSpaceDE w:val="0"/>
        <w:autoSpaceDN w:val="0"/>
        <w:spacing w:after="120"/>
        <w:jc w:val="both"/>
        <w:rPr>
          <w:rFonts w:ascii="Arial" w:hAnsi="Arial" w:cs="Arial"/>
          <w:i/>
          <w:color w:val="FF0000"/>
        </w:rPr>
      </w:pPr>
      <w:r>
        <w:rPr>
          <w:rFonts w:ascii="Arial" w:hAnsi="Arial" w:cs="Arial"/>
          <w:i/>
          <w:color w:val="FF0000"/>
        </w:rPr>
        <w:t xml:space="preserve"> </w:t>
      </w:r>
    </w:p>
    <w:p w:rsidR="00CD29E5" w:rsidRDefault="00CD29E5" w:rsidP="00CD29E5">
      <w:pPr>
        <w:spacing w:after="160" w:line="256" w:lineRule="auto"/>
        <w:rPr>
          <w:rFonts w:ascii="Arial" w:hAnsi="Arial" w:cs="Arial"/>
          <w:i/>
          <w:color w:val="FF0000"/>
        </w:rPr>
      </w:pPr>
      <w:r>
        <w:rPr>
          <w:rFonts w:ascii="Arial" w:hAnsi="Arial" w:cs="Arial"/>
          <w:i/>
          <w:color w:val="FF0000"/>
        </w:rPr>
        <w:br w:type="page"/>
      </w:r>
    </w:p>
    <w:p w:rsidR="00CD29E5" w:rsidRDefault="00CD29E5" w:rsidP="00CD29E5">
      <w:pPr>
        <w:jc w:val="center"/>
        <w:rPr>
          <w:rFonts w:ascii="Arial" w:hAnsi="Arial" w:cs="Arial"/>
          <w:b/>
          <w:sz w:val="22"/>
          <w:szCs w:val="22"/>
        </w:rPr>
      </w:pPr>
      <w:r>
        <w:rPr>
          <w:rFonts w:ascii="Arial" w:hAnsi="Arial" w:cs="Arial"/>
          <w:b/>
        </w:rPr>
        <w:lastRenderedPageBreak/>
        <w:t xml:space="preserve">Pravidla pro výpočet dovolené výše vyrovnávacích plateb </w:t>
      </w:r>
    </w:p>
    <w:p w:rsidR="00CD29E5" w:rsidRDefault="00CD29E5" w:rsidP="00CD29E5">
      <w:pPr>
        <w:jc w:val="center"/>
        <w:rPr>
          <w:rFonts w:ascii="Arial" w:hAnsi="Arial" w:cs="Arial"/>
          <w:b/>
        </w:rPr>
      </w:pPr>
      <w:r>
        <w:rPr>
          <w:rFonts w:ascii="Arial" w:hAnsi="Arial" w:cs="Arial"/>
          <w:b/>
        </w:rPr>
        <w:t xml:space="preserve">na investice v souvislosti se závazkem veřejné služby v oblasti zdravotnictví </w:t>
      </w:r>
    </w:p>
    <w:p w:rsidR="00CD29E5" w:rsidRDefault="00CD29E5" w:rsidP="00CD29E5">
      <w:pPr>
        <w:spacing w:after="120"/>
        <w:jc w:val="center"/>
        <w:rPr>
          <w:rFonts w:ascii="Arial" w:hAnsi="Arial" w:cs="Arial"/>
        </w:rPr>
      </w:pPr>
      <w:r>
        <w:rPr>
          <w:rFonts w:ascii="Arial" w:hAnsi="Arial" w:cs="Arial"/>
        </w:rPr>
        <w:t>(podle usnesení Zastupitelstva Olomouckého kraje č. UZ/…/…/201</w:t>
      </w:r>
      <w:r w:rsidR="000169A8">
        <w:rPr>
          <w:rFonts w:ascii="Arial" w:hAnsi="Arial" w:cs="Arial"/>
        </w:rPr>
        <w:t>9</w:t>
      </w:r>
      <w:r>
        <w:rPr>
          <w:rFonts w:ascii="Arial" w:hAnsi="Arial" w:cs="Arial"/>
        </w:rPr>
        <w:t xml:space="preserve"> ze dne …. …. 201</w:t>
      </w:r>
      <w:r w:rsidR="000169A8">
        <w:rPr>
          <w:rFonts w:ascii="Arial" w:hAnsi="Arial" w:cs="Arial"/>
        </w:rPr>
        <w:t>9</w:t>
      </w:r>
      <w:r>
        <w:rPr>
          <w:rFonts w:ascii="Arial" w:hAnsi="Arial" w:cs="Arial"/>
        </w:rPr>
        <w:t>)</w:t>
      </w:r>
    </w:p>
    <w:p w:rsidR="00CD29E5" w:rsidRDefault="00CD29E5" w:rsidP="00CD29E5">
      <w:pPr>
        <w:spacing w:after="120"/>
        <w:ind w:left="66"/>
        <w:jc w:val="both"/>
        <w:rPr>
          <w:rFonts w:ascii="Arial" w:hAnsi="Arial" w:cs="Arial"/>
        </w:rPr>
      </w:pPr>
      <w:r>
        <w:rPr>
          <w:rFonts w:ascii="Arial" w:hAnsi="Arial" w:cs="Arial"/>
        </w:rPr>
        <w:t>Dovolená výše investiční podpory se vypočítává a ověřuje následujícím způsobem:</w:t>
      </w:r>
    </w:p>
    <w:p w:rsidR="00CD29E5" w:rsidRDefault="00CD29E5" w:rsidP="00CD29E5">
      <w:pPr>
        <w:numPr>
          <w:ilvl w:val="0"/>
          <w:numId w:val="12"/>
        </w:numPr>
        <w:spacing w:after="120"/>
        <w:ind w:left="425" w:hanging="357"/>
        <w:jc w:val="both"/>
        <w:rPr>
          <w:rFonts w:ascii="Arial" w:hAnsi="Arial" w:cs="Arial"/>
        </w:rPr>
      </w:pPr>
      <w:r>
        <w:rPr>
          <w:rFonts w:ascii="Arial" w:hAnsi="Arial" w:cs="Arial"/>
        </w:rPr>
        <w:t>Před vlastním výpočtem výše dovolené podpory je nutno oddělit případný komerční podíl na investici (v případě čistého komerčního účelu investice nárok na podporu nenáleží, investice musí být kryta výhradně vlastními zdroji – odpisy a ziskem po zdanění) a je též nutno oddělit investice do extenzivního rozvoje (zvyšování počtu lůžek, rozšiřování oborů mimo již Nemocnicí provozované apod.).</w:t>
      </w:r>
    </w:p>
    <w:p w:rsidR="00CD29E5" w:rsidRDefault="00CD29E5" w:rsidP="00CD29E5">
      <w:pPr>
        <w:pStyle w:val="Zkladntext3"/>
        <w:numPr>
          <w:ilvl w:val="0"/>
          <w:numId w:val="12"/>
        </w:numPr>
        <w:ind w:left="425" w:hanging="357"/>
        <w:rPr>
          <w:rFonts w:ascii="Arial" w:hAnsi="Arial" w:cs="Arial"/>
          <w:sz w:val="22"/>
          <w:szCs w:val="22"/>
        </w:rPr>
      </w:pPr>
      <w:r>
        <w:rPr>
          <w:rFonts w:ascii="Arial" w:hAnsi="Arial" w:cs="Arial"/>
          <w:sz w:val="22"/>
          <w:szCs w:val="22"/>
        </w:rPr>
        <w:t>Dovolená výše podpory se vypočte dle vzorce:</w:t>
      </w:r>
    </w:p>
    <w:p w:rsidR="00CD29E5" w:rsidRDefault="00CD29E5" w:rsidP="00CD29E5">
      <w:pPr>
        <w:jc w:val="center"/>
        <w:rPr>
          <w:rFonts w:ascii="Arial" w:hAnsi="Arial" w:cs="Arial"/>
          <w:b/>
          <w:sz w:val="22"/>
          <w:szCs w:val="22"/>
        </w:rPr>
      </w:pPr>
      <w:proofErr w:type="spellStart"/>
      <w:r>
        <w:rPr>
          <w:rFonts w:ascii="Arial" w:hAnsi="Arial" w:cs="Arial"/>
          <w:b/>
        </w:rPr>
        <w:t>VP</w:t>
      </w:r>
      <w:r>
        <w:rPr>
          <w:rFonts w:ascii="Arial" w:hAnsi="Arial" w:cs="Arial"/>
          <w:b/>
          <w:vertAlign w:val="subscript"/>
        </w:rPr>
        <w:t>max</w:t>
      </w:r>
      <w:proofErr w:type="spellEnd"/>
      <w:r>
        <w:rPr>
          <w:rFonts w:ascii="Arial" w:hAnsi="Arial" w:cs="Arial"/>
          <w:b/>
        </w:rPr>
        <w:t xml:space="preserve"> = IN - OD - OP - VI</w:t>
      </w:r>
    </w:p>
    <w:p w:rsidR="00CD29E5" w:rsidRDefault="00CD29E5" w:rsidP="00CD29E5">
      <w:pPr>
        <w:spacing w:after="120"/>
        <w:ind w:left="426"/>
        <w:rPr>
          <w:rFonts w:ascii="Arial" w:hAnsi="Arial" w:cs="Arial"/>
        </w:rPr>
      </w:pPr>
      <w:r>
        <w:rPr>
          <w:rFonts w:ascii="Arial" w:hAnsi="Arial" w:cs="Arial"/>
        </w:rPr>
        <w:t xml:space="preserve">kde </w:t>
      </w:r>
    </w:p>
    <w:p w:rsidR="00CD29E5" w:rsidRDefault="00CD29E5" w:rsidP="00CD29E5">
      <w:pPr>
        <w:spacing w:after="120"/>
        <w:ind w:left="1135" w:hanging="709"/>
        <w:jc w:val="both"/>
        <w:rPr>
          <w:rFonts w:ascii="Arial" w:hAnsi="Arial" w:cs="Arial"/>
        </w:rPr>
      </w:pPr>
      <w:proofErr w:type="spellStart"/>
      <w:r>
        <w:rPr>
          <w:rFonts w:ascii="Arial" w:hAnsi="Arial" w:cs="Arial"/>
        </w:rPr>
        <w:t>VP</w:t>
      </w:r>
      <w:r>
        <w:rPr>
          <w:rFonts w:ascii="Arial" w:hAnsi="Arial" w:cs="Arial"/>
          <w:vertAlign w:val="subscript"/>
        </w:rPr>
        <w:t>max</w:t>
      </w:r>
      <w:proofErr w:type="spellEnd"/>
      <w:r>
        <w:rPr>
          <w:rFonts w:ascii="Arial" w:hAnsi="Arial" w:cs="Arial"/>
        </w:rPr>
        <w:t xml:space="preserve"> </w:t>
      </w:r>
      <w:r>
        <w:rPr>
          <w:rFonts w:ascii="Arial" w:hAnsi="Arial" w:cs="Arial"/>
        </w:rPr>
        <w:tab/>
        <w:t xml:space="preserve">je nejvyšší možná dovolená veřejná podpora na úhradu nákladů spojených s investicemi v daném roce </w:t>
      </w:r>
    </w:p>
    <w:p w:rsidR="00CD29E5" w:rsidRDefault="00CD29E5" w:rsidP="00CD29E5">
      <w:pPr>
        <w:spacing w:after="120"/>
        <w:ind w:left="1135" w:hanging="709"/>
        <w:jc w:val="both"/>
        <w:rPr>
          <w:rFonts w:ascii="Arial" w:hAnsi="Arial" w:cs="Arial"/>
        </w:rPr>
      </w:pPr>
      <w:r>
        <w:rPr>
          <w:rFonts w:ascii="Arial" w:hAnsi="Arial" w:cs="Arial"/>
        </w:rPr>
        <w:t>IN</w:t>
      </w:r>
      <w:r>
        <w:rPr>
          <w:rFonts w:ascii="Arial" w:hAnsi="Arial" w:cs="Arial"/>
        </w:rPr>
        <w:tab/>
        <w:t>je obvyklá aktuální cena věci zařízení, přístroje, stavby na trhu, jedná se o všechny investice Nemocnice bez komerčních podílů na investici a bez extenzívního rozvoje dle bodu 1.</w:t>
      </w:r>
    </w:p>
    <w:p w:rsidR="00CD29E5" w:rsidRDefault="00CD29E5" w:rsidP="00CD29E5">
      <w:pPr>
        <w:spacing w:after="120"/>
        <w:ind w:left="1135" w:hanging="709"/>
        <w:jc w:val="both"/>
        <w:rPr>
          <w:rFonts w:ascii="Arial" w:hAnsi="Arial" w:cs="Arial"/>
        </w:rPr>
      </w:pPr>
      <w:r>
        <w:rPr>
          <w:rFonts w:ascii="Arial" w:hAnsi="Arial" w:cs="Arial"/>
        </w:rPr>
        <w:t>OD</w:t>
      </w:r>
      <w:r>
        <w:rPr>
          <w:rFonts w:ascii="Arial" w:hAnsi="Arial" w:cs="Arial"/>
          <w:vertAlign w:val="subscript"/>
        </w:rPr>
        <w:t xml:space="preserve">   </w:t>
      </w:r>
      <w:r>
        <w:rPr>
          <w:rFonts w:ascii="Arial" w:hAnsi="Arial" w:cs="Arial"/>
          <w:vertAlign w:val="subscript"/>
        </w:rPr>
        <w:tab/>
      </w:r>
      <w:r>
        <w:rPr>
          <w:rFonts w:ascii="Arial" w:hAnsi="Arial" w:cs="Arial"/>
        </w:rPr>
        <w:t>je poměrná část odpisů plánovaných za daný rok z majetku používaného k plnění závazku služby veřejného zájmu;</w:t>
      </w:r>
      <w:r>
        <w:rPr>
          <w:rFonts w:ascii="Arial" w:eastAsia="SimSun" w:hAnsi="Arial" w:cs="Arial"/>
        </w:rPr>
        <w:t xml:space="preserve"> j</w:t>
      </w:r>
      <w:r>
        <w:rPr>
          <w:rFonts w:ascii="Arial" w:hAnsi="Arial" w:cs="Arial"/>
        </w:rPr>
        <w:t>edná se o celkové roční odpisy Nemocnice</w:t>
      </w:r>
      <w:r>
        <w:rPr>
          <w:rFonts w:ascii="Arial" w:eastAsia="SimSun" w:hAnsi="Arial" w:cs="Arial"/>
          <w:szCs w:val="20"/>
        </w:rPr>
        <w:t xml:space="preserve"> bez odpisů z investic uvedených v bodě 1.</w:t>
      </w:r>
    </w:p>
    <w:p w:rsidR="00CD29E5" w:rsidRDefault="00CD29E5" w:rsidP="00CD29E5">
      <w:pPr>
        <w:spacing w:after="120"/>
        <w:ind w:left="1135" w:hanging="709"/>
        <w:jc w:val="both"/>
        <w:rPr>
          <w:rFonts w:ascii="Arial" w:hAnsi="Arial" w:cs="Arial"/>
        </w:rPr>
      </w:pPr>
      <w:r>
        <w:rPr>
          <w:rFonts w:ascii="Arial" w:eastAsia="SimSun" w:hAnsi="Arial" w:cs="Arial"/>
        </w:rPr>
        <w:t>OP</w:t>
      </w:r>
      <w:r>
        <w:rPr>
          <w:rFonts w:ascii="Arial" w:hAnsi="Arial" w:cs="Arial"/>
        </w:rPr>
        <w:tab/>
        <w:t>je Ostatní veřejná podpora plánovaná v aktuálním roce (státní rozpočet, evropské fondy atd.) v rozsahu plánovaných vyrovnávacích plateb na úhradu investičních nákladů</w:t>
      </w:r>
      <w:r>
        <w:t xml:space="preserve"> </w:t>
      </w:r>
      <w:r>
        <w:rPr>
          <w:rFonts w:ascii="Arial" w:hAnsi="Arial" w:cs="Arial"/>
        </w:rPr>
        <w:t>bez podpory na investiční náklady uvedené v bodě 1.</w:t>
      </w:r>
    </w:p>
    <w:p w:rsidR="00CD29E5" w:rsidRDefault="00CD29E5" w:rsidP="00CD29E5">
      <w:pPr>
        <w:spacing w:after="120"/>
        <w:ind w:left="1135" w:hanging="709"/>
        <w:jc w:val="both"/>
        <w:rPr>
          <w:rFonts w:ascii="Arial" w:hAnsi="Arial" w:cs="Arial"/>
        </w:rPr>
      </w:pPr>
      <w:r>
        <w:rPr>
          <w:rFonts w:ascii="Arial" w:hAnsi="Arial" w:cs="Arial"/>
        </w:rPr>
        <w:t>VI</w:t>
      </w:r>
      <w:r>
        <w:rPr>
          <w:rFonts w:ascii="Arial" w:hAnsi="Arial" w:cs="Arial"/>
        </w:rPr>
        <w:tab/>
        <w:t>jsou disponibilní složky vlastního kapitálu a to v rozsahu, ve kterém jsou v daném roce určeny ke krytí nákladů spojených s investicemi, mimo investic uvedených v bodě 1.</w:t>
      </w:r>
    </w:p>
    <w:p w:rsidR="00C50636" w:rsidRPr="00CD29E5" w:rsidRDefault="00C50636" w:rsidP="00CD29E5"/>
    <w:sectPr w:rsidR="00C50636" w:rsidRPr="00CD29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5A3" w:rsidRDefault="005835A3">
      <w:r>
        <w:separator/>
      </w:r>
    </w:p>
  </w:endnote>
  <w:endnote w:type="continuationSeparator" w:id="0">
    <w:p w:rsidR="005835A3" w:rsidRDefault="0058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8B" w:rsidRDefault="00487D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B5" w:rsidRPr="007D486E" w:rsidRDefault="000A1D04" w:rsidP="00882B7D">
    <w:pPr>
      <w:pStyle w:val="Zpat"/>
      <w:pBdr>
        <w:top w:val="single" w:sz="4" w:space="1" w:color="auto"/>
      </w:pBdr>
      <w:rPr>
        <w:rFonts w:ascii="Arial" w:hAnsi="Arial" w:cs="Arial"/>
        <w:i/>
        <w:sz w:val="20"/>
        <w:szCs w:val="20"/>
      </w:rPr>
    </w:pPr>
    <w:r>
      <w:rPr>
        <w:rFonts w:ascii="Arial" w:hAnsi="Arial" w:cs="Arial"/>
        <w:i/>
        <w:sz w:val="20"/>
        <w:szCs w:val="20"/>
      </w:rPr>
      <w:t xml:space="preserve">Zastupitelstvo </w:t>
    </w:r>
    <w:r w:rsidR="00414EB5" w:rsidRPr="007D486E">
      <w:rPr>
        <w:rFonts w:ascii="Arial" w:hAnsi="Arial" w:cs="Arial"/>
        <w:i/>
        <w:sz w:val="20"/>
        <w:szCs w:val="20"/>
      </w:rPr>
      <w:t>Olomouckého kraje</w:t>
    </w:r>
    <w:r w:rsidR="00414EB5">
      <w:rPr>
        <w:rFonts w:ascii="Arial" w:hAnsi="Arial" w:cs="Arial"/>
        <w:i/>
        <w:sz w:val="20"/>
        <w:szCs w:val="20"/>
      </w:rPr>
      <w:t xml:space="preserve"> </w:t>
    </w:r>
    <w:r>
      <w:rPr>
        <w:rFonts w:ascii="Arial" w:hAnsi="Arial" w:cs="Arial"/>
        <w:i/>
        <w:sz w:val="20"/>
        <w:szCs w:val="20"/>
      </w:rPr>
      <w:t>25</w:t>
    </w:r>
    <w:r w:rsidR="00414EB5">
      <w:rPr>
        <w:rFonts w:ascii="Arial" w:hAnsi="Arial" w:cs="Arial"/>
        <w:i/>
        <w:sz w:val="20"/>
        <w:szCs w:val="20"/>
      </w:rPr>
      <w:t>.</w:t>
    </w:r>
    <w:r w:rsidR="00A817E4">
      <w:rPr>
        <w:rFonts w:ascii="Arial" w:hAnsi="Arial" w:cs="Arial"/>
        <w:i/>
        <w:sz w:val="20"/>
        <w:szCs w:val="20"/>
      </w:rPr>
      <w:t xml:space="preserve"> </w:t>
    </w:r>
    <w:r w:rsidR="000169A8">
      <w:rPr>
        <w:rFonts w:ascii="Arial" w:hAnsi="Arial" w:cs="Arial"/>
        <w:i/>
        <w:sz w:val="20"/>
        <w:szCs w:val="20"/>
      </w:rPr>
      <w:t>2</w:t>
    </w:r>
    <w:r w:rsidR="00414EB5">
      <w:rPr>
        <w:rFonts w:ascii="Arial" w:hAnsi="Arial" w:cs="Arial"/>
        <w:i/>
        <w:sz w:val="20"/>
        <w:szCs w:val="20"/>
      </w:rPr>
      <w:t>. 201</w:t>
    </w:r>
    <w:r w:rsidR="000169A8">
      <w:rPr>
        <w:rFonts w:ascii="Arial" w:hAnsi="Arial" w:cs="Arial"/>
        <w:i/>
        <w:sz w:val="20"/>
        <w:szCs w:val="20"/>
      </w:rPr>
      <w:t>9</w:t>
    </w:r>
    <w:r w:rsidR="00414EB5">
      <w:rPr>
        <w:rFonts w:ascii="Arial" w:hAnsi="Arial" w:cs="Arial"/>
        <w:i/>
        <w:sz w:val="20"/>
        <w:szCs w:val="20"/>
      </w:rPr>
      <w:tab/>
    </w:r>
    <w:r w:rsidR="00414EB5">
      <w:rPr>
        <w:rFonts w:ascii="Arial" w:hAnsi="Arial" w:cs="Arial"/>
        <w:i/>
        <w:sz w:val="20"/>
        <w:szCs w:val="20"/>
      </w:rPr>
      <w:tab/>
    </w:r>
    <w:r w:rsidR="00414EB5" w:rsidRPr="009B475F">
      <w:rPr>
        <w:rFonts w:ascii="Arial" w:hAnsi="Arial" w:cs="Arial"/>
        <w:i/>
        <w:sz w:val="20"/>
        <w:szCs w:val="20"/>
      </w:rPr>
      <w:t xml:space="preserve">Strana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PAGE </w:instrText>
    </w:r>
    <w:r w:rsidR="00414EB5" w:rsidRPr="009B475F">
      <w:rPr>
        <w:rFonts w:ascii="Arial" w:hAnsi="Arial" w:cs="Arial"/>
        <w:i/>
        <w:sz w:val="20"/>
        <w:szCs w:val="20"/>
      </w:rPr>
      <w:fldChar w:fldCharType="separate"/>
    </w:r>
    <w:r w:rsidR="00487D8B">
      <w:rPr>
        <w:rFonts w:ascii="Arial" w:hAnsi="Arial" w:cs="Arial"/>
        <w:i/>
        <w:noProof/>
        <w:sz w:val="20"/>
        <w:szCs w:val="20"/>
      </w:rPr>
      <w:t>1</w:t>
    </w:r>
    <w:r w:rsidR="00414EB5" w:rsidRPr="009B475F">
      <w:rPr>
        <w:rFonts w:ascii="Arial" w:hAnsi="Arial" w:cs="Arial"/>
        <w:i/>
        <w:sz w:val="20"/>
        <w:szCs w:val="20"/>
      </w:rPr>
      <w:fldChar w:fldCharType="end"/>
    </w:r>
    <w:r w:rsidR="00414EB5" w:rsidRPr="009B475F">
      <w:rPr>
        <w:rFonts w:ascii="Arial" w:hAnsi="Arial" w:cs="Arial"/>
        <w:i/>
        <w:sz w:val="20"/>
        <w:szCs w:val="20"/>
      </w:rPr>
      <w:t xml:space="preserve"> (celkem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NUMPAGES </w:instrText>
    </w:r>
    <w:r w:rsidR="00414EB5" w:rsidRPr="009B475F">
      <w:rPr>
        <w:rFonts w:ascii="Arial" w:hAnsi="Arial" w:cs="Arial"/>
        <w:i/>
        <w:sz w:val="20"/>
        <w:szCs w:val="20"/>
      </w:rPr>
      <w:fldChar w:fldCharType="separate"/>
    </w:r>
    <w:r w:rsidR="00487D8B">
      <w:rPr>
        <w:rFonts w:ascii="Arial" w:hAnsi="Arial" w:cs="Arial"/>
        <w:i/>
        <w:noProof/>
        <w:sz w:val="20"/>
        <w:szCs w:val="20"/>
      </w:rPr>
      <w:t>3</w:t>
    </w:r>
    <w:r w:rsidR="00414EB5" w:rsidRPr="009B475F">
      <w:rPr>
        <w:rFonts w:ascii="Arial" w:hAnsi="Arial" w:cs="Arial"/>
        <w:i/>
        <w:sz w:val="20"/>
        <w:szCs w:val="20"/>
      </w:rPr>
      <w:fldChar w:fldCharType="end"/>
    </w:r>
    <w:r w:rsidR="00414EB5" w:rsidRPr="009B475F">
      <w:rPr>
        <w:rFonts w:ascii="Arial" w:hAnsi="Arial" w:cs="Arial"/>
        <w:i/>
        <w:sz w:val="20"/>
        <w:szCs w:val="20"/>
      </w:rPr>
      <w:t>)</w:t>
    </w:r>
  </w:p>
  <w:p w:rsidR="00414EB5" w:rsidRDefault="00487D8B" w:rsidP="00F825FB">
    <w:pPr>
      <w:pStyle w:val="Zpat"/>
      <w:pBdr>
        <w:top w:val="single" w:sz="4" w:space="1" w:color="auto"/>
      </w:pBdr>
      <w:rPr>
        <w:rFonts w:ascii="Arial" w:hAnsi="Arial" w:cs="Arial"/>
        <w:i/>
        <w:sz w:val="20"/>
        <w:szCs w:val="20"/>
      </w:rPr>
    </w:pPr>
    <w:r>
      <w:rPr>
        <w:rFonts w:ascii="Arial" w:hAnsi="Arial" w:cs="Arial"/>
        <w:i/>
        <w:sz w:val="20"/>
        <w:szCs w:val="20"/>
      </w:rPr>
      <w:t>22</w:t>
    </w:r>
    <w:bookmarkStart w:id="0" w:name="_GoBack"/>
    <w:bookmarkEnd w:id="0"/>
    <w:r w:rsidR="000A1D04">
      <w:rPr>
        <w:rFonts w:ascii="Arial" w:hAnsi="Arial" w:cs="Arial"/>
        <w:i/>
        <w:sz w:val="20"/>
        <w:szCs w:val="20"/>
      </w:rPr>
      <w:t>.</w:t>
    </w:r>
    <w:r w:rsidR="003F1973">
      <w:rPr>
        <w:rFonts w:ascii="Arial" w:hAnsi="Arial" w:cs="Arial"/>
        <w:i/>
        <w:sz w:val="20"/>
        <w:szCs w:val="20"/>
      </w:rPr>
      <w:t xml:space="preserve"> </w:t>
    </w:r>
    <w:r w:rsidR="00414EB5" w:rsidRPr="00F825FB">
      <w:rPr>
        <w:rFonts w:ascii="Arial" w:hAnsi="Arial" w:cs="Arial"/>
        <w:i/>
        <w:sz w:val="20"/>
        <w:szCs w:val="20"/>
      </w:rPr>
      <w:t xml:space="preserve">– </w:t>
    </w:r>
    <w:r w:rsidR="00C50636">
      <w:rPr>
        <w:rFonts w:ascii="Arial" w:hAnsi="Arial" w:cs="Arial"/>
        <w:i/>
        <w:sz w:val="20"/>
        <w:szCs w:val="20"/>
      </w:rPr>
      <w:t>Pověření službou obecného hospodářského zájmu – nemocnice ve Šternberku</w:t>
    </w:r>
    <w:r w:rsidR="00414EB5" w:rsidRPr="00F825FB">
      <w:rPr>
        <w:rFonts w:ascii="Arial" w:hAnsi="Arial" w:cs="Arial"/>
        <w:i/>
        <w:sz w:val="20"/>
        <w:szCs w:val="20"/>
      </w:rPr>
      <w:t xml:space="preserve"> </w:t>
    </w:r>
  </w:p>
  <w:p w:rsidR="00CD09D9" w:rsidRPr="00F825FB" w:rsidRDefault="00CD09D9" w:rsidP="00F825FB">
    <w:pPr>
      <w:pStyle w:val="Zpat"/>
      <w:pBdr>
        <w:top w:val="single" w:sz="4" w:space="1" w:color="auto"/>
      </w:pBdr>
      <w:rPr>
        <w:rFonts w:ascii="Arial" w:hAnsi="Arial" w:cs="Arial"/>
        <w:i/>
        <w:sz w:val="20"/>
        <w:szCs w:val="20"/>
      </w:rPr>
    </w:pPr>
    <w:r w:rsidRPr="00CD09D9">
      <w:rPr>
        <w:rFonts w:ascii="Arial" w:hAnsi="Arial" w:cs="Arial"/>
        <w:i/>
        <w:sz w:val="20"/>
        <w:szCs w:val="20"/>
      </w:rPr>
      <w:t>Příloha č. 1 -Pověření SOHZ (včetně pravidel pro výpočet dovolené výše vyrovnávacích plateb)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8B" w:rsidRDefault="00487D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5A3" w:rsidRDefault="005835A3">
      <w:r>
        <w:separator/>
      </w:r>
    </w:p>
  </w:footnote>
  <w:footnote w:type="continuationSeparator" w:id="0">
    <w:p w:rsidR="005835A3" w:rsidRDefault="0058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8B" w:rsidRDefault="00487D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E5" w:rsidRPr="00CD09D9" w:rsidRDefault="00CD29E5" w:rsidP="00CD09D9">
    <w:pPr>
      <w:pStyle w:val="Zpat"/>
      <w:rPr>
        <w:rFonts w:ascii="Arial" w:hAnsi="Arial" w:cs="Arial"/>
        <w:i/>
        <w:sz w:val="20"/>
        <w:szCs w:val="20"/>
      </w:rPr>
    </w:pPr>
    <w:r w:rsidRPr="00CD09D9">
      <w:rPr>
        <w:rFonts w:ascii="Arial" w:hAnsi="Arial" w:cs="Arial"/>
        <w:i/>
        <w:sz w:val="20"/>
        <w:szCs w:val="20"/>
      </w:rPr>
      <w:t>Příloha č. 1 -</w:t>
    </w:r>
    <w:r w:rsidR="00CD09D9" w:rsidRPr="00CD09D9">
      <w:rPr>
        <w:rFonts w:ascii="Arial" w:hAnsi="Arial" w:cs="Arial"/>
        <w:i/>
        <w:sz w:val="20"/>
        <w:szCs w:val="20"/>
      </w:rPr>
      <w:t>Pověření SOHZ (včetně pravidel pro výpočet dovolené výše vyrovnávacích plateb)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8B" w:rsidRDefault="00487D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A66"/>
    <w:multiLevelType w:val="hybridMultilevel"/>
    <w:tmpl w:val="3BBE3AC4"/>
    <w:lvl w:ilvl="0" w:tplc="9EC8FB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1E54F1"/>
    <w:multiLevelType w:val="hybridMultilevel"/>
    <w:tmpl w:val="F7F65674"/>
    <w:lvl w:ilvl="0" w:tplc="ED6CFFAC">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70C28"/>
    <w:multiLevelType w:val="hybridMultilevel"/>
    <w:tmpl w:val="1E1432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574C8C"/>
    <w:multiLevelType w:val="hybridMultilevel"/>
    <w:tmpl w:val="9BE0703A"/>
    <w:lvl w:ilvl="0" w:tplc="14A0BBAE">
      <w:numFmt w:val="bullet"/>
      <w:lvlText w:val="-"/>
      <w:lvlJc w:val="left"/>
      <w:pPr>
        <w:tabs>
          <w:tab w:val="num" w:pos="360"/>
        </w:tabs>
        <w:ind w:left="36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32B335F9"/>
    <w:multiLevelType w:val="hybridMultilevel"/>
    <w:tmpl w:val="37D2F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B336D3"/>
    <w:multiLevelType w:val="hybridMultilevel"/>
    <w:tmpl w:val="12A473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D9596D"/>
    <w:multiLevelType w:val="hybridMultilevel"/>
    <w:tmpl w:val="B6627394"/>
    <w:lvl w:ilvl="0" w:tplc="73DC30E0">
      <w:start w:val="86"/>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465C0139"/>
    <w:multiLevelType w:val="hybridMultilevel"/>
    <w:tmpl w:val="367241AE"/>
    <w:lvl w:ilvl="0" w:tplc="0C021E1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F8C78BE"/>
    <w:multiLevelType w:val="hybridMultilevel"/>
    <w:tmpl w:val="59966952"/>
    <w:lvl w:ilvl="0" w:tplc="9084AC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55536"/>
    <w:multiLevelType w:val="hybridMultilevel"/>
    <w:tmpl w:val="8DAEC11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C27C40"/>
    <w:multiLevelType w:val="hybridMultilevel"/>
    <w:tmpl w:val="C36A364C"/>
    <w:lvl w:ilvl="0" w:tplc="12523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5"/>
  </w:num>
  <w:num w:numId="5">
    <w:abstractNumId w:val="8"/>
  </w:num>
  <w:num w:numId="6">
    <w:abstractNumId w:val="11"/>
  </w:num>
  <w:num w:numId="7">
    <w:abstractNumId w:val="4"/>
  </w:num>
  <w:num w:numId="8">
    <w:abstractNumId w:val="7"/>
  </w:num>
  <w:num w:numId="9">
    <w:abstractNumId w:val="0"/>
  </w:num>
  <w:num w:numId="10">
    <w:abstractNumId w:val="10"/>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71"/>
    <w:rsid w:val="00012695"/>
    <w:rsid w:val="000169A8"/>
    <w:rsid w:val="00017397"/>
    <w:rsid w:val="000178B2"/>
    <w:rsid w:val="000200D2"/>
    <w:rsid w:val="0002398F"/>
    <w:rsid w:val="00030D4E"/>
    <w:rsid w:val="000363FE"/>
    <w:rsid w:val="00050A92"/>
    <w:rsid w:val="00052AFF"/>
    <w:rsid w:val="00053C9A"/>
    <w:rsid w:val="00054206"/>
    <w:rsid w:val="00056A9F"/>
    <w:rsid w:val="00057EF7"/>
    <w:rsid w:val="00082534"/>
    <w:rsid w:val="00084F0D"/>
    <w:rsid w:val="00087476"/>
    <w:rsid w:val="00092089"/>
    <w:rsid w:val="000941B3"/>
    <w:rsid w:val="0009497D"/>
    <w:rsid w:val="00094AD3"/>
    <w:rsid w:val="00094F24"/>
    <w:rsid w:val="00095E41"/>
    <w:rsid w:val="00096A88"/>
    <w:rsid w:val="000A1D04"/>
    <w:rsid w:val="000A37BB"/>
    <w:rsid w:val="000C06DB"/>
    <w:rsid w:val="000C72DB"/>
    <w:rsid w:val="000D290A"/>
    <w:rsid w:val="000D7F18"/>
    <w:rsid w:val="000E4B52"/>
    <w:rsid w:val="000E548A"/>
    <w:rsid w:val="000F3115"/>
    <w:rsid w:val="00101376"/>
    <w:rsid w:val="00112087"/>
    <w:rsid w:val="00114AB0"/>
    <w:rsid w:val="0011737D"/>
    <w:rsid w:val="0012584B"/>
    <w:rsid w:val="00132691"/>
    <w:rsid w:val="00133C5C"/>
    <w:rsid w:val="00147051"/>
    <w:rsid w:val="0015265F"/>
    <w:rsid w:val="00152940"/>
    <w:rsid w:val="00153684"/>
    <w:rsid w:val="00154242"/>
    <w:rsid w:val="00154C8A"/>
    <w:rsid w:val="001602C8"/>
    <w:rsid w:val="00162ADD"/>
    <w:rsid w:val="00163D34"/>
    <w:rsid w:val="00165332"/>
    <w:rsid w:val="00173D23"/>
    <w:rsid w:val="0018587B"/>
    <w:rsid w:val="001871BA"/>
    <w:rsid w:val="00187B8F"/>
    <w:rsid w:val="00191EDB"/>
    <w:rsid w:val="00193E12"/>
    <w:rsid w:val="00194A87"/>
    <w:rsid w:val="00196D91"/>
    <w:rsid w:val="001A21E1"/>
    <w:rsid w:val="001A4CB9"/>
    <w:rsid w:val="001A7716"/>
    <w:rsid w:val="001B589D"/>
    <w:rsid w:val="001C1BDE"/>
    <w:rsid w:val="001C1CD3"/>
    <w:rsid w:val="001C69FD"/>
    <w:rsid w:val="001D4E87"/>
    <w:rsid w:val="001D5302"/>
    <w:rsid w:val="001F3917"/>
    <w:rsid w:val="001F6AFA"/>
    <w:rsid w:val="001F7C6F"/>
    <w:rsid w:val="001F7F62"/>
    <w:rsid w:val="0020196B"/>
    <w:rsid w:val="0020657C"/>
    <w:rsid w:val="002102D0"/>
    <w:rsid w:val="00211F59"/>
    <w:rsid w:val="002125ED"/>
    <w:rsid w:val="00214032"/>
    <w:rsid w:val="00223AFC"/>
    <w:rsid w:val="002246AB"/>
    <w:rsid w:val="00230540"/>
    <w:rsid w:val="00235411"/>
    <w:rsid w:val="0023598C"/>
    <w:rsid w:val="00241246"/>
    <w:rsid w:val="0024531D"/>
    <w:rsid w:val="00247516"/>
    <w:rsid w:val="00254C4B"/>
    <w:rsid w:val="00255901"/>
    <w:rsid w:val="002610AC"/>
    <w:rsid w:val="002634CD"/>
    <w:rsid w:val="002641DA"/>
    <w:rsid w:val="00264C0E"/>
    <w:rsid w:val="002B243F"/>
    <w:rsid w:val="002B72DD"/>
    <w:rsid w:val="002C71C8"/>
    <w:rsid w:val="002D33F0"/>
    <w:rsid w:val="002D581A"/>
    <w:rsid w:val="002E2ADA"/>
    <w:rsid w:val="002E41C1"/>
    <w:rsid w:val="002E63C3"/>
    <w:rsid w:val="002F07AE"/>
    <w:rsid w:val="002F15A2"/>
    <w:rsid w:val="002F2693"/>
    <w:rsid w:val="002F76F6"/>
    <w:rsid w:val="003024B6"/>
    <w:rsid w:val="0030486A"/>
    <w:rsid w:val="00306925"/>
    <w:rsid w:val="00316862"/>
    <w:rsid w:val="003201B2"/>
    <w:rsid w:val="00342B1B"/>
    <w:rsid w:val="00342C1C"/>
    <w:rsid w:val="00345419"/>
    <w:rsid w:val="00346A3F"/>
    <w:rsid w:val="003510CA"/>
    <w:rsid w:val="00355263"/>
    <w:rsid w:val="00357FCC"/>
    <w:rsid w:val="00367033"/>
    <w:rsid w:val="00375EA5"/>
    <w:rsid w:val="0038569C"/>
    <w:rsid w:val="00390AA6"/>
    <w:rsid w:val="00391EFC"/>
    <w:rsid w:val="00392148"/>
    <w:rsid w:val="00392B07"/>
    <w:rsid w:val="00396BF3"/>
    <w:rsid w:val="003976CA"/>
    <w:rsid w:val="003A6182"/>
    <w:rsid w:val="003A7A02"/>
    <w:rsid w:val="003B1788"/>
    <w:rsid w:val="003B346D"/>
    <w:rsid w:val="003B37EC"/>
    <w:rsid w:val="003D0D3C"/>
    <w:rsid w:val="003D2C41"/>
    <w:rsid w:val="003E055B"/>
    <w:rsid w:val="003E74A8"/>
    <w:rsid w:val="003F1973"/>
    <w:rsid w:val="003F343B"/>
    <w:rsid w:val="003F59A5"/>
    <w:rsid w:val="003F74AE"/>
    <w:rsid w:val="00403C10"/>
    <w:rsid w:val="004065D9"/>
    <w:rsid w:val="00410DDD"/>
    <w:rsid w:val="004120B0"/>
    <w:rsid w:val="00414EB5"/>
    <w:rsid w:val="004154E2"/>
    <w:rsid w:val="004166BB"/>
    <w:rsid w:val="00420207"/>
    <w:rsid w:val="00426580"/>
    <w:rsid w:val="00426F10"/>
    <w:rsid w:val="004279FF"/>
    <w:rsid w:val="004308B9"/>
    <w:rsid w:val="00431F54"/>
    <w:rsid w:val="00440859"/>
    <w:rsid w:val="00443417"/>
    <w:rsid w:val="00444410"/>
    <w:rsid w:val="00445FCB"/>
    <w:rsid w:val="004464B1"/>
    <w:rsid w:val="0045096E"/>
    <w:rsid w:val="00455CCF"/>
    <w:rsid w:val="0048206D"/>
    <w:rsid w:val="0048311F"/>
    <w:rsid w:val="00487D8B"/>
    <w:rsid w:val="00491AFD"/>
    <w:rsid w:val="004A4C78"/>
    <w:rsid w:val="004A7A13"/>
    <w:rsid w:val="004B220B"/>
    <w:rsid w:val="004B3816"/>
    <w:rsid w:val="004C50F4"/>
    <w:rsid w:val="004E45AC"/>
    <w:rsid w:val="004E5F8F"/>
    <w:rsid w:val="004F2365"/>
    <w:rsid w:val="004F246B"/>
    <w:rsid w:val="004F3647"/>
    <w:rsid w:val="004F3B00"/>
    <w:rsid w:val="005054EF"/>
    <w:rsid w:val="0050730C"/>
    <w:rsid w:val="0050745C"/>
    <w:rsid w:val="0051767B"/>
    <w:rsid w:val="00524D2E"/>
    <w:rsid w:val="0053268B"/>
    <w:rsid w:val="005364EF"/>
    <w:rsid w:val="00536E87"/>
    <w:rsid w:val="00540241"/>
    <w:rsid w:val="00562A98"/>
    <w:rsid w:val="0056538E"/>
    <w:rsid w:val="00570434"/>
    <w:rsid w:val="00572D0F"/>
    <w:rsid w:val="005811B1"/>
    <w:rsid w:val="005835A3"/>
    <w:rsid w:val="005879CA"/>
    <w:rsid w:val="0059153D"/>
    <w:rsid w:val="005950BC"/>
    <w:rsid w:val="00597E36"/>
    <w:rsid w:val="005A6AEE"/>
    <w:rsid w:val="005B35A6"/>
    <w:rsid w:val="005B3CDD"/>
    <w:rsid w:val="005C21C0"/>
    <w:rsid w:val="005C30C4"/>
    <w:rsid w:val="005C7728"/>
    <w:rsid w:val="005D6387"/>
    <w:rsid w:val="005D7C0E"/>
    <w:rsid w:val="005E2396"/>
    <w:rsid w:val="005E3547"/>
    <w:rsid w:val="005F3D2F"/>
    <w:rsid w:val="005F50AC"/>
    <w:rsid w:val="00601E1B"/>
    <w:rsid w:val="0060445D"/>
    <w:rsid w:val="0060647A"/>
    <w:rsid w:val="0061007C"/>
    <w:rsid w:val="006102DD"/>
    <w:rsid w:val="006129CC"/>
    <w:rsid w:val="00613FFF"/>
    <w:rsid w:val="00615E3A"/>
    <w:rsid w:val="00624EC0"/>
    <w:rsid w:val="00627F65"/>
    <w:rsid w:val="00631A7C"/>
    <w:rsid w:val="00634A72"/>
    <w:rsid w:val="0064170C"/>
    <w:rsid w:val="006460DC"/>
    <w:rsid w:val="006465C0"/>
    <w:rsid w:val="00646D23"/>
    <w:rsid w:val="00650FDD"/>
    <w:rsid w:val="00652871"/>
    <w:rsid w:val="00653C3E"/>
    <w:rsid w:val="00663341"/>
    <w:rsid w:val="006648B9"/>
    <w:rsid w:val="00665B6B"/>
    <w:rsid w:val="0067046B"/>
    <w:rsid w:val="006704F7"/>
    <w:rsid w:val="00681D4F"/>
    <w:rsid w:val="0068406F"/>
    <w:rsid w:val="00685962"/>
    <w:rsid w:val="006915BB"/>
    <w:rsid w:val="006B1401"/>
    <w:rsid w:val="006B47FD"/>
    <w:rsid w:val="006C16ED"/>
    <w:rsid w:val="006C3DF9"/>
    <w:rsid w:val="006D6666"/>
    <w:rsid w:val="006E5041"/>
    <w:rsid w:val="006E6A8A"/>
    <w:rsid w:val="006F340D"/>
    <w:rsid w:val="006F3E25"/>
    <w:rsid w:val="006F4D8A"/>
    <w:rsid w:val="006F6C7E"/>
    <w:rsid w:val="006F73CB"/>
    <w:rsid w:val="00715722"/>
    <w:rsid w:val="007230B3"/>
    <w:rsid w:val="00723B03"/>
    <w:rsid w:val="0072416E"/>
    <w:rsid w:val="00724FA2"/>
    <w:rsid w:val="007316AD"/>
    <w:rsid w:val="00734FE6"/>
    <w:rsid w:val="007363AA"/>
    <w:rsid w:val="00736E8B"/>
    <w:rsid w:val="00744EB6"/>
    <w:rsid w:val="0075504A"/>
    <w:rsid w:val="0076425F"/>
    <w:rsid w:val="00766F67"/>
    <w:rsid w:val="007773CF"/>
    <w:rsid w:val="00791350"/>
    <w:rsid w:val="00792FA1"/>
    <w:rsid w:val="00793607"/>
    <w:rsid w:val="00797C43"/>
    <w:rsid w:val="007A1FDB"/>
    <w:rsid w:val="007B1FEA"/>
    <w:rsid w:val="007D14C4"/>
    <w:rsid w:val="007D289D"/>
    <w:rsid w:val="007D486E"/>
    <w:rsid w:val="007D54E6"/>
    <w:rsid w:val="007E3AC4"/>
    <w:rsid w:val="007E4B50"/>
    <w:rsid w:val="007F14B8"/>
    <w:rsid w:val="007F1A49"/>
    <w:rsid w:val="007F2353"/>
    <w:rsid w:val="007F6945"/>
    <w:rsid w:val="00801886"/>
    <w:rsid w:val="00803941"/>
    <w:rsid w:val="00804B85"/>
    <w:rsid w:val="00805C12"/>
    <w:rsid w:val="008133E9"/>
    <w:rsid w:val="008172BB"/>
    <w:rsid w:val="008355C0"/>
    <w:rsid w:val="00840DB2"/>
    <w:rsid w:val="008455D0"/>
    <w:rsid w:val="0085027F"/>
    <w:rsid w:val="00852F8E"/>
    <w:rsid w:val="00854505"/>
    <w:rsid w:val="00854ADE"/>
    <w:rsid w:val="0087119F"/>
    <w:rsid w:val="008720FD"/>
    <w:rsid w:val="00873F8D"/>
    <w:rsid w:val="0087484C"/>
    <w:rsid w:val="0087543F"/>
    <w:rsid w:val="00882B7D"/>
    <w:rsid w:val="00885EC6"/>
    <w:rsid w:val="008914A5"/>
    <w:rsid w:val="00896869"/>
    <w:rsid w:val="008A0C2B"/>
    <w:rsid w:val="008A2F4A"/>
    <w:rsid w:val="008A39D9"/>
    <w:rsid w:val="008A6D77"/>
    <w:rsid w:val="008B2F94"/>
    <w:rsid w:val="008B750E"/>
    <w:rsid w:val="008C5B8D"/>
    <w:rsid w:val="008D0F83"/>
    <w:rsid w:val="008D7252"/>
    <w:rsid w:val="008E4FE0"/>
    <w:rsid w:val="008E5349"/>
    <w:rsid w:val="008E72A5"/>
    <w:rsid w:val="008F280A"/>
    <w:rsid w:val="008F3039"/>
    <w:rsid w:val="008F4850"/>
    <w:rsid w:val="00901D6E"/>
    <w:rsid w:val="00917A6C"/>
    <w:rsid w:val="00925749"/>
    <w:rsid w:val="00926785"/>
    <w:rsid w:val="009378ED"/>
    <w:rsid w:val="00937C3F"/>
    <w:rsid w:val="0094283C"/>
    <w:rsid w:val="0094288D"/>
    <w:rsid w:val="00944219"/>
    <w:rsid w:val="00951F3E"/>
    <w:rsid w:val="009569B7"/>
    <w:rsid w:val="00965FE2"/>
    <w:rsid w:val="00966F13"/>
    <w:rsid w:val="00981DA5"/>
    <w:rsid w:val="00991646"/>
    <w:rsid w:val="00994C5F"/>
    <w:rsid w:val="00995109"/>
    <w:rsid w:val="00995358"/>
    <w:rsid w:val="00995DAA"/>
    <w:rsid w:val="0099668D"/>
    <w:rsid w:val="00996C58"/>
    <w:rsid w:val="009A5695"/>
    <w:rsid w:val="009A5894"/>
    <w:rsid w:val="009B475F"/>
    <w:rsid w:val="009B57EA"/>
    <w:rsid w:val="009C16A7"/>
    <w:rsid w:val="009C17BD"/>
    <w:rsid w:val="009C7EC7"/>
    <w:rsid w:val="009D3677"/>
    <w:rsid w:val="009D4FA5"/>
    <w:rsid w:val="009D5EFD"/>
    <w:rsid w:val="009D6741"/>
    <w:rsid w:val="009D7449"/>
    <w:rsid w:val="009E5861"/>
    <w:rsid w:val="00A10369"/>
    <w:rsid w:val="00A26FB6"/>
    <w:rsid w:val="00A40D7B"/>
    <w:rsid w:val="00A43FA8"/>
    <w:rsid w:val="00A54A7B"/>
    <w:rsid w:val="00A55521"/>
    <w:rsid w:val="00A55E30"/>
    <w:rsid w:val="00A56FA2"/>
    <w:rsid w:val="00A60B13"/>
    <w:rsid w:val="00A66446"/>
    <w:rsid w:val="00A71174"/>
    <w:rsid w:val="00A817E4"/>
    <w:rsid w:val="00A94C2E"/>
    <w:rsid w:val="00A9626D"/>
    <w:rsid w:val="00AB22C4"/>
    <w:rsid w:val="00AB460E"/>
    <w:rsid w:val="00AE32F3"/>
    <w:rsid w:val="00AF372C"/>
    <w:rsid w:val="00AF63F8"/>
    <w:rsid w:val="00B0495E"/>
    <w:rsid w:val="00B22E5E"/>
    <w:rsid w:val="00B26671"/>
    <w:rsid w:val="00B306F0"/>
    <w:rsid w:val="00B30EB9"/>
    <w:rsid w:val="00B3555E"/>
    <w:rsid w:val="00B4418A"/>
    <w:rsid w:val="00B46546"/>
    <w:rsid w:val="00B51BCB"/>
    <w:rsid w:val="00B533CB"/>
    <w:rsid w:val="00B5340F"/>
    <w:rsid w:val="00B56625"/>
    <w:rsid w:val="00B56E4A"/>
    <w:rsid w:val="00B73E53"/>
    <w:rsid w:val="00B753CA"/>
    <w:rsid w:val="00B83AEF"/>
    <w:rsid w:val="00B84525"/>
    <w:rsid w:val="00B857A3"/>
    <w:rsid w:val="00B92555"/>
    <w:rsid w:val="00B95224"/>
    <w:rsid w:val="00B96ED5"/>
    <w:rsid w:val="00BA5FB4"/>
    <w:rsid w:val="00BB1B59"/>
    <w:rsid w:val="00BB7D47"/>
    <w:rsid w:val="00BC3CAF"/>
    <w:rsid w:val="00BD1970"/>
    <w:rsid w:val="00BF48A3"/>
    <w:rsid w:val="00C014D3"/>
    <w:rsid w:val="00C03B96"/>
    <w:rsid w:val="00C108A8"/>
    <w:rsid w:val="00C1107E"/>
    <w:rsid w:val="00C123A1"/>
    <w:rsid w:val="00C15B40"/>
    <w:rsid w:val="00C16195"/>
    <w:rsid w:val="00C17A3B"/>
    <w:rsid w:val="00C214A0"/>
    <w:rsid w:val="00C236E1"/>
    <w:rsid w:val="00C3350A"/>
    <w:rsid w:val="00C33F28"/>
    <w:rsid w:val="00C344B8"/>
    <w:rsid w:val="00C40B24"/>
    <w:rsid w:val="00C41860"/>
    <w:rsid w:val="00C47264"/>
    <w:rsid w:val="00C50636"/>
    <w:rsid w:val="00C53FB1"/>
    <w:rsid w:val="00C66244"/>
    <w:rsid w:val="00C71E08"/>
    <w:rsid w:val="00C75CD1"/>
    <w:rsid w:val="00C908FC"/>
    <w:rsid w:val="00C95049"/>
    <w:rsid w:val="00CA01F4"/>
    <w:rsid w:val="00CA69CC"/>
    <w:rsid w:val="00CB01D1"/>
    <w:rsid w:val="00CB6003"/>
    <w:rsid w:val="00CB63AB"/>
    <w:rsid w:val="00CC3C28"/>
    <w:rsid w:val="00CC503E"/>
    <w:rsid w:val="00CD09D9"/>
    <w:rsid w:val="00CD29E5"/>
    <w:rsid w:val="00CD2A31"/>
    <w:rsid w:val="00CD4E4B"/>
    <w:rsid w:val="00CE16A6"/>
    <w:rsid w:val="00CE7CE1"/>
    <w:rsid w:val="00CF05DB"/>
    <w:rsid w:val="00CF6163"/>
    <w:rsid w:val="00D0097C"/>
    <w:rsid w:val="00D01B97"/>
    <w:rsid w:val="00D11DE8"/>
    <w:rsid w:val="00D1286A"/>
    <w:rsid w:val="00D14E1A"/>
    <w:rsid w:val="00D2033A"/>
    <w:rsid w:val="00D211F0"/>
    <w:rsid w:val="00D221C3"/>
    <w:rsid w:val="00D2499A"/>
    <w:rsid w:val="00D348EC"/>
    <w:rsid w:val="00D36033"/>
    <w:rsid w:val="00D3643C"/>
    <w:rsid w:val="00D36642"/>
    <w:rsid w:val="00D47681"/>
    <w:rsid w:val="00D4799E"/>
    <w:rsid w:val="00D503F1"/>
    <w:rsid w:val="00D633F5"/>
    <w:rsid w:val="00D63DE5"/>
    <w:rsid w:val="00D83E49"/>
    <w:rsid w:val="00D93793"/>
    <w:rsid w:val="00D964C4"/>
    <w:rsid w:val="00D97E4F"/>
    <w:rsid w:val="00DC2F2D"/>
    <w:rsid w:val="00DC33B1"/>
    <w:rsid w:val="00DC6B29"/>
    <w:rsid w:val="00DE5CCA"/>
    <w:rsid w:val="00DF59E1"/>
    <w:rsid w:val="00DF5D40"/>
    <w:rsid w:val="00DF608F"/>
    <w:rsid w:val="00E0211D"/>
    <w:rsid w:val="00E04E65"/>
    <w:rsid w:val="00E1346A"/>
    <w:rsid w:val="00E17C06"/>
    <w:rsid w:val="00E212FC"/>
    <w:rsid w:val="00E2481C"/>
    <w:rsid w:val="00E30437"/>
    <w:rsid w:val="00E312F6"/>
    <w:rsid w:val="00E33169"/>
    <w:rsid w:val="00E34FE4"/>
    <w:rsid w:val="00E4453B"/>
    <w:rsid w:val="00E45D57"/>
    <w:rsid w:val="00E478CC"/>
    <w:rsid w:val="00E56530"/>
    <w:rsid w:val="00E56795"/>
    <w:rsid w:val="00E6251F"/>
    <w:rsid w:val="00E73512"/>
    <w:rsid w:val="00E76C1A"/>
    <w:rsid w:val="00E77F6B"/>
    <w:rsid w:val="00E84777"/>
    <w:rsid w:val="00E847A7"/>
    <w:rsid w:val="00E94790"/>
    <w:rsid w:val="00E97173"/>
    <w:rsid w:val="00EA2982"/>
    <w:rsid w:val="00EA6E0C"/>
    <w:rsid w:val="00EA7E14"/>
    <w:rsid w:val="00EB76F1"/>
    <w:rsid w:val="00EC0171"/>
    <w:rsid w:val="00EC314A"/>
    <w:rsid w:val="00ED3BF9"/>
    <w:rsid w:val="00ED45EF"/>
    <w:rsid w:val="00ED4660"/>
    <w:rsid w:val="00ED723C"/>
    <w:rsid w:val="00EE3B60"/>
    <w:rsid w:val="00EE50EC"/>
    <w:rsid w:val="00EE5EB6"/>
    <w:rsid w:val="00EF7F4F"/>
    <w:rsid w:val="00F07D5A"/>
    <w:rsid w:val="00F22FDB"/>
    <w:rsid w:val="00F24B8D"/>
    <w:rsid w:val="00F2634E"/>
    <w:rsid w:val="00F30171"/>
    <w:rsid w:val="00F32B02"/>
    <w:rsid w:val="00F4166D"/>
    <w:rsid w:val="00F5303F"/>
    <w:rsid w:val="00F677C2"/>
    <w:rsid w:val="00F72ABE"/>
    <w:rsid w:val="00F777CD"/>
    <w:rsid w:val="00F825FB"/>
    <w:rsid w:val="00F840FA"/>
    <w:rsid w:val="00F8456B"/>
    <w:rsid w:val="00F84715"/>
    <w:rsid w:val="00F856F2"/>
    <w:rsid w:val="00F86557"/>
    <w:rsid w:val="00FA4E0E"/>
    <w:rsid w:val="00FC5489"/>
    <w:rsid w:val="00FC620E"/>
    <w:rsid w:val="00FD6224"/>
    <w:rsid w:val="00FE097E"/>
    <w:rsid w:val="00FE2AE3"/>
    <w:rsid w:val="00FF0407"/>
    <w:rsid w:val="00FF11F9"/>
    <w:rsid w:val="00FF461D"/>
    <w:rsid w:val="00FF6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B5CEE"/>
  <w15:chartTrackingRefBased/>
  <w15:docId w15:val="{F9105D7A-EE3D-45DD-B236-21C9D62A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17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C0171"/>
    <w:pPr>
      <w:widowControl w:val="0"/>
      <w:spacing w:after="480"/>
      <w:jc w:val="both"/>
    </w:pPr>
    <w:rPr>
      <w:rFonts w:ascii="Arial" w:hAnsi="Arial"/>
      <w:b/>
      <w:noProof/>
      <w:szCs w:val="20"/>
    </w:rPr>
  </w:style>
  <w:style w:type="paragraph" w:customStyle="1" w:styleId="Tabulkatuntext16nasted">
    <w:name w:val="Tabulka tučný text_16 na střed"/>
    <w:basedOn w:val="Normln"/>
    <w:rsid w:val="00EC0171"/>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C0171"/>
    <w:pPr>
      <w:widowControl w:val="0"/>
      <w:spacing w:before="40" w:after="40"/>
      <w:jc w:val="center"/>
    </w:pPr>
    <w:rPr>
      <w:rFonts w:ascii="Arial" w:hAnsi="Arial"/>
      <w:b/>
      <w:noProof/>
      <w:szCs w:val="20"/>
    </w:rPr>
  </w:style>
  <w:style w:type="paragraph" w:customStyle="1" w:styleId="Tabulkazkladntext">
    <w:name w:val="Tabulka základní text"/>
    <w:basedOn w:val="Normln"/>
    <w:rsid w:val="00EC0171"/>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C0171"/>
    <w:pPr>
      <w:widowControl w:val="0"/>
      <w:spacing w:before="40" w:after="40"/>
      <w:jc w:val="center"/>
    </w:pPr>
    <w:rPr>
      <w:rFonts w:ascii="Arial" w:hAnsi="Arial"/>
      <w:noProof/>
      <w:szCs w:val="20"/>
    </w:rPr>
  </w:style>
  <w:style w:type="paragraph" w:styleId="Zhlav">
    <w:name w:val="header"/>
    <w:basedOn w:val="Normln"/>
    <w:link w:val="ZhlavChar"/>
    <w:rsid w:val="00EC0171"/>
    <w:pPr>
      <w:tabs>
        <w:tab w:val="center" w:pos="4536"/>
        <w:tab w:val="right" w:pos="9072"/>
      </w:tabs>
    </w:pPr>
  </w:style>
  <w:style w:type="paragraph" w:styleId="Zpat">
    <w:name w:val="footer"/>
    <w:basedOn w:val="Normln"/>
    <w:rsid w:val="00EC0171"/>
    <w:pPr>
      <w:tabs>
        <w:tab w:val="center" w:pos="4536"/>
        <w:tab w:val="right" w:pos="9072"/>
      </w:tabs>
    </w:pPr>
  </w:style>
  <w:style w:type="paragraph" w:customStyle="1" w:styleId="Radabodschze">
    <w:name w:val="Rada bod schůze"/>
    <w:basedOn w:val="Normln"/>
    <w:rsid w:val="007D486E"/>
    <w:pPr>
      <w:widowControl w:val="0"/>
      <w:spacing w:before="480" w:after="480"/>
      <w:ind w:left="851" w:hanging="851"/>
      <w:jc w:val="both"/>
    </w:pPr>
    <w:rPr>
      <w:rFonts w:ascii="Arial" w:hAnsi="Arial"/>
      <w:b/>
      <w:noProof/>
      <w:sz w:val="28"/>
      <w:szCs w:val="20"/>
    </w:rPr>
  </w:style>
  <w:style w:type="paragraph" w:customStyle="1" w:styleId="Radaploha1">
    <w:name w:val="Rada příloha č.1"/>
    <w:basedOn w:val="Normln"/>
    <w:rsid w:val="00766F67"/>
    <w:pPr>
      <w:widowControl w:val="0"/>
      <w:numPr>
        <w:numId w:val="2"/>
      </w:numPr>
      <w:spacing w:after="120"/>
      <w:jc w:val="both"/>
    </w:pPr>
    <w:rPr>
      <w:rFonts w:ascii="Arial" w:hAnsi="Arial"/>
      <w:noProof/>
      <w:szCs w:val="20"/>
      <w:u w:val="single"/>
    </w:rPr>
  </w:style>
  <w:style w:type="paragraph" w:styleId="Textbubliny">
    <w:name w:val="Balloon Text"/>
    <w:basedOn w:val="Normln"/>
    <w:semiHidden/>
    <w:rsid w:val="00FF0407"/>
    <w:rPr>
      <w:rFonts w:ascii="Tahoma" w:hAnsi="Tahoma" w:cs="Tahoma"/>
      <w:sz w:val="16"/>
      <w:szCs w:val="16"/>
    </w:rPr>
  </w:style>
  <w:style w:type="character" w:customStyle="1" w:styleId="platne1">
    <w:name w:val="platne1"/>
    <w:basedOn w:val="Standardnpsmoodstavce"/>
    <w:rsid w:val="00375EA5"/>
  </w:style>
  <w:style w:type="paragraph" w:styleId="Zkladntext">
    <w:name w:val="Body Text"/>
    <w:basedOn w:val="Normln"/>
    <w:rsid w:val="001D4E87"/>
    <w:pPr>
      <w:widowControl w:val="0"/>
      <w:spacing w:after="120"/>
      <w:jc w:val="both"/>
    </w:pPr>
    <w:rPr>
      <w:rFonts w:ascii="Arial" w:hAnsi="Arial"/>
      <w:bCs/>
      <w:noProof/>
      <w:szCs w:val="20"/>
      <w:lang w:eastAsia="en-US"/>
    </w:rPr>
  </w:style>
  <w:style w:type="paragraph" w:customStyle="1" w:styleId="Odsazen1text">
    <w:name w:val="Odsazený1 text"/>
    <w:basedOn w:val="Normln"/>
    <w:rsid w:val="001D4E87"/>
    <w:pPr>
      <w:widowControl w:val="0"/>
      <w:spacing w:after="120"/>
      <w:ind w:left="567"/>
      <w:jc w:val="both"/>
    </w:pPr>
    <w:rPr>
      <w:rFonts w:ascii="Arial" w:hAnsi="Arial"/>
      <w:noProof/>
      <w:szCs w:val="20"/>
    </w:rPr>
  </w:style>
  <w:style w:type="paragraph" w:styleId="Zkladntextodsazen">
    <w:name w:val="Body Text Indent"/>
    <w:basedOn w:val="Normln"/>
    <w:rsid w:val="001D4E87"/>
    <w:pPr>
      <w:autoSpaceDE w:val="0"/>
      <w:autoSpaceDN w:val="0"/>
      <w:adjustRightInd w:val="0"/>
      <w:ind w:left="360"/>
    </w:pPr>
  </w:style>
  <w:style w:type="character" w:styleId="slostrnky">
    <w:name w:val="page number"/>
    <w:basedOn w:val="Standardnpsmoodstavce"/>
    <w:rsid w:val="001D4E87"/>
  </w:style>
  <w:style w:type="paragraph" w:customStyle="1" w:styleId="Plohy">
    <w:name w:val="Přílohy"/>
    <w:basedOn w:val="Normln"/>
    <w:rsid w:val="001D4E87"/>
    <w:pPr>
      <w:widowControl w:val="0"/>
      <w:spacing w:after="120"/>
      <w:jc w:val="both"/>
    </w:pPr>
    <w:rPr>
      <w:rFonts w:ascii="Arial" w:hAnsi="Arial"/>
      <w:noProof/>
      <w:szCs w:val="20"/>
    </w:rPr>
  </w:style>
  <w:style w:type="table" w:styleId="Mkatabulky">
    <w:name w:val="Table Grid"/>
    <w:basedOn w:val="Normlntabulka"/>
    <w:rsid w:val="001D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proloenznak">
    <w:name w:val="Tučný proložený znak"/>
    <w:rsid w:val="001A7716"/>
    <w:rPr>
      <w:rFonts w:ascii="Arial" w:hAnsi="Arial"/>
      <w:b/>
      <w:dstrike w:val="0"/>
      <w:color w:val="auto"/>
      <w:spacing w:val="70"/>
      <w:sz w:val="24"/>
      <w:u w:val="none"/>
      <w:vertAlign w:val="baseline"/>
    </w:rPr>
  </w:style>
  <w:style w:type="character" w:customStyle="1" w:styleId="Tunznak">
    <w:name w:val="Tučný znak"/>
    <w:rsid w:val="00FF62A8"/>
    <w:rPr>
      <w:rFonts w:ascii="Arial" w:hAnsi="Arial" w:cs="Arial" w:hint="default"/>
      <w:b/>
      <w:bCs/>
      <w:strike w:val="0"/>
      <w:dstrike w:val="0"/>
      <w:color w:val="auto"/>
      <w:u w:val="none"/>
      <w:effect w:val="none"/>
      <w:vertAlign w:val="baseline"/>
    </w:rPr>
  </w:style>
  <w:style w:type="character" w:customStyle="1" w:styleId="Zkladnznak">
    <w:name w:val="Základní znak"/>
    <w:rsid w:val="00FF62A8"/>
    <w:rPr>
      <w:rFonts w:ascii="Arial" w:hAnsi="Arial" w:cs="Arial" w:hint="default"/>
      <w:strike w:val="0"/>
      <w:dstrike w:val="0"/>
      <w:color w:val="auto"/>
      <w:u w:val="none"/>
      <w:effect w:val="none"/>
      <w:vertAlign w:val="baseline"/>
    </w:rPr>
  </w:style>
  <w:style w:type="character" w:customStyle="1" w:styleId="ZhlavChar">
    <w:name w:val="Záhlaví Char"/>
    <w:link w:val="Zhlav"/>
    <w:rsid w:val="00B30EB9"/>
    <w:rPr>
      <w:sz w:val="24"/>
      <w:szCs w:val="24"/>
    </w:rPr>
  </w:style>
  <w:style w:type="paragraph" w:customStyle="1" w:styleId="Radaplohy">
    <w:name w:val="Rada přílohy"/>
    <w:basedOn w:val="Normln"/>
    <w:rsid w:val="00B30EB9"/>
    <w:pPr>
      <w:widowControl w:val="0"/>
      <w:spacing w:before="480" w:after="120"/>
      <w:jc w:val="both"/>
    </w:pPr>
    <w:rPr>
      <w:rFonts w:ascii="Arial" w:hAnsi="Arial"/>
      <w:noProof/>
      <w:szCs w:val="20"/>
      <w:u w:val="single"/>
    </w:rPr>
  </w:style>
  <w:style w:type="character" w:styleId="Odkaznakoment">
    <w:name w:val="annotation reference"/>
    <w:rsid w:val="00CD4E4B"/>
    <w:rPr>
      <w:sz w:val="16"/>
      <w:szCs w:val="16"/>
    </w:rPr>
  </w:style>
  <w:style w:type="paragraph" w:styleId="Textkomente">
    <w:name w:val="annotation text"/>
    <w:basedOn w:val="Normln"/>
    <w:link w:val="TextkomenteChar"/>
    <w:rsid w:val="00CD4E4B"/>
    <w:rPr>
      <w:sz w:val="20"/>
      <w:szCs w:val="20"/>
    </w:rPr>
  </w:style>
  <w:style w:type="character" w:customStyle="1" w:styleId="TextkomenteChar">
    <w:name w:val="Text komentáře Char"/>
    <w:basedOn w:val="Standardnpsmoodstavce"/>
    <w:link w:val="Textkomente"/>
    <w:rsid w:val="00CD4E4B"/>
  </w:style>
  <w:style w:type="paragraph" w:styleId="Pedmtkomente">
    <w:name w:val="annotation subject"/>
    <w:basedOn w:val="Textkomente"/>
    <w:next w:val="Textkomente"/>
    <w:link w:val="PedmtkomenteChar"/>
    <w:rsid w:val="00CD4E4B"/>
    <w:rPr>
      <w:b/>
      <w:bCs/>
    </w:rPr>
  </w:style>
  <w:style w:type="character" w:customStyle="1" w:styleId="PedmtkomenteChar">
    <w:name w:val="Předmět komentáře Char"/>
    <w:link w:val="Pedmtkomente"/>
    <w:rsid w:val="00CD4E4B"/>
    <w:rPr>
      <w:b/>
      <w:bCs/>
    </w:rPr>
  </w:style>
  <w:style w:type="paragraph" w:styleId="Odstavecseseznamem">
    <w:name w:val="List Paragraph"/>
    <w:basedOn w:val="Normln"/>
    <w:uiPriority w:val="99"/>
    <w:qFormat/>
    <w:rsid w:val="00C50636"/>
    <w:pPr>
      <w:ind w:left="720"/>
      <w:contextualSpacing/>
    </w:pPr>
    <w:rPr>
      <w:rFonts w:ascii="Calibri" w:eastAsia="Calibri" w:hAnsi="Calibri" w:cs="Calibri"/>
      <w:sz w:val="22"/>
      <w:szCs w:val="22"/>
      <w:lang w:eastAsia="en-US"/>
    </w:rPr>
  </w:style>
  <w:style w:type="character" w:styleId="Hypertextovodkaz">
    <w:name w:val="Hyperlink"/>
    <w:uiPriority w:val="99"/>
    <w:unhideWhenUsed/>
    <w:rsid w:val="00C50636"/>
    <w:rPr>
      <w:color w:val="0000FF"/>
      <w:u w:val="single"/>
    </w:rPr>
  </w:style>
  <w:style w:type="paragraph" w:styleId="Zkladntext3">
    <w:name w:val="Body Text 3"/>
    <w:basedOn w:val="Normln"/>
    <w:link w:val="Zkladntext3Char"/>
    <w:uiPriority w:val="99"/>
    <w:unhideWhenUsed/>
    <w:rsid w:val="00CD29E5"/>
    <w:pPr>
      <w:spacing w:after="120"/>
    </w:pPr>
    <w:rPr>
      <w:rFonts w:ascii="Calibri" w:eastAsia="Calibri" w:hAnsi="Calibri" w:cs="Calibri"/>
      <w:sz w:val="16"/>
      <w:szCs w:val="16"/>
      <w:lang w:eastAsia="en-US"/>
    </w:rPr>
  </w:style>
  <w:style w:type="character" w:customStyle="1" w:styleId="Zkladntext3Char">
    <w:name w:val="Základní text 3 Char"/>
    <w:link w:val="Zkladntext3"/>
    <w:uiPriority w:val="99"/>
    <w:rsid w:val="00CD29E5"/>
    <w:rPr>
      <w:rFonts w:ascii="Calibri" w:eastAsia="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99487">
      <w:bodyDiv w:val="1"/>
      <w:marLeft w:val="0"/>
      <w:marRight w:val="0"/>
      <w:marTop w:val="0"/>
      <w:marBottom w:val="0"/>
      <w:divBdr>
        <w:top w:val="none" w:sz="0" w:space="0" w:color="auto"/>
        <w:left w:val="none" w:sz="0" w:space="0" w:color="auto"/>
        <w:bottom w:val="none" w:sz="0" w:space="0" w:color="auto"/>
        <w:right w:val="none" w:sz="0" w:space="0" w:color="auto"/>
      </w:divBdr>
    </w:div>
    <w:div w:id="1035429590">
      <w:bodyDiv w:val="1"/>
      <w:marLeft w:val="0"/>
      <w:marRight w:val="0"/>
      <w:marTop w:val="0"/>
      <w:marBottom w:val="0"/>
      <w:divBdr>
        <w:top w:val="none" w:sz="0" w:space="0" w:color="auto"/>
        <w:left w:val="none" w:sz="0" w:space="0" w:color="auto"/>
        <w:bottom w:val="none" w:sz="0" w:space="0" w:color="auto"/>
        <w:right w:val="none" w:sz="0" w:space="0" w:color="auto"/>
      </w:divBdr>
    </w:div>
    <w:div w:id="1403453927">
      <w:bodyDiv w:val="1"/>
      <w:marLeft w:val="0"/>
      <w:marRight w:val="0"/>
      <w:marTop w:val="0"/>
      <w:marBottom w:val="0"/>
      <w:divBdr>
        <w:top w:val="none" w:sz="0" w:space="0" w:color="auto"/>
        <w:left w:val="none" w:sz="0" w:space="0" w:color="auto"/>
        <w:bottom w:val="none" w:sz="0" w:space="0" w:color="auto"/>
        <w:right w:val="none" w:sz="0" w:space="0" w:color="auto"/>
      </w:divBdr>
    </w:div>
    <w:div w:id="1626698731">
      <w:bodyDiv w:val="1"/>
      <w:marLeft w:val="0"/>
      <w:marRight w:val="0"/>
      <w:marTop w:val="0"/>
      <w:marBottom w:val="0"/>
      <w:divBdr>
        <w:top w:val="none" w:sz="0" w:space="0" w:color="auto"/>
        <w:left w:val="none" w:sz="0" w:space="0" w:color="auto"/>
        <w:bottom w:val="none" w:sz="0" w:space="0" w:color="auto"/>
        <w:right w:val="none" w:sz="0" w:space="0" w:color="auto"/>
      </w:divBdr>
    </w:div>
    <w:div w:id="1797139121">
      <w:bodyDiv w:val="1"/>
      <w:marLeft w:val="0"/>
      <w:marRight w:val="0"/>
      <w:marTop w:val="0"/>
      <w:marBottom w:val="0"/>
      <w:divBdr>
        <w:top w:val="none" w:sz="0" w:space="0" w:color="auto"/>
        <w:left w:val="none" w:sz="0" w:space="0" w:color="auto"/>
        <w:bottom w:val="none" w:sz="0" w:space="0" w:color="auto"/>
        <w:right w:val="none" w:sz="0" w:space="0" w:color="auto"/>
      </w:divBdr>
    </w:div>
    <w:div w:id="1868641894">
      <w:bodyDiv w:val="1"/>
      <w:marLeft w:val="0"/>
      <w:marRight w:val="0"/>
      <w:marTop w:val="0"/>
      <w:marBottom w:val="0"/>
      <w:divBdr>
        <w:top w:val="none" w:sz="0" w:space="0" w:color="auto"/>
        <w:left w:val="none" w:sz="0" w:space="0" w:color="auto"/>
        <w:bottom w:val="none" w:sz="0" w:space="0" w:color="auto"/>
        <w:right w:val="none" w:sz="0" w:space="0" w:color="auto"/>
      </w:divBdr>
    </w:div>
    <w:div w:id="21448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4563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Olga Kalusková</dc:creator>
  <cp:keywords/>
  <cp:lastModifiedBy>Kalusová Olga</cp:lastModifiedBy>
  <cp:revision>4</cp:revision>
  <cp:lastPrinted>2009-09-16T10:32:00Z</cp:lastPrinted>
  <dcterms:created xsi:type="dcterms:W3CDTF">2019-02-01T08:42:00Z</dcterms:created>
  <dcterms:modified xsi:type="dcterms:W3CDTF">2019-02-01T09:27:00Z</dcterms:modified>
</cp:coreProperties>
</file>