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F1E96" w:rsidRDefault="009F1E96" w:rsidP="003C3304">
      <w:pPr>
        <w:pStyle w:val="Zkladntextodsazen"/>
        <w:ind w:left="0"/>
        <w:jc w:val="both"/>
      </w:pPr>
    </w:p>
    <w:p w:rsidR="009F1E96" w:rsidRDefault="009F1E96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9F1E96">
        <w:rPr>
          <w:rFonts w:ascii="Arial" w:hAnsi="Arial" w:cs="Arial"/>
        </w:rPr>
        <w:t>21.1</w:t>
      </w:r>
      <w:r w:rsidR="00A264D1" w:rsidRPr="00A264D1">
        <w:rPr>
          <w:rFonts w:ascii="Arial" w:hAnsi="Arial" w:cs="Arial"/>
        </w:rPr>
        <w:t>.201</w:t>
      </w:r>
      <w:r w:rsidR="009F1E96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9F1E96">
        <w:rPr>
          <w:rFonts w:ascii="Arial" w:hAnsi="Arial" w:cs="Arial"/>
        </w:rPr>
        <w:t>1110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9F1E96">
        <w:rPr>
          <w:rFonts w:ascii="Arial" w:hAnsi="Arial" w:cs="Arial"/>
        </w:rPr>
        <w:t>1113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F1E96" w:rsidRDefault="009F1E96">
      <w:pPr>
        <w:rPr>
          <w:rFonts w:ascii="Arial" w:hAnsi="Arial" w:cs="Arial"/>
          <w:u w:val="single"/>
        </w:rPr>
      </w:pPr>
    </w:p>
    <w:p w:rsidR="009F1E96" w:rsidRDefault="009F1E96">
      <w:pPr>
        <w:rPr>
          <w:rFonts w:ascii="Arial" w:hAnsi="Arial" w:cs="Arial"/>
          <w:u w:val="single"/>
        </w:rPr>
      </w:pPr>
    </w:p>
    <w:p w:rsidR="009F1E96" w:rsidRDefault="009F1E96">
      <w:pPr>
        <w:rPr>
          <w:rFonts w:ascii="Arial" w:hAnsi="Arial" w:cs="Arial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9F1E96">
        <w:rPr>
          <w:rFonts w:ascii="Arial" w:hAnsi="Arial" w:cs="Arial"/>
        </w:rPr>
        <w:t>21.1.2019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9F1E96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F1E96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F1E96">
      <w:rPr>
        <w:rFonts w:ascii="Arial" w:hAnsi="Arial" w:cs="Arial"/>
        <w:i/>
        <w:sz w:val="20"/>
        <w:szCs w:val="20"/>
      </w:rPr>
      <w:t>25.2.2019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F1E9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F1E96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F1E9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C7D5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1E96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B4CAD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E6C-2410-46A1-8E33-ECB77251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2019-02-05T08:50:00Z</dcterms:created>
  <dcterms:modified xsi:type="dcterms:W3CDTF">2019-02-05T09:02:00Z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