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750E" w14:textId="77777777" w:rsidR="00585CF2" w:rsidRPr="008B32BE" w:rsidRDefault="00585CF2" w:rsidP="00585CF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Smlouva </w:t>
      </w:r>
      <w:r w:rsidRPr="008B32BE">
        <w:rPr>
          <w:rFonts w:cs="Arial"/>
          <w:b/>
          <w:sz w:val="28"/>
          <w:szCs w:val="28"/>
        </w:rPr>
        <w:t>o poskytnutí dotace</w:t>
      </w:r>
    </w:p>
    <w:p w14:paraId="642B90D8" w14:textId="77777777" w:rsidR="00585CF2" w:rsidRDefault="00585CF2" w:rsidP="00585CF2">
      <w:pPr>
        <w:jc w:val="center"/>
        <w:rPr>
          <w:rFonts w:cs="Arial"/>
          <w:bCs/>
          <w:szCs w:val="22"/>
        </w:rPr>
      </w:pPr>
    </w:p>
    <w:p w14:paraId="7660AAEC" w14:textId="77777777" w:rsidR="00585CF2" w:rsidRPr="00571091" w:rsidRDefault="00585CF2" w:rsidP="00585CF2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758A149F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4D45FF63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11635AE6" w14:textId="77777777"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2BA2EC8B" w14:textId="6342FAFB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CE791C">
        <w:rPr>
          <w:rFonts w:cs="Arial"/>
          <w:szCs w:val="22"/>
        </w:rPr>
        <w:t>00</w:t>
      </w:r>
      <w:r w:rsidR="00CE791C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14:paraId="245952CF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11CA9F87" w14:textId="77777777"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2556A6BB" w14:textId="77777777"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08471F9D" w14:textId="77777777"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</w:t>
      </w:r>
      <w:r w:rsidR="007B3A8E">
        <w:rPr>
          <w:rFonts w:cs="Arial"/>
          <w:szCs w:val="22"/>
        </w:rPr>
        <w:t>em</w:t>
      </w:r>
      <w:r w:rsidR="00CE791C">
        <w:rPr>
          <w:rFonts w:cs="Arial"/>
          <w:szCs w:val="22"/>
        </w:rPr>
        <w:t xml:space="preserve"> Oklešť</w:t>
      </w:r>
      <w:r w:rsidR="00C20DB5">
        <w:rPr>
          <w:rFonts w:cs="Arial"/>
          <w:szCs w:val="22"/>
        </w:rPr>
        <w:t>k</w:t>
      </w:r>
      <w:r w:rsidR="007B3A8E">
        <w:rPr>
          <w:rFonts w:cs="Arial"/>
          <w:szCs w:val="22"/>
        </w:rPr>
        <w:t>em</w:t>
      </w:r>
      <w:r w:rsidR="000C04B3">
        <w:t>, hejtman</w:t>
      </w:r>
      <w:r w:rsidR="007B3A8E">
        <w:t>em</w:t>
      </w:r>
    </w:p>
    <w:p w14:paraId="2B948F0C" w14:textId="77777777"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14:paraId="7D407DFF" w14:textId="77777777"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14:paraId="2E2E9A25" w14:textId="77777777"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4CDC56AE" w14:textId="77777777"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3BF637DD" w14:textId="77777777"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1A74D5" w:rsidRPr="005024BC" w14:paraId="30A0AE63" w14:textId="77777777" w:rsidTr="00B814B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FC9ED47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1A74D5" w:rsidRPr="005024BC" w14:paraId="14040D0B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1F4ECD88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2D2F8B69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28C14F1B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7A7526ED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7B633A52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232CFE94" w14:textId="77777777" w:rsidTr="00B814BD">
        <w:trPr>
          <w:jc w:val="center"/>
        </w:trPr>
        <w:tc>
          <w:tcPr>
            <w:tcW w:w="790" w:type="pct"/>
            <w:shd w:val="clear" w:color="auto" w:fill="auto"/>
          </w:tcPr>
          <w:p w14:paraId="1B048744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17C607FC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0ADE8C65" w14:textId="77777777" w:rsidTr="00B814BD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102F37CE" w14:textId="77777777"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7E7C8A9C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14:paraId="40CD6782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16BCACC6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5F3CF69A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245BA98D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2308BFD8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21B47E3D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14:paraId="3CDD7806" w14:textId="77777777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6B845352" w14:textId="77777777" w:rsidR="001A74D5" w:rsidRPr="005024BC" w:rsidRDefault="001A74D5" w:rsidP="000C0E9C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4E7D6D78" w14:textId="77777777" w:rsidR="001A74D5" w:rsidRPr="00E72642" w:rsidRDefault="001A74D5" w:rsidP="000C0E9C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14:paraId="17525972" w14:textId="77777777"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14:paraId="4D3E2708" w14:textId="77777777"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14:paraId="646C35B8" w14:textId="77777777" w:rsidR="00465318" w:rsidRPr="002B14C2" w:rsidRDefault="00465318" w:rsidP="00103951">
      <w:pPr>
        <w:jc w:val="center"/>
      </w:pPr>
      <w:r w:rsidRPr="002B14C2">
        <w:t xml:space="preserve">tuto smlouvu o poskytnutí </w:t>
      </w:r>
      <w:r w:rsidR="00DF4F1A">
        <w:t xml:space="preserve">účelově určené </w:t>
      </w:r>
      <w:r w:rsidRPr="002B14C2">
        <w:t>dotace</w:t>
      </w:r>
      <w:r w:rsidR="00DF4F1A">
        <w:t xml:space="preserve"> (dále jen „Smlouva“)</w:t>
      </w:r>
      <w:r w:rsidRPr="002B14C2">
        <w:t>:</w:t>
      </w:r>
    </w:p>
    <w:p w14:paraId="2655CF8D" w14:textId="77777777"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450829CA" w14:textId="77777777" w:rsidR="00C3766D" w:rsidRPr="00C3766D" w:rsidRDefault="009D49E2" w:rsidP="009D49E2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</w:t>
      </w:r>
      <w:r w:rsidR="00902503">
        <w:t xml:space="preserve"> finančních prostředků Olomouckého kraje (Poskytovatele), </w:t>
      </w:r>
      <w:r w:rsidR="00C3766D" w:rsidRPr="00C3766D">
        <w:t>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jednotlivých druhů sociálních služeb</w:t>
      </w:r>
      <w:r w:rsidR="00CE791C">
        <w:t xml:space="preserve"> uvedených v čl. IV. odst. 1 této Smlouvy</w:t>
      </w:r>
      <w:r w:rsidRPr="009D49E2">
        <w:t>.</w:t>
      </w:r>
    </w:p>
    <w:p w14:paraId="653814DB" w14:textId="77777777" w:rsidR="00A25128" w:rsidRDefault="009D49E2" w:rsidP="002804D7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</w:p>
    <w:p w14:paraId="3384F3AB" w14:textId="77777777" w:rsidR="009D49E2" w:rsidRDefault="00A25128" w:rsidP="00A25128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</w:t>
      </w:r>
      <w:r w:rsidR="007D5225">
        <w:t xml:space="preserve"> </w:t>
      </w:r>
      <w:r w:rsidR="009D49E2">
        <w:t>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9D49E2" w:rsidRPr="002B14C2">
        <w:rPr>
          <w:bCs/>
        </w:rPr>
        <w:t xml:space="preserve">“) a jeho Podprogramem č. </w:t>
      </w:r>
      <w:r w:rsidR="00902503">
        <w:rPr>
          <w:bCs/>
        </w:rPr>
        <w:t>2</w:t>
      </w:r>
      <w:r w:rsidR="009D49E2" w:rsidRPr="002B14C2">
        <w:rPr>
          <w:bCs/>
        </w:rPr>
        <w:t xml:space="preserve"> – </w:t>
      </w:r>
      <w:r w:rsidR="00902503" w:rsidRPr="00902503">
        <w:rPr>
          <w:bCs/>
        </w:rPr>
        <w:t>Dotace z rozpočtu Olomouckého kraje určená na poskytování sociálních služeb</w:t>
      </w:r>
      <w:r w:rsidR="009D49E2">
        <w:rPr>
          <w:bCs/>
        </w:rPr>
        <w:t xml:space="preserve"> (dále jen „Podprogram č. </w:t>
      </w:r>
      <w:r w:rsidR="00902503">
        <w:rPr>
          <w:bCs/>
        </w:rPr>
        <w:t>2</w:t>
      </w:r>
      <w:r w:rsidR="009D49E2">
        <w:rPr>
          <w:bCs/>
        </w:rPr>
        <w:t>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Zastupitelstvo Olomouckého kraje svým usnesením </w:t>
      </w:r>
      <w:r w:rsidR="009D49E2" w:rsidRPr="009E6339">
        <w:rPr>
          <w:bCs/>
        </w:rPr>
        <w:t xml:space="preserve">č. </w:t>
      </w:r>
      <w:r w:rsidR="009D49E2" w:rsidRPr="007379D9">
        <w:t>UZ/11/42/2018</w:t>
      </w:r>
      <w:r w:rsidR="009D49E2">
        <w:t xml:space="preserve"> </w:t>
      </w:r>
      <w:r w:rsidR="009D49E2" w:rsidRPr="009E6339">
        <w:t xml:space="preserve">ze dne </w:t>
      </w:r>
      <w:r w:rsidR="009D49E2">
        <w:t>25</w:t>
      </w:r>
      <w:r w:rsidR="009D49E2" w:rsidRPr="009E6339">
        <w:t xml:space="preserve">. 6. </w:t>
      </w:r>
      <w:r>
        <w:t>2018;</w:t>
      </w:r>
    </w:p>
    <w:p w14:paraId="0E84C65C" w14:textId="77777777" w:rsidR="009D49E2" w:rsidRDefault="00A25128" w:rsidP="00A25128">
      <w:pPr>
        <w:pStyle w:val="Smlouva-slovn2"/>
      </w:pPr>
      <w:r>
        <w:lastRenderedPageBreak/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p w14:paraId="16BA65BB" w14:textId="77777777" w:rsidR="009D49E2" w:rsidRDefault="00A25128" w:rsidP="00A25128">
      <w:pPr>
        <w:pStyle w:val="Smlouva-slovn2"/>
      </w:pPr>
      <w:r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Pověření.</w:t>
      </w:r>
    </w:p>
    <w:p w14:paraId="07DD7427" w14:textId="77777777" w:rsidR="0046181E" w:rsidRPr="002B14C2" w:rsidRDefault="0046181E" w:rsidP="004A0D64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55BDBF01" w14:textId="77777777" w:rsidR="0046181E" w:rsidRDefault="0046181E" w:rsidP="0046181E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597142" w:rsidRPr="006A1B3A">
        <w:t xml:space="preserve">vyplývajících z tohoto </w:t>
      </w:r>
      <w:r w:rsidR="00597142">
        <w:t>Pověření.</w:t>
      </w:r>
    </w:p>
    <w:p w14:paraId="6B556419" w14:textId="77777777" w:rsidR="0046181E" w:rsidRPr="0046181E" w:rsidRDefault="0046181E" w:rsidP="0046181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45EE1203" w14:textId="77777777" w:rsidR="0046181E" w:rsidRDefault="0046181E" w:rsidP="0046181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o sociálních službách</w:t>
      </w:r>
      <w:r>
        <w:t>.</w:t>
      </w:r>
      <w:r w:rsidRPr="00F61807">
        <w:t xml:space="preserve">   </w:t>
      </w:r>
    </w:p>
    <w:p w14:paraId="5935CB8A" w14:textId="77777777" w:rsidR="00C20982" w:rsidRDefault="0046181E" w:rsidP="00C20982">
      <w:pPr>
        <w:pStyle w:val="Smlouva-slovn1"/>
      </w:pPr>
      <w:r>
        <w:t>2.</w:t>
      </w:r>
      <w:r>
        <w:tab/>
        <w:t>Účelu dotace musí být dosaženo ve lhůtě od 1. 1. 2019 do 31. 12. 2019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7FCE4DC9" w14:textId="77777777" w:rsidR="00C20982" w:rsidRDefault="00C20982" w:rsidP="00C20982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288B245D" w14:textId="77777777" w:rsidR="00C20982" w:rsidRDefault="00C20982" w:rsidP="00C20982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7CFEBF80" w14:textId="77777777" w:rsidR="00C20982" w:rsidRPr="002B14C2" w:rsidRDefault="00C20982" w:rsidP="00C20982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540588C9" w14:textId="77777777" w:rsidR="00C20982" w:rsidRPr="002B14C2" w:rsidRDefault="00C20982" w:rsidP="00C20982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>
        <w:t>2019</w:t>
      </w:r>
      <w:r w:rsidRPr="002B14C2">
        <w:t xml:space="preserve"> do 31. 12. </w:t>
      </w:r>
      <w:r>
        <w:t>2019</w:t>
      </w:r>
      <w:r w:rsidR="004D66D8">
        <w:t>;</w:t>
      </w:r>
    </w:p>
    <w:p w14:paraId="735D6773" w14:textId="77777777" w:rsidR="00C20982" w:rsidRPr="002B14C2" w:rsidRDefault="00C20982" w:rsidP="00C20982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61569E36" w14:textId="77777777" w:rsidR="00C20982" w:rsidRPr="002B14C2" w:rsidRDefault="00C20982" w:rsidP="00C20982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53006C23" w14:textId="77777777" w:rsidR="00C20982" w:rsidRDefault="00C20982" w:rsidP="00C20982">
      <w:pPr>
        <w:pStyle w:val="Smlouva-slovn2"/>
      </w:pPr>
      <w:r>
        <w:t>d)</w:t>
      </w:r>
      <w:r>
        <w:tab/>
        <w:t>byl příjemcem uhrazen v období do 20. 1. 2020.</w:t>
      </w:r>
    </w:p>
    <w:p w14:paraId="5241517B" w14:textId="77777777" w:rsidR="00C20982" w:rsidRPr="002B14C2" w:rsidRDefault="00D20EA6" w:rsidP="00C20982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902503">
        <w:t xml:space="preserve"> </w:t>
      </w:r>
      <w:r w:rsidR="00C20982" w:rsidRPr="00A96830">
        <w:rPr>
          <w:b/>
        </w:rPr>
        <w:t>čerpat na</w:t>
      </w:r>
      <w:r w:rsidR="00902503">
        <w:rPr>
          <w:rStyle w:val="Znakapoznpodarou"/>
          <w:b/>
        </w:rPr>
        <w:footnoteReference w:id="1"/>
      </w:r>
      <w:r w:rsidR="00C20982">
        <w:t>:</w:t>
      </w:r>
      <w:r w:rsidR="00C20982" w:rsidRPr="002B14C2">
        <w:t xml:space="preserve"> </w:t>
      </w:r>
    </w:p>
    <w:p w14:paraId="2EDFC290" w14:textId="77777777" w:rsidR="00C20982" w:rsidRPr="00847C53" w:rsidRDefault="00C20982" w:rsidP="00C20982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5937D0D9" w14:textId="77777777" w:rsidR="00C20982" w:rsidRPr="00847C53" w:rsidRDefault="00C20982" w:rsidP="00C20982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4D53FA0F" w14:textId="77777777" w:rsidR="00C20982" w:rsidRPr="00847C53" w:rsidRDefault="00C20982" w:rsidP="00C20982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</w:t>
      </w:r>
      <w:r w:rsidRPr="00847C53">
        <w:lastRenderedPageBreak/>
        <w:t xml:space="preserve">dlouhodobým nehmotným majetkem se rozumí majetek, jehož doba použitelnosti je delší než jeden rok a vstupní cena vyšší než 60 000 Kč, </w:t>
      </w:r>
    </w:p>
    <w:p w14:paraId="29ACFA80" w14:textId="77777777" w:rsidR="00C20982" w:rsidRPr="00847C53" w:rsidRDefault="00C20982" w:rsidP="00C20982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6C12CD4D" w14:textId="77777777" w:rsidR="00C20982" w:rsidRPr="00847C53" w:rsidRDefault="00C20982" w:rsidP="00C20982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</w:t>
      </w:r>
      <w:r>
        <w:br/>
      </w:r>
      <w:r w:rsidRPr="00847C53">
        <w:t xml:space="preserve">se státním příspěvkem, doplňkové penzijní spoření a životní pojištění, dary k životním jubileím a pracovním výročím, příspěvky na rekreaci, </w:t>
      </w:r>
    </w:p>
    <w:p w14:paraId="285AE3C8" w14:textId="77777777" w:rsidR="00C20982" w:rsidRPr="00847C53" w:rsidRDefault="00C20982" w:rsidP="00C20982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41E13D35" w14:textId="77777777" w:rsidR="00C20982" w:rsidRPr="00847C53" w:rsidRDefault="00C20982" w:rsidP="00C20982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78F5F404" w14:textId="77777777" w:rsidR="00C20982" w:rsidRPr="00847C53" w:rsidRDefault="00C20982" w:rsidP="00C20982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2"/>
      </w:r>
      <w:r>
        <w:t xml:space="preserve"> </w:t>
      </w:r>
      <w:r w:rsidRPr="00847C53">
        <w:t>požádat,</w:t>
      </w:r>
    </w:p>
    <w:p w14:paraId="0E9F2E86" w14:textId="77777777" w:rsidR="00C20982" w:rsidRPr="00847C53" w:rsidRDefault="00C20982" w:rsidP="00C20982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0BC881E8" w14:textId="77777777" w:rsidR="00C20982" w:rsidRPr="00847C53" w:rsidRDefault="00C20982" w:rsidP="00C20982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262C4FBD" w14:textId="77777777" w:rsidR="00C20982" w:rsidRPr="00847C53" w:rsidRDefault="00C20982" w:rsidP="00C20982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CFBD0D1" w14:textId="77777777" w:rsidR="007B5C03" w:rsidRPr="002B14C2" w:rsidRDefault="008019CE" w:rsidP="00975E95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33869C85" w14:textId="77777777" w:rsidR="00C83CFF" w:rsidRDefault="00E6331D" w:rsidP="00C20982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3706"/>
        <w:gridCol w:w="1508"/>
        <w:gridCol w:w="2604"/>
      </w:tblGrid>
      <w:tr w:rsidR="007216D9" w14:paraId="77A0BD78" w14:textId="77777777" w:rsidTr="00236EDC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E2F75CE" w14:textId="77777777" w:rsidR="007216D9" w:rsidRDefault="00236EDC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§</w:t>
            </w:r>
            <w:r w:rsidR="00AC3A1A">
              <w:rPr>
                <w:rStyle w:val="Znakapoznpodarou"/>
                <w:rFonts w:cs="Arial"/>
                <w:b/>
                <w:bCs/>
                <w:sz w:val="20"/>
              </w:rPr>
              <w:footnoteReference w:id="3"/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C7315C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BD61E0" w14:textId="77777777" w:rsidR="007216D9" w:rsidRDefault="007216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60A4D7" w14:textId="77777777" w:rsidR="007216D9" w:rsidRDefault="007216D9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7216D9" w14:paraId="0F23C88F" w14:textId="77777777" w:rsidTr="00236EDC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9DFA" w14:textId="77777777" w:rsidR="007216D9" w:rsidRDefault="007216D9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638D" w14:textId="77777777" w:rsidR="007216D9" w:rsidRDefault="007216D9">
            <w:pPr>
              <w:rPr>
                <w:rFonts w:cs="Arial"/>
                <w:sz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912" w14:textId="77777777" w:rsidR="007216D9" w:rsidRDefault="007216D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3100" w14:textId="77777777" w:rsidR="007216D9" w:rsidRPr="00F575D3" w:rsidRDefault="007216D9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6AD1DDA7" w14:textId="77777777" w:rsidR="00CE791C" w:rsidRDefault="00CE791C" w:rsidP="00902503">
      <w:pPr>
        <w:pStyle w:val="Smlouva-slovn1"/>
        <w:spacing w:before="240"/>
        <w:ind w:left="408" w:hanging="408"/>
      </w:pPr>
      <w:r>
        <w:tab/>
        <w:t>Poskytování služeb uvedených v tomto ustanovení se pro účely této Smlouvy rozumí realizací projektu.</w:t>
      </w:r>
    </w:p>
    <w:p w14:paraId="1031495B" w14:textId="77777777" w:rsidR="0097721A" w:rsidRPr="00DE3FC9" w:rsidRDefault="00216586" w:rsidP="00902503">
      <w:pPr>
        <w:pStyle w:val="Smlouva-slovn1"/>
        <w:spacing w:before="240"/>
        <w:ind w:left="408" w:hanging="408"/>
      </w:pPr>
      <w:r>
        <w:t>2.</w:t>
      </w:r>
      <w:r w:rsidR="00021822">
        <w:tab/>
      </w:r>
      <w:r w:rsidR="00B958E3">
        <w:t>D</w:t>
      </w:r>
      <w:r w:rsidRPr="00847C53">
        <w:t>o</w:t>
      </w:r>
      <w:r w:rsidRPr="002B14C2">
        <w:t xml:space="preserve">tace bude příjemci vyplacena </w:t>
      </w:r>
      <w:r w:rsidR="00AD6A0C">
        <w:t xml:space="preserve">poskytovatelem </w:t>
      </w:r>
      <w:r w:rsidRPr="002B14C2">
        <w:t xml:space="preserve">na účet </w:t>
      </w:r>
      <w:r w:rsidR="00AD6A0C">
        <w:t xml:space="preserve">příjemce </w:t>
      </w:r>
      <w:r w:rsidRPr="002B14C2">
        <w:t xml:space="preserve">uvedený v záhlaví </w:t>
      </w:r>
      <w:r w:rsidR="00D24031">
        <w:t>S</w:t>
      </w:r>
      <w:r w:rsidRPr="002B14C2">
        <w:t>mlouvy</w:t>
      </w:r>
      <w:r w:rsidR="00585CF2">
        <w:t xml:space="preserve">, a to </w:t>
      </w:r>
      <w:r w:rsidR="00585CF2" w:rsidRPr="002B14C2">
        <w:t xml:space="preserve">do </w:t>
      </w:r>
      <w:r w:rsidR="00585CF2">
        <w:t>21 dnů od nabytí účinnosti S</w:t>
      </w:r>
      <w:r w:rsidR="00585CF2" w:rsidRPr="002B14C2">
        <w:t>mlouvy</w:t>
      </w:r>
      <w:r w:rsidR="00585CF2">
        <w:t xml:space="preserve">. </w:t>
      </w:r>
      <w:r w:rsidR="0097721A" w:rsidRPr="002435A7">
        <w:t>Vyplacením dotace se rozumí odepsání finančních prostředků z účtu poskytovatele.</w:t>
      </w:r>
    </w:p>
    <w:p w14:paraId="4DD7DAEF" w14:textId="77777777" w:rsidR="007600F5" w:rsidRPr="007600F5" w:rsidRDefault="00216586" w:rsidP="007600F5">
      <w:pPr>
        <w:pStyle w:val="Smlouva-slovn1"/>
      </w:pPr>
      <w:r>
        <w:t>3.</w:t>
      </w:r>
      <w:r w:rsidR="00C20982">
        <w:tab/>
      </w:r>
      <w:r w:rsidR="007600F5" w:rsidRPr="007600F5">
        <w:t xml:space="preserve">Příjemce je povinen nejpozději </w:t>
      </w:r>
      <w:r w:rsidR="007600F5" w:rsidRPr="007600F5">
        <w:rPr>
          <w:b/>
        </w:rPr>
        <w:t>do 15. 2. 2020 předložit</w:t>
      </w:r>
      <w:r w:rsidR="007600F5" w:rsidRPr="007600F5">
        <w:t xml:space="preserve"> poskytovateli </w:t>
      </w:r>
      <w:r w:rsidR="007600F5" w:rsidRPr="007600F5">
        <w:rPr>
          <w:b/>
        </w:rPr>
        <w:t xml:space="preserve">vyúčtování </w:t>
      </w:r>
      <w:r w:rsidR="007600F5" w:rsidRPr="007600F5">
        <w:t xml:space="preserve">poskytnuté dotace (dále jen „vyúčtování“). Lhůta je zachována, je-li posledního dne lhůty podána poštovní zásilka adresovaná poskytovateli, která obsahuje vyúčtování poskytnuté dotace, držiteli poštovní licence. </w:t>
      </w:r>
    </w:p>
    <w:p w14:paraId="6CF6E979" w14:textId="77777777" w:rsidR="007600F5" w:rsidRPr="007600F5" w:rsidRDefault="007600F5" w:rsidP="007600F5">
      <w:pPr>
        <w:pStyle w:val="Smlouva-slovn1"/>
        <w:ind w:firstLine="0"/>
      </w:pPr>
      <w:r w:rsidRPr="007600F5">
        <w:rPr>
          <w:iCs/>
        </w:rPr>
        <w:t xml:space="preserve">Od celkových výdajů (nákladů) vynaložených na účel poskytnutí dotace dle čl. II. odst. 1. této </w:t>
      </w:r>
      <w:r w:rsidR="00D946D3">
        <w:rPr>
          <w:iCs/>
        </w:rPr>
        <w:t>S</w:t>
      </w:r>
      <w:r w:rsidRPr="007600F5">
        <w:rPr>
          <w:iCs/>
        </w:rPr>
        <w:t>mlouvy příjemce odečte veškeré příjmy, které obdržel v souvislosti s realizací projektu, na nějž</w:t>
      </w:r>
      <w:r w:rsidRPr="007600F5">
        <w:t xml:space="preserve"> byla příjemci </w:t>
      </w:r>
      <w:r w:rsidR="00585CF2" w:rsidRPr="007600F5">
        <w:t xml:space="preserve">poskytnuta </w:t>
      </w:r>
      <w:r w:rsidRPr="007600F5">
        <w:t>dotace</w:t>
      </w:r>
      <w:r w:rsidR="00585CF2">
        <w:t xml:space="preserve"> dle této </w:t>
      </w:r>
      <w:r w:rsidR="00D946D3">
        <w:t>S</w:t>
      </w:r>
      <w:r w:rsidR="00585CF2">
        <w:t>mlouvy</w:t>
      </w:r>
      <w:r w:rsidRPr="007600F5">
        <w:rPr>
          <w:iCs/>
        </w:rPr>
        <w:t xml:space="preserve">. Za příjem se pro účely této </w:t>
      </w:r>
      <w:r w:rsidR="00D946D3">
        <w:rPr>
          <w:iCs/>
        </w:rPr>
        <w:t>S</w:t>
      </w:r>
      <w:r w:rsidRPr="007600F5">
        <w:rPr>
          <w:iCs/>
        </w:rPr>
        <w:t xml:space="preserve">mlouvy považují zejména příspěvky a dotace od státu a jiných územních samosprávných celků, </w:t>
      </w:r>
      <w:r w:rsidRPr="007600F5">
        <w:rPr>
          <w:iCs/>
        </w:rPr>
        <w:lastRenderedPageBreak/>
        <w:t xml:space="preserve">sponzorské dary (apod.), které příjemce obdržel na stejný účel, </w:t>
      </w:r>
      <w:r w:rsidR="00585CF2">
        <w:rPr>
          <w:iCs/>
        </w:rPr>
        <w:t xml:space="preserve">na který byla poskytnuta dotace dle této </w:t>
      </w:r>
      <w:r w:rsidR="00D946D3">
        <w:rPr>
          <w:iCs/>
        </w:rPr>
        <w:t>S</w:t>
      </w:r>
      <w:r w:rsidR="00585CF2">
        <w:rPr>
          <w:iCs/>
        </w:rPr>
        <w:t>mlouvy</w:t>
      </w:r>
      <w:r w:rsidRPr="007600F5">
        <w:rPr>
          <w:iCs/>
        </w:rPr>
        <w:t>.</w:t>
      </w:r>
    </w:p>
    <w:p w14:paraId="5767C150" w14:textId="77777777" w:rsidR="007600F5" w:rsidRPr="007600F5" w:rsidRDefault="007600F5" w:rsidP="007600F5">
      <w:pPr>
        <w:pStyle w:val="Smlouva-slovn1"/>
      </w:pPr>
      <w:r w:rsidRPr="007600F5">
        <w:t xml:space="preserve">  </w:t>
      </w:r>
      <w:r>
        <w:tab/>
      </w:r>
      <w:r w:rsidRPr="007600F5">
        <w:t xml:space="preserve">Vyúčtování musí obsahovat: </w:t>
      </w:r>
    </w:p>
    <w:p w14:paraId="42700BBB" w14:textId="77777777" w:rsidR="007600F5" w:rsidRPr="007600F5" w:rsidRDefault="007600F5" w:rsidP="007600F5">
      <w:pPr>
        <w:pStyle w:val="Smlouva-slovn2"/>
      </w:pPr>
      <w:proofErr w:type="gramStart"/>
      <w:r>
        <w:t>3.1</w:t>
      </w:r>
      <w:proofErr w:type="gramEnd"/>
      <w:r>
        <w:t>.</w:t>
      </w:r>
      <w:r>
        <w:tab/>
      </w:r>
      <w:r w:rsidRPr="007600F5">
        <w:t xml:space="preserve">soupis všech příjmů, které příjemce obdržel v souvislosti s realizací projektu, na který byla poskytnuta dotace </w:t>
      </w:r>
      <w:r w:rsidR="00585CF2">
        <w:t xml:space="preserve">dle této </w:t>
      </w:r>
      <w:r w:rsidR="00D946D3">
        <w:t>S</w:t>
      </w:r>
      <w:r w:rsidR="00585CF2">
        <w:t xml:space="preserve">mlouvy </w:t>
      </w:r>
      <w:r w:rsidRPr="007600F5">
        <w:t>(</w:t>
      </w:r>
      <w:r w:rsidRPr="007600F5">
        <w:rPr>
          <w:iCs/>
        </w:rPr>
        <w:t xml:space="preserve">za příjem se pro účely této </w:t>
      </w:r>
      <w:r w:rsidR="00D946D3">
        <w:rPr>
          <w:iCs/>
        </w:rPr>
        <w:t>S</w:t>
      </w:r>
      <w:r w:rsidRPr="007600F5">
        <w:rPr>
          <w:iCs/>
        </w:rPr>
        <w:t>mlouvy považují zejména příspěvky a dotace od státu a jiných územních samosprávných celků, sponzorské příspěvky, finanční dary apod., které obdržel příjemce na stejný účel</w:t>
      </w:r>
      <w:r w:rsidRPr="007600F5">
        <w:t>, a soupis všech výdajů (nákladů) hrazených z poskytnuté dotace v rozsahu uvedeném v příloze č. 1 „Finanční vyúčtování dotace poskytnuté v roce 2019“, doložený:</w:t>
      </w:r>
    </w:p>
    <w:p w14:paraId="5F7ECD76" w14:textId="77777777" w:rsidR="007600F5" w:rsidRPr="007600F5" w:rsidRDefault="007600F5" w:rsidP="007600F5">
      <w:pPr>
        <w:pStyle w:val="Smlouva-slovn1"/>
        <w:ind w:left="1134" w:hanging="283"/>
      </w:pPr>
      <w:r>
        <w:t>a)</w:t>
      </w:r>
      <w:r>
        <w:tab/>
      </w:r>
      <w:r w:rsidRPr="007600F5">
        <w:t>fotokopiemi všech výpisů z bankovního účtu, které dokládají úhradu jednotlivých dokladů, s vyznačením dotčených plateb;</w:t>
      </w:r>
    </w:p>
    <w:p w14:paraId="1E9D217A" w14:textId="77777777" w:rsidR="007600F5" w:rsidRPr="007600F5" w:rsidRDefault="007600F5" w:rsidP="00CF4AF9">
      <w:pPr>
        <w:pStyle w:val="Smlouva-slovn1"/>
        <w:ind w:left="1134" w:firstLine="0"/>
      </w:pPr>
      <w:r w:rsidRPr="007600F5">
        <w:t xml:space="preserve">příloha č. 1 je pro příjemce k dispozici v elektronické formě na webu OK </w:t>
      </w:r>
      <w:hyperlink r:id="rId8" w:history="1">
        <w:r w:rsidR="007A7956" w:rsidRPr="00BB5955">
          <w:rPr>
            <w:rStyle w:val="Hypertextovodkaz"/>
          </w:rPr>
          <w:t>https://www.olkraj.cz/vyuctovani-dotace-cl-4390.html</w:t>
        </w:r>
      </w:hyperlink>
      <w:r w:rsidRPr="007600F5">
        <w:t>;</w:t>
      </w:r>
    </w:p>
    <w:p w14:paraId="0D1A1798" w14:textId="77777777" w:rsidR="007600F5" w:rsidRPr="007600F5" w:rsidRDefault="00CF4AF9" w:rsidP="00CF4AF9">
      <w:pPr>
        <w:pStyle w:val="Smlouva-slovn1"/>
        <w:ind w:left="1134" w:hanging="283"/>
      </w:pPr>
      <w:r>
        <w:t>b)</w:t>
      </w:r>
      <w:r>
        <w:tab/>
      </w:r>
      <w:r w:rsidR="007600F5" w:rsidRPr="007600F5">
        <w:t>čestným prohlášením, že fotokopie předaných dokladů jsou shodné s originály a výdaje uvedené v soupisech jsou shodné se záznamy v účetnictví příjemce;</w:t>
      </w:r>
    </w:p>
    <w:p w14:paraId="3D07E6A1" w14:textId="77777777" w:rsidR="007600F5" w:rsidRPr="00CF4AF9" w:rsidRDefault="00CF4AF9" w:rsidP="00CF4AF9">
      <w:pPr>
        <w:pStyle w:val="Smlouva-slovn2"/>
      </w:pPr>
      <w:proofErr w:type="gramStart"/>
      <w:r>
        <w:t>3.2</w:t>
      </w:r>
      <w:proofErr w:type="gramEnd"/>
      <w:r>
        <w:t>.</w:t>
      </w:r>
      <w:r>
        <w:tab/>
      </w:r>
      <w:r w:rsidR="007600F5" w:rsidRPr="007600F5">
        <w:t>informaci o realizaci projektu</w:t>
      </w:r>
      <w:r>
        <w:t>;</w:t>
      </w:r>
    </w:p>
    <w:p w14:paraId="7327821B" w14:textId="77777777" w:rsidR="007600F5" w:rsidRPr="007600F5" w:rsidRDefault="007600F5" w:rsidP="00CF4AF9">
      <w:pPr>
        <w:pStyle w:val="Smlouva-slovn1"/>
        <w:ind w:left="851" w:firstLine="0"/>
        <w:rPr>
          <w:iCs/>
        </w:rPr>
      </w:pPr>
      <w:r w:rsidRPr="007600F5">
        <w:t xml:space="preserve">Informace o realizaci projektu musí být v písemné formě na předepsaném formuláři </w:t>
      </w:r>
      <w:r w:rsidRPr="007600F5">
        <w:br/>
        <w:t xml:space="preserve">a musí obsahovat stručné zhodnocení průběhu realizace projektu, vč. jeho přínosu pro Olomoucký kraj a zdůvodnění případných odchylek. Součástí informace </w:t>
      </w:r>
      <w:r w:rsidRPr="007600F5">
        <w:br/>
        <w:t xml:space="preserve">o realizaci projektu </w:t>
      </w:r>
      <w:r w:rsidRPr="007600F5">
        <w:rPr>
          <w:iCs/>
        </w:rPr>
        <w:t xml:space="preserve">je </w:t>
      </w:r>
      <w:r w:rsidRPr="007600F5">
        <w:t xml:space="preserve">popis užití loga Olomouckého kraje a </w:t>
      </w:r>
      <w:r w:rsidRPr="007600F5">
        <w:rPr>
          <w:iCs/>
        </w:rPr>
        <w:t>fotodokumentace propagace Olomouckého kraje dle</w:t>
      </w:r>
      <w:r w:rsidR="008B19D2">
        <w:rPr>
          <w:iCs/>
        </w:rPr>
        <w:t xml:space="preserve"> této </w:t>
      </w:r>
      <w:r w:rsidR="00D946D3">
        <w:rPr>
          <w:iCs/>
        </w:rPr>
        <w:t>S</w:t>
      </w:r>
      <w:r w:rsidR="008B19D2">
        <w:rPr>
          <w:iCs/>
        </w:rPr>
        <w:t>mlouvy</w:t>
      </w:r>
      <w:r w:rsidRPr="007600F5">
        <w:rPr>
          <w:iCs/>
        </w:rPr>
        <w:t>, a to v listinné podobě.</w:t>
      </w:r>
    </w:p>
    <w:p w14:paraId="4DB73AEC" w14:textId="77777777" w:rsidR="00F160AB" w:rsidRPr="00F160AB" w:rsidRDefault="00C20982" w:rsidP="007600F5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 xml:space="preserve">do </w:t>
      </w:r>
      <w:r w:rsidR="00CF4AF9">
        <w:rPr>
          <w:b/>
        </w:rPr>
        <w:t xml:space="preserve">28. 2. </w:t>
      </w:r>
      <w:r w:rsidR="00F160AB" w:rsidRPr="00783067">
        <w:rPr>
          <w:b/>
        </w:rPr>
        <w:t>20</w:t>
      </w:r>
      <w:r w:rsidR="00D90049">
        <w:rPr>
          <w:b/>
        </w:rPr>
        <w:t>20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095C45FB" w14:textId="77777777" w:rsidR="00F160AB" w:rsidRPr="00F160AB" w:rsidRDefault="00847C53" w:rsidP="00847C53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33F56448" w14:textId="77777777" w:rsidR="00F160AB" w:rsidRPr="00F160AB" w:rsidRDefault="00847C53" w:rsidP="00847C53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6814FD8A" w14:textId="77777777" w:rsidR="00F160AB" w:rsidRPr="00F160AB" w:rsidRDefault="00F160AB" w:rsidP="00847C53">
      <w:pPr>
        <w:pStyle w:val="Smlouva-slovn1"/>
        <w:ind w:firstLine="0"/>
      </w:pPr>
      <w:r w:rsidRPr="00F160AB">
        <w:t>V případě, že ta část dotace, která tvoří zisk služby, bude dle výkazu zisku a ztrát zjištěna po uplynutí doby uvedené v předchozím odstavci, je příjemce rovněž povinen tuto část dotace vrátit, a to do 30 kalendářních dnů od zjištění této skutečnosti.</w:t>
      </w:r>
    </w:p>
    <w:p w14:paraId="084F79BE" w14:textId="77777777" w:rsidR="00F160AB" w:rsidRPr="00F160AB" w:rsidRDefault="00F160AB" w:rsidP="00847C53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6BFE22FF" w14:textId="77777777" w:rsidR="002238EE" w:rsidRDefault="00C20982" w:rsidP="00847C53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0F917A97" w14:textId="77777777" w:rsidR="002238EE" w:rsidRDefault="00CC0F81" w:rsidP="00CC0F81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7B0CDB">
        <w:t>2019</w:t>
      </w:r>
      <w:r w:rsidR="00F160AB" w:rsidRPr="00F160AB">
        <w:t xml:space="preserve"> na účet poskytovatele </w:t>
      </w:r>
      <w:r w:rsidR="00833112">
        <w:t xml:space="preserve">č. </w:t>
      </w:r>
      <w:r w:rsidR="00833112" w:rsidRPr="002B14C2">
        <w:t>27 – 4228330207/0100</w:t>
      </w:r>
      <w:r w:rsidR="00833112">
        <w:t xml:space="preserve">, </w:t>
      </w:r>
    </w:p>
    <w:p w14:paraId="5B18A056" w14:textId="77777777" w:rsidR="002238EE" w:rsidRDefault="00CC0F81" w:rsidP="00CC0F81">
      <w:pPr>
        <w:pStyle w:val="Smlouva-slovn2"/>
      </w:pPr>
      <w:r>
        <w:t>b)</w:t>
      </w:r>
      <w:r>
        <w:tab/>
      </w:r>
      <w:r w:rsidR="00F160AB" w:rsidRPr="00F160AB">
        <w:t xml:space="preserve">po 31. 12. </w:t>
      </w:r>
      <w:r w:rsidR="007B0CDB">
        <w:t>2019</w:t>
      </w:r>
      <w:r w:rsidR="00F160AB" w:rsidRPr="00F160AB">
        <w:t xml:space="preserve"> na účet poskytovatele č. 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4228320287/0100, </w:t>
      </w:r>
    </w:p>
    <w:p w14:paraId="5ACBE6E5" w14:textId="77777777" w:rsidR="00F160AB" w:rsidRDefault="009315EA" w:rsidP="009315EA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5B65CF5C" w14:textId="77777777" w:rsidR="00D3418C" w:rsidRPr="00DB19BC" w:rsidRDefault="00C20982" w:rsidP="00A93B9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7B0CDB">
        <w:t>2019</w:t>
      </w:r>
      <w:r w:rsidR="00A93B9E" w:rsidRPr="00DB19BC">
        <w:t xml:space="preserve"> </w:t>
      </w:r>
    </w:p>
    <w:p w14:paraId="6BD0D309" w14:textId="77777777" w:rsidR="00D3418C" w:rsidRPr="00DB19BC" w:rsidRDefault="00CC0F81" w:rsidP="00CC0F81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Individuálního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Individuálního projektu</w:t>
      </w:r>
      <w:r w:rsidR="00D3418C" w:rsidRPr="00DB19BC">
        <w:t>,</w:t>
      </w:r>
    </w:p>
    <w:p w14:paraId="453CFF93" w14:textId="77777777" w:rsidR="0049250E" w:rsidRPr="00DB19BC" w:rsidRDefault="00CC0F81" w:rsidP="00CC0F81">
      <w:pPr>
        <w:pStyle w:val="Smlouva-slovn2"/>
      </w:pPr>
      <w:r>
        <w:lastRenderedPageBreak/>
        <w:t>b)</w:t>
      </w:r>
      <w:r>
        <w:tab/>
      </w:r>
      <w:r w:rsidR="00AF7982" w:rsidRPr="00DB19BC">
        <w:t xml:space="preserve">nevyužil příjemce </w:t>
      </w:r>
      <w:r w:rsidR="00180051" w:rsidRPr="00DB19BC">
        <w:t>možnost financování sociální služby v rámci Individuálního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Individuálního projektu. Obdobně bude posuzován nárok na dotaci v případě, že nabídka příjemce bude vyřazena.</w:t>
      </w:r>
    </w:p>
    <w:p w14:paraId="50257541" w14:textId="77777777" w:rsidR="00223703" w:rsidRPr="00DB19BC" w:rsidRDefault="00A93B9E" w:rsidP="009109A6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 Rozhodným okamžikem vrácení finančních prostředků na účet poskytovatele je den jejich připsání na účet poskytovatele.</w:t>
      </w:r>
      <w:r w:rsidR="00223703" w:rsidRPr="00DB19BC">
        <w:t xml:space="preserve"> </w:t>
      </w:r>
    </w:p>
    <w:p w14:paraId="48102A0F" w14:textId="77777777" w:rsidR="00A93B9E" w:rsidRPr="00DB19BC" w:rsidRDefault="00A93B9E" w:rsidP="00A93B9E">
      <w:pPr>
        <w:pStyle w:val="Smlouva-slovn1"/>
        <w:ind w:firstLine="20"/>
      </w:pPr>
      <w:r w:rsidRPr="00DB19BC">
        <w:t>Část dotace, kterou je povinen příjemce vrátit, se stanoví jako rozdíl v</w:t>
      </w:r>
      <w:r w:rsidR="00D90049">
        <w:t>  témže</w:t>
      </w:r>
      <w:r w:rsidRPr="00DB19BC">
        <w:t xml:space="preserve"> roce vyplacené dotace a nároku na plnění z </w:t>
      </w:r>
      <w:r w:rsidR="00D24031">
        <w:t>této Smlouvy</w:t>
      </w:r>
      <w:r w:rsidRPr="00DB19BC">
        <w:t>. Nárok na plnění z </w:t>
      </w:r>
      <w:r w:rsidR="00D24031">
        <w:t>této Smlouvy</w:t>
      </w:r>
      <w:r w:rsidRPr="00DB19BC">
        <w:t xml:space="preserve"> se stanoví jako násobek 1/12 dotace poskyt</w:t>
      </w:r>
      <w:r w:rsidR="00445941" w:rsidRPr="00DB19BC">
        <w:t xml:space="preserve">ované na tuto službu dle </w:t>
      </w:r>
      <w:r w:rsidR="000C7E41">
        <w:t>čl. IV. odst. 1.</w:t>
      </w:r>
      <w:r w:rsidRPr="00DB19BC">
        <w:t xml:space="preserve"> </w:t>
      </w:r>
      <w:r w:rsidR="00D24031">
        <w:t>této Smlouvy</w:t>
      </w:r>
      <w:r w:rsidRPr="00DB19BC">
        <w:t xml:space="preserve"> a počtu měsíců, za které náleží dotace dle </w:t>
      </w:r>
      <w:r w:rsidR="00D24031">
        <w:t>této Smlouvy</w:t>
      </w:r>
      <w:r w:rsidRPr="00DB19BC">
        <w:t>, zaokrouhlený</w:t>
      </w:r>
      <w:r w:rsidR="00B958E3">
        <w:t xml:space="preserve"> </w:t>
      </w:r>
      <w:r w:rsidRPr="00DB19BC">
        <w:t>na stovky nahoru.</w:t>
      </w:r>
    </w:p>
    <w:p w14:paraId="2F2A6D6C" w14:textId="77777777" w:rsidR="00223703" w:rsidRDefault="00223703" w:rsidP="00223703">
      <w:pPr>
        <w:pStyle w:val="Smlouva-slovn1"/>
        <w:ind w:firstLine="2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09B49843" w14:textId="77777777" w:rsidR="000152EE" w:rsidRPr="000152EE" w:rsidRDefault="000152EE" w:rsidP="000152EE">
      <w:pPr>
        <w:pStyle w:val="Nadpissmlouvy"/>
      </w:pPr>
      <w:r>
        <w:t xml:space="preserve">Článek V. </w:t>
      </w:r>
      <w:r w:rsidRPr="000152EE">
        <w:t>Daň z přidané hodnoty</w:t>
      </w:r>
    </w:p>
    <w:p w14:paraId="7041F583" w14:textId="77777777" w:rsidR="000152EE" w:rsidRPr="000152EE" w:rsidRDefault="000152EE" w:rsidP="000152EE">
      <w:pPr>
        <w:pStyle w:val="Smlouva-slovn1"/>
      </w:pPr>
      <w:r>
        <w:t xml:space="preserve">1. </w:t>
      </w:r>
      <w:r>
        <w:tab/>
      </w:r>
      <w:r w:rsidRPr="000152EE">
        <w:t xml:space="preserve">Je-li příjemce plátce daně z přidané hodnoty (dále jen DPH) a může uplatnit odpočet DPH ve vazbě na ekonomickou činnost, která zakládá nárok na odpočet daně podle </w:t>
      </w:r>
      <w:r w:rsidRPr="000152EE">
        <w:br/>
        <w:t xml:space="preserve">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 odpočet v plné či částečné výši, uvádí na veškerých vyúčtovacích dokladech finanční částky bez DPH odpovídající výši, která mohla být uplatněna v odpočtu daně na základě daňového přiznání k DPH. Příjemce – neplátce DPH uvádí na veškerých vyúčtovacích dokladech finanční částky včetně DPH. </w:t>
      </w:r>
    </w:p>
    <w:p w14:paraId="2D74A51E" w14:textId="77777777" w:rsidR="000152EE" w:rsidRPr="000152EE" w:rsidRDefault="000152EE" w:rsidP="000152EE">
      <w:pPr>
        <w:pStyle w:val="Smlouva-slovn1"/>
      </w:pPr>
      <w:r>
        <w:t>2.</w:t>
      </w:r>
      <w:r>
        <w:tab/>
      </w:r>
      <w:r w:rsidRPr="000152EE">
        <w:t>V případě, že se příjemce stane plátcem DPH v průběhu čerpání dotace</w:t>
      </w:r>
      <w:r w:rsidRPr="000152EE">
        <w:br/>
        <w:t xml:space="preserve"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 </w:t>
      </w:r>
      <w:r w:rsidRPr="000152EE">
        <w:br/>
        <w:t xml:space="preserve">v souladu § 79 ZDPH uplatnit v prvním daňovém přiznání po registraci k DPH. </w:t>
      </w:r>
    </w:p>
    <w:p w14:paraId="6EEF338E" w14:textId="77777777" w:rsidR="000152EE" w:rsidRPr="000152EE" w:rsidRDefault="000152EE" w:rsidP="000152EE">
      <w:pPr>
        <w:pStyle w:val="Smlouva-slovn1"/>
      </w:pPr>
      <w:r>
        <w:t>3.</w:t>
      </w:r>
      <w:r>
        <w:tab/>
      </w:r>
      <w:r w:rsidRPr="000152EE"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999CF9C" w14:textId="77777777" w:rsidR="000152EE" w:rsidRPr="000152EE" w:rsidRDefault="000152EE" w:rsidP="000152EE">
      <w:pPr>
        <w:pStyle w:val="Smlouva-slovn1"/>
      </w:pPr>
      <w:r w:rsidRPr="000152EE">
        <w:t xml:space="preserve">4.  Pokud má příjemce (plátce daně) ve shodě s opravou odpočtu podle § 75 ZDPH, vypořádáním odpočtu podle § 76 ZDPH a úpravou odpočtu podle 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14:paraId="4CBE8BC8" w14:textId="77777777" w:rsidR="008A6D0B" w:rsidRPr="002B14C2" w:rsidRDefault="0072279E" w:rsidP="00C140A1">
      <w:pPr>
        <w:pStyle w:val="Nadpissmlouvy"/>
      </w:pPr>
      <w:r w:rsidRPr="002B14C2">
        <w:lastRenderedPageBreak/>
        <w:t xml:space="preserve">Článek </w:t>
      </w:r>
      <w:r w:rsidR="00FF34F4">
        <w:t>V</w:t>
      </w:r>
      <w:r w:rsidR="00674783">
        <w:t>I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45055804" w14:textId="77777777" w:rsidR="002531C9" w:rsidRPr="002B14C2" w:rsidRDefault="002531C9" w:rsidP="002531C9">
      <w:pPr>
        <w:pStyle w:val="Smlouva-slovn1"/>
        <w:ind w:left="0" w:firstLine="0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790E5B8E" w14:textId="77777777" w:rsidR="002531C9" w:rsidRPr="002B14C2" w:rsidRDefault="002531C9" w:rsidP="002531C9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 xml:space="preserve">a jeho Podprogramem č. </w:t>
      </w:r>
      <w:r w:rsidR="001203CD">
        <w:t>2</w:t>
      </w:r>
      <w:r w:rsidR="00301F35">
        <w:t>;</w:t>
      </w:r>
    </w:p>
    <w:p w14:paraId="36DB4914" w14:textId="77777777" w:rsidR="002531C9" w:rsidRPr="002B14C2" w:rsidRDefault="002531C9" w:rsidP="002531C9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3C2BBE">
        <w:rPr>
          <w:b/>
        </w:rPr>
        <w:t>oddělenou účetní evidenci čerpání dotace</w:t>
      </w:r>
      <w:r w:rsidR="00301F35">
        <w:t>;</w:t>
      </w:r>
    </w:p>
    <w:p w14:paraId="158F4CB9" w14:textId="77777777" w:rsidR="002531C9" w:rsidRPr="002B14C2" w:rsidRDefault="002531C9" w:rsidP="002531C9">
      <w:pPr>
        <w:pStyle w:val="Smlouva-slovn1"/>
      </w:pPr>
      <w:r w:rsidRPr="002B14C2"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357F217C" w14:textId="77777777" w:rsidR="002531C9" w:rsidRDefault="002531C9" w:rsidP="002531C9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7B0CDB" w:rsidRPr="003C2BBE">
        <w:rPr>
          <w:b/>
        </w:rPr>
        <w:t>2019</w:t>
      </w:r>
      <w:r w:rsidR="00A504F5" w:rsidRPr="003C2BBE">
        <w:rPr>
          <w:b/>
        </w:rPr>
        <w:t>/P</w:t>
      </w:r>
      <w:r w:rsidR="00CF4AF9">
        <w:rPr>
          <w:b/>
        </w:rPr>
        <w:t>2</w:t>
      </w:r>
      <w:r w:rsidR="00B15144">
        <w:t>“</w:t>
      </w:r>
      <w:r w:rsidR="0019454D">
        <w:t>;</w:t>
      </w:r>
    </w:p>
    <w:p w14:paraId="69346870" w14:textId="77777777" w:rsidR="0019454D" w:rsidRPr="0043390C" w:rsidRDefault="0019454D" w:rsidP="0019454D">
      <w:pPr>
        <w:pStyle w:val="Smlouva-slovn1"/>
      </w:pPr>
      <w:r>
        <w:t>5.</w:t>
      </w:r>
      <w:r>
        <w:tab/>
      </w:r>
      <w:r w:rsidRPr="0043390C">
        <w:t xml:space="preserve">předložit poskytovateli, pokud byla příjemci na rok 2019 poskytnuta dotace dle </w:t>
      </w:r>
      <w:r w:rsidR="00D24031" w:rsidRPr="0043390C">
        <w:t>této Smlouvy</w:t>
      </w:r>
      <w:r w:rsidR="00C6363D" w:rsidRPr="0043390C">
        <w:t xml:space="preserve"> (včetně jejich případných dodatků) </w:t>
      </w:r>
      <w:r w:rsidRPr="0043390C">
        <w:t xml:space="preserve">v celkové výši </w:t>
      </w:r>
      <w:r w:rsidRPr="0043390C">
        <w:rPr>
          <w:b/>
        </w:rPr>
        <w:t>3 mil. Kč a více</w:t>
      </w:r>
      <w:r w:rsidRPr="0043390C">
        <w:t xml:space="preserve">, do </w:t>
      </w:r>
      <w:r w:rsidRPr="0043390C">
        <w:rPr>
          <w:b/>
        </w:rPr>
        <w:t>31. 8. 2020</w:t>
      </w:r>
      <w:r w:rsidRPr="0043390C">
        <w:t xml:space="preserve">: </w:t>
      </w:r>
    </w:p>
    <w:p w14:paraId="1A977B17" w14:textId="77777777" w:rsidR="0019454D" w:rsidRPr="0043390C" w:rsidRDefault="0019454D" w:rsidP="0019454D">
      <w:pPr>
        <w:pStyle w:val="Smlouva-slovn2"/>
      </w:pPr>
      <w:r w:rsidRPr="0043390C">
        <w:t xml:space="preserve">a) </w:t>
      </w:r>
      <w:r w:rsidRPr="0043390C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4059D222" w14:textId="77777777" w:rsidR="0019454D" w:rsidRPr="0043390C" w:rsidRDefault="0019454D" w:rsidP="0019454D">
      <w:pPr>
        <w:pStyle w:val="Smlouva-slovn2"/>
      </w:pPr>
      <w:r w:rsidRPr="0043390C">
        <w:t xml:space="preserve">b) </w:t>
      </w:r>
      <w:r w:rsidRPr="0043390C">
        <w:tab/>
        <w:t xml:space="preserve">vyjádření auditora ke způsobu účtování a použití poskytnuté dotace v případě, že se nejedná o příjemce dle předchozího ustanovení, </w:t>
      </w:r>
    </w:p>
    <w:p w14:paraId="50DF45B5" w14:textId="77777777" w:rsidR="00880EFD" w:rsidRDefault="0019454D" w:rsidP="00880EFD">
      <w:pPr>
        <w:pStyle w:val="Smlouva-slovn1"/>
        <w:ind w:firstLine="0"/>
      </w:pPr>
      <w:r w:rsidRPr="0043390C">
        <w:t>výrok nebo vyjádření auditora musí být předložen jako samostatný dokument, nepředložení výroku auditora nebo vyjádření auditora ve stanoveném termínu je důvodem pro neposky</w:t>
      </w:r>
      <w:r w:rsidR="00C57C7C" w:rsidRPr="0043390C">
        <w:t>tnutí dotace na následující rok;</w:t>
      </w:r>
      <w:r w:rsidRPr="002B14C2">
        <w:t xml:space="preserve"> </w:t>
      </w:r>
    </w:p>
    <w:p w14:paraId="2082050D" w14:textId="77777777" w:rsidR="00026C05" w:rsidRDefault="0019454D" w:rsidP="00880EFD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37088476" w14:textId="77777777" w:rsidR="0019454D" w:rsidRDefault="0019454D" w:rsidP="00EF21C8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7B0CDB">
        <w:t>2019</w:t>
      </w:r>
      <w:r>
        <w:t>;</w:t>
      </w:r>
    </w:p>
    <w:p w14:paraId="5CCE7A4F" w14:textId="77777777" w:rsidR="00EF21C8" w:rsidRPr="002B14C2" w:rsidRDefault="006E56E3" w:rsidP="00EF21C8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78370190" w14:textId="77777777" w:rsidR="00EF21C8" w:rsidRPr="002B14C2" w:rsidRDefault="00847C53" w:rsidP="00847C53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7143DB7C" w14:textId="77777777" w:rsidR="00EF21C8" w:rsidRPr="002B14C2" w:rsidRDefault="00847C53" w:rsidP="00847C53">
      <w:pPr>
        <w:pStyle w:val="Smlouva-slovn2"/>
      </w:pPr>
      <w:r>
        <w:t>b)</w:t>
      </w:r>
      <w:r>
        <w:tab/>
      </w:r>
      <w:r w:rsidR="00EF21C8" w:rsidRPr="002B14C2">
        <w:t>formy poskytování sociálních služeb,</w:t>
      </w:r>
    </w:p>
    <w:p w14:paraId="53480CB9" w14:textId="77777777" w:rsidR="00EF21C8" w:rsidRPr="002B14C2" w:rsidRDefault="00847C53" w:rsidP="00847C53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0E1CE59C" w14:textId="77777777" w:rsidR="00EF21C8" w:rsidRPr="002B14C2" w:rsidRDefault="00847C53" w:rsidP="00847C53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05A14155" w14:textId="77777777" w:rsidR="00EF21C8" w:rsidRPr="002B14C2" w:rsidRDefault="00847C53" w:rsidP="00847C53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1653FB13" w14:textId="77777777" w:rsidR="002531C9" w:rsidRPr="002B14C2" w:rsidRDefault="006E56E3" w:rsidP="00EF21C8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036800">
        <w:br/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2ED3CD4A" w14:textId="77777777" w:rsidR="003665B8" w:rsidRDefault="006E56E3" w:rsidP="002A1901">
      <w:pPr>
        <w:pStyle w:val="Smlouva-slovn1"/>
      </w:pPr>
      <w:r>
        <w:t>10</w:t>
      </w:r>
      <w:r w:rsidR="002A1901">
        <w:t>.</w:t>
      </w:r>
      <w:r w:rsidR="002A1901">
        <w:tab/>
      </w:r>
      <w:r w:rsidR="003665B8" w:rsidRPr="002A1901">
        <w:t>V</w:t>
      </w:r>
      <w:r w:rsidR="00445941" w:rsidRPr="002A1901">
        <w:t xml:space="preserve"> případě, že v průběhu roku </w:t>
      </w:r>
      <w:r w:rsidR="007B0CDB">
        <w:t>2019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</w:t>
      </w:r>
      <w:r w:rsidR="003665B8" w:rsidRPr="002A1901">
        <w:lastRenderedPageBreak/>
        <w:t xml:space="preserve">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Část dotace určená k vrácení odpovídá rozdílu v tomtéž roce vyplacené </w:t>
      </w:r>
      <w:r w:rsidR="00AD3DF1" w:rsidRPr="002A1901">
        <w:t>dotace a</w:t>
      </w:r>
      <w:r w:rsidR="003665B8" w:rsidRPr="002A1901">
        <w:t xml:space="preserve"> nároku na plnění z </w:t>
      </w:r>
      <w:r w:rsidR="00D24031">
        <w:t>této Smlouvy</w:t>
      </w:r>
      <w:r w:rsidR="003665B8" w:rsidRPr="002A1901">
        <w:t>. Nárok na plnění z </w:t>
      </w:r>
      <w:r w:rsidR="00D24031">
        <w:t>této Smlouvy</w:t>
      </w:r>
      <w:r w:rsidR="003665B8" w:rsidRPr="002A1901">
        <w:t xml:space="preserve"> se stanoví jako násobek 1/12 dotace dle </w:t>
      </w:r>
      <w:r w:rsidR="000C7E41">
        <w:t>čl. IV. odst. 1.</w:t>
      </w:r>
      <w:r w:rsidR="003665B8" w:rsidRPr="002A1901">
        <w:t xml:space="preserve"> </w:t>
      </w:r>
      <w:r w:rsidR="00D24031">
        <w:t>této Smlouvy</w:t>
      </w:r>
      <w:r w:rsidR="003665B8" w:rsidRPr="002A1901">
        <w:t xml:space="preserve"> a počtu měsíců, za které náleží dotace dle </w:t>
      </w:r>
      <w:r w:rsidR="00D24031">
        <w:t>této Smlouvy</w:t>
      </w:r>
      <w:r w:rsidR="003665B8" w:rsidRPr="002A1901">
        <w:t xml:space="preserve">, zaokrouhlený na stovky nahoru. Rozhodným okamžikem vrácení finančních prostředků dotace na účet poskytovatele je den jejich připsání na účet poskytovatele. </w:t>
      </w:r>
    </w:p>
    <w:p w14:paraId="0E774B01" w14:textId="77777777" w:rsidR="00C20982" w:rsidRPr="006E56E3" w:rsidRDefault="006E56E3" w:rsidP="00C20982">
      <w:pPr>
        <w:pStyle w:val="Smlouva-slovn1"/>
      </w:pPr>
      <w:r w:rsidRPr="006E56E3"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118524E8" w14:textId="77777777" w:rsidR="00C20982" w:rsidRDefault="00C20982" w:rsidP="00C20982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3BE58CF5" w14:textId="77777777" w:rsidR="00597142" w:rsidRPr="006E56E3" w:rsidRDefault="006E56E3" w:rsidP="00C20982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705D6114" w14:textId="77777777" w:rsidR="008A6D0B" w:rsidRPr="002B14C2" w:rsidRDefault="00BF06D0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</w:t>
      </w:r>
      <w:r w:rsidR="00674783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>Kontrola, sankce</w:t>
      </w:r>
    </w:p>
    <w:p w14:paraId="49622072" w14:textId="77777777" w:rsidR="00F76DCE" w:rsidRDefault="003665B8" w:rsidP="00F76DC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121185">
        <w:t>Příjemce je povinen umožnit poskytovateli nebo jím pověřeným osobám provedení kontroly úrovně poskytování sociálních služeb</w:t>
      </w:r>
      <w:r w:rsidR="00B1483D">
        <w:t xml:space="preserve"> nebo úkony předcházející kontrole</w:t>
      </w:r>
      <w:r w:rsidR="00F76DCE" w:rsidRPr="00121185">
        <w:t>. Při této kontrole je příjemce povinen vyvíjet veškerou poskytovatelem požadovanou součinnost.</w:t>
      </w:r>
    </w:p>
    <w:p w14:paraId="548389B5" w14:textId="77777777" w:rsidR="00477235" w:rsidRPr="00477235" w:rsidRDefault="00477235" w:rsidP="00477235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5546CBDB" w14:textId="77777777" w:rsidR="0022019C" w:rsidRDefault="00477235" w:rsidP="00BA537A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18076801" w14:textId="77777777" w:rsidR="00B549B1" w:rsidRDefault="00B549B1" w:rsidP="00BA537A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144F2B">
        <w:t>I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6F2DA0DD" w14:textId="77777777" w:rsidR="00B549B1" w:rsidRDefault="00B549B1" w:rsidP="00B549B1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44812875" w14:textId="77777777" w:rsidR="008A6D0B" w:rsidRPr="002B14C2" w:rsidRDefault="00B0258D" w:rsidP="00BA537A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29F9F92E" w14:textId="77777777" w:rsidR="008A6D0B" w:rsidRPr="002B14C2" w:rsidRDefault="00B0258D" w:rsidP="00BA537A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75D92A08" w14:textId="77777777" w:rsidR="008A6D0B" w:rsidRPr="002B14C2" w:rsidRDefault="00E6430B" w:rsidP="00BA537A">
      <w:pPr>
        <w:pStyle w:val="Smlouva-slovn1"/>
      </w:pPr>
      <w:r>
        <w:lastRenderedPageBreak/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272E6A52" w14:textId="77777777" w:rsidR="008A6D0B" w:rsidRDefault="00E6430B" w:rsidP="00BA537A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3AB1978B" w14:textId="77777777" w:rsidR="00674783" w:rsidRPr="007D5CD2" w:rsidRDefault="00674783" w:rsidP="00674783">
      <w:pPr>
        <w:pStyle w:val="Smlouva-slovn1"/>
      </w:pPr>
      <w:r>
        <w:t>10.</w:t>
      </w:r>
      <w:r>
        <w:tab/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2670"/>
      </w:tblGrid>
      <w:tr w:rsidR="00674783" w:rsidRPr="00674783" w14:paraId="68B3599F" w14:textId="77777777" w:rsidTr="00B247EF">
        <w:trPr>
          <w:trHeight w:val="567"/>
          <w:tblHeader/>
          <w:jc w:val="center"/>
        </w:trPr>
        <w:tc>
          <w:tcPr>
            <w:tcW w:w="6340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7B79" w14:textId="77777777" w:rsidR="00674783" w:rsidRPr="00674783" w:rsidRDefault="00674783" w:rsidP="00B247EF">
            <w:pPr>
              <w:rPr>
                <w:rFonts w:eastAsia="Calibri" w:cs="Arial"/>
                <w:b/>
                <w:sz w:val="18"/>
                <w:szCs w:val="18"/>
              </w:rPr>
            </w:pPr>
            <w:r w:rsidRPr="00674783">
              <w:rPr>
                <w:rFonts w:eastAsia="Calibri" w:cs="Arial"/>
                <w:b/>
                <w:sz w:val="18"/>
                <w:szCs w:val="18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B1D7" w14:textId="77777777" w:rsidR="00674783" w:rsidRPr="00674783" w:rsidRDefault="00674783" w:rsidP="00B247EF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74783">
              <w:rPr>
                <w:rFonts w:eastAsia="Calibri" w:cs="Arial"/>
                <w:b/>
                <w:sz w:val="18"/>
                <w:szCs w:val="18"/>
              </w:rPr>
              <w:t xml:space="preserve">Výše odvodu </w:t>
            </w:r>
            <w:r w:rsidRPr="00674783">
              <w:rPr>
                <w:rFonts w:eastAsia="Calibri" w:cs="Arial"/>
                <w:b/>
                <w:sz w:val="18"/>
                <w:szCs w:val="18"/>
              </w:rPr>
              <w:br/>
              <w:t>v % z celkově poskytnuté dotace</w:t>
            </w:r>
          </w:p>
        </w:tc>
      </w:tr>
      <w:tr w:rsidR="00674783" w:rsidRPr="00674783" w14:paraId="3326E7EE" w14:textId="77777777" w:rsidTr="00B247EF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24C5" w14:textId="77777777" w:rsidR="00674783" w:rsidRPr="00674783" w:rsidRDefault="00674783" w:rsidP="00D946D3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Nedodržení povinnosti vést dotaci v účetnictví analyticky odděleně nebo na samostatném bankovním účtu, je-li tato povinnost uvedena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64A4" w14:textId="77777777" w:rsidR="00674783" w:rsidRPr="00674783" w:rsidRDefault="00674783" w:rsidP="00B247EF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19BB0CCE" w14:textId="77777777" w:rsidTr="00B247EF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7524" w14:textId="77777777" w:rsidR="00674783" w:rsidRPr="00674783" w:rsidRDefault="00674783" w:rsidP="00D946D3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Předložení vyúčtování a </w:t>
            </w:r>
            <w:r w:rsidRPr="00674783">
              <w:rPr>
                <w:sz w:val="18"/>
                <w:szCs w:val="18"/>
              </w:rPr>
              <w:t>informace o realizaci projektu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 s prodlením do 15 kalendářních dnů od data uvedeného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E48E" w14:textId="77777777" w:rsidR="00674783" w:rsidRPr="00674783" w:rsidRDefault="00674783" w:rsidP="00B247EF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2 %</w:t>
            </w:r>
          </w:p>
        </w:tc>
      </w:tr>
      <w:tr w:rsidR="00674783" w:rsidRPr="00674783" w14:paraId="3EB057E2" w14:textId="77777777" w:rsidTr="00B247EF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FFFF" w14:textId="77777777" w:rsidR="00674783" w:rsidRPr="00674783" w:rsidRDefault="00674783" w:rsidP="00D946D3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Předložení vyúčtování a </w:t>
            </w:r>
            <w:r w:rsidRPr="00674783">
              <w:rPr>
                <w:sz w:val="18"/>
                <w:szCs w:val="18"/>
              </w:rPr>
              <w:t xml:space="preserve">informace o realizaci projektu </w:t>
            </w:r>
            <w:r w:rsidRPr="00674783">
              <w:rPr>
                <w:rFonts w:eastAsia="Calibri" w:cs="Arial"/>
                <w:sz w:val="18"/>
                <w:szCs w:val="18"/>
              </w:rPr>
              <w:br/>
              <w:t xml:space="preserve">s prodlením do 30 kalendářních dnů od data uvedeného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A637" w14:textId="77777777" w:rsidR="00674783" w:rsidRPr="00674783" w:rsidRDefault="00674783" w:rsidP="00B247EF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3DCF02FD" w14:textId="77777777" w:rsidTr="00B247EF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5305" w14:textId="77777777" w:rsidR="00674783" w:rsidRPr="00674783" w:rsidRDefault="00674783" w:rsidP="00B247EF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Předložení doplněného vyúčtování a </w:t>
            </w:r>
            <w:r w:rsidRPr="00674783">
              <w:rPr>
                <w:sz w:val="18"/>
                <w:szCs w:val="18"/>
              </w:rPr>
              <w:t>informace o realizaci projektu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 s prodlením do 15 kalendářních dnů od marného uplynutí náhradní lhůty, uvedené ve výzvě k doplnění vyúčtování 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9918" w14:textId="77777777" w:rsidR="00674783" w:rsidRPr="00674783" w:rsidRDefault="00674783" w:rsidP="00B247EF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6ECDFD06" w14:textId="77777777" w:rsidTr="00B247EF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7282" w14:textId="77777777" w:rsidR="00674783" w:rsidRPr="00674783" w:rsidRDefault="00674783" w:rsidP="00D946D3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Nedodržení podmínek povinné propagace uvedených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D3D2" w14:textId="77777777" w:rsidR="00674783" w:rsidRPr="00674783" w:rsidRDefault="00674783" w:rsidP="00B247EF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788DEB9A" w14:textId="77777777" w:rsidTr="00B247EF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B1EF" w14:textId="77777777" w:rsidR="00674783" w:rsidRPr="00674783" w:rsidRDefault="00674783" w:rsidP="00D946D3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Porušení povinnosti informovat poskytovatele o změnách zakladatelské listiny, adresy sídla, bankovního spojení, statutárního zástupce, </w:t>
            </w:r>
            <w:r w:rsidRPr="00674783">
              <w:rPr>
                <w:sz w:val="18"/>
                <w:szCs w:val="18"/>
              </w:rPr>
              <w:t>kontaktních údajů (změna kontaktní osoby, telefonického spojení, emailové adresy), rozpočtu sociální služby, změnách v souvislosti se změnou (změna rozhodnutí o registraci) či zrušením registrace sociální služby, jakékoliv změně ve vztahu k poskytovateli, která by mohla významně ovlivnit hospodaření s dotací, z důvodu vyloučení možného rizika zneužití poskytnuté dotace, jakož i jiných změnách, které mohou podstatně ovlivnit způsob finančního hospodaření příjemce a náplň jeho aktivit ve vztahu k poskytnuté dotaci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, je-li tato povinnost uvedena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mlouvě. 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073F" w14:textId="77777777" w:rsidR="00674783" w:rsidRPr="00674783" w:rsidRDefault="00674783" w:rsidP="00B247EF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</w:tbl>
    <w:p w14:paraId="77946C7A" w14:textId="77777777" w:rsidR="008A6D0B" w:rsidRPr="002B14C2" w:rsidRDefault="00E6430B" w:rsidP="00BA537A">
      <w:pPr>
        <w:pStyle w:val="Smlouva-slovn1"/>
      </w:pPr>
      <w:r>
        <w:t>1</w:t>
      </w:r>
      <w:r w:rsidR="00674783">
        <w:t>1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14127624" w14:textId="77777777" w:rsidR="00406004" w:rsidRDefault="00E6430B" w:rsidP="00406004">
      <w:pPr>
        <w:pStyle w:val="Smlouva-slovn1"/>
      </w:pPr>
      <w:r>
        <w:t>1</w:t>
      </w:r>
      <w:r w:rsidR="00674783">
        <w:t>2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234AF342" w14:textId="77777777" w:rsidR="00E6430B" w:rsidRPr="002B14C2" w:rsidRDefault="00E6430B" w:rsidP="00E6430B">
      <w:pPr>
        <w:pStyle w:val="Smlouva-slovn1"/>
      </w:pPr>
      <w:r>
        <w:t>1</w:t>
      </w:r>
      <w:r w:rsidR="00674783">
        <w:t>3</w:t>
      </w:r>
      <w:r>
        <w:t>.</w:t>
      </w:r>
      <w:r>
        <w:tab/>
      </w:r>
      <w:r w:rsidRPr="002B14C2">
        <w:t xml:space="preserve">Poruší-li příjemce některou z povinností, která je uvedena v této </w:t>
      </w:r>
      <w:r w:rsidR="000B5394">
        <w:t>S</w:t>
      </w:r>
      <w:r w:rsidRPr="002B14C2">
        <w:t xml:space="preserve">mlouvě, je poskytovatel oprávněn tuto </w:t>
      </w:r>
      <w:r w:rsidR="000B5394">
        <w:rPr>
          <w:b/>
        </w:rPr>
        <w:t>S</w:t>
      </w:r>
      <w:r w:rsidRPr="003C2BBE">
        <w:rPr>
          <w:b/>
        </w:rPr>
        <w:t>mlouvu vypovědět</w:t>
      </w:r>
      <w:r w:rsidRPr="002B14C2">
        <w:t xml:space="preserve">. Výpověď musí mít písemnou formu a musí být prokazatelně doručena příjemci. Výpovědní doba činí 1 měsíc a počíná běžet dnem následujícím po dni, kdy byla příjemci výpověď prokazatelně doručena. Poskytovatel je rovněž oprávněn tuto </w:t>
      </w:r>
      <w:r w:rsidR="000B5394">
        <w:t>S</w:t>
      </w:r>
      <w:r w:rsidRPr="002B14C2">
        <w:t xml:space="preserve">mlouvu vypovědět, poruší-li příjemce zvlášť hrubým způsobem povinnosti vyplývající mu z </w:t>
      </w:r>
      <w:r w:rsidR="00D24031">
        <w:t>této Smlouvy</w:t>
      </w:r>
      <w:r w:rsidRPr="002B14C2">
        <w:t>. Výpovědní doba v tomto případě činí 10 dnů</w:t>
      </w:r>
      <w:r w:rsidR="008A7F6C">
        <w:t xml:space="preserve"> </w:t>
      </w:r>
      <w:r w:rsidR="008A7F6C" w:rsidRPr="002B14C2">
        <w:t>a počíná běžet dnem následujícím po dni, kdy byla příjemci výpověď prokazatelně doručena</w:t>
      </w:r>
      <w:r w:rsidRPr="002B14C2">
        <w:t xml:space="preserve">. Za zvlášť hrubé porušení se považuje </w:t>
      </w:r>
      <w:r w:rsidR="009161F5">
        <w:t xml:space="preserve">zejména </w:t>
      </w:r>
      <w:r w:rsidRPr="002B14C2">
        <w:t xml:space="preserve">porušení povinnosti </w:t>
      </w:r>
      <w:r w:rsidR="009161F5">
        <w:t xml:space="preserve">poskytovat sociální službu </w:t>
      </w:r>
      <w:r w:rsidRPr="002B14C2">
        <w:t>uveden</w:t>
      </w:r>
      <w:r w:rsidR="009161F5">
        <w:t xml:space="preserve">ou </w:t>
      </w:r>
      <w:r w:rsidRPr="002B14C2">
        <w:t xml:space="preserve">v </w:t>
      </w:r>
      <w:r w:rsidR="009161F5">
        <w:br/>
      </w:r>
      <w:r w:rsidR="000C7E41">
        <w:t>čl. IV. odst. 1.</w:t>
      </w:r>
      <w:r w:rsidRPr="002B14C2">
        <w:t xml:space="preserve"> </w:t>
      </w:r>
      <w:r w:rsidR="00D24031">
        <w:t>této Smlouvy</w:t>
      </w:r>
      <w:r w:rsidRPr="002B14C2">
        <w:t>. Nárok na plnění z </w:t>
      </w:r>
      <w:r w:rsidR="00D24031">
        <w:t>této Smlouvy</w:t>
      </w:r>
      <w:r w:rsidRPr="002B14C2">
        <w:t xml:space="preserve"> končí uplynutím výpovědní doby. Příjemce je povinen ve lhůtě</w:t>
      </w:r>
      <w:r w:rsidR="009161F5">
        <w:t xml:space="preserve"> </w:t>
      </w:r>
      <w:r w:rsidRPr="002B14C2">
        <w:t xml:space="preserve">do 15 dnů od uplynutí výpovědní doby vrátit poskytovateli na účet uvedený ve </w:t>
      </w:r>
      <w:r w:rsidR="000B5394">
        <w:t>S</w:t>
      </w:r>
      <w:r w:rsidRPr="002B14C2">
        <w:t>mlouvě odpovídající část vyplacené dotace</w:t>
      </w:r>
      <w:r>
        <w:t xml:space="preserve"> a </w:t>
      </w:r>
      <w:r w:rsidRPr="002B14C2">
        <w:t xml:space="preserve">zároveň ve stejné lhůtě předložit poskytovateli finanční vypořádání dotace. </w:t>
      </w:r>
      <w:r w:rsidRPr="002A04AE">
        <w:t>Část dotace určená k vrácení odpovídá rozdílu v tomtéž roce vyplacené dotace a nároku na plnění z </w:t>
      </w:r>
      <w:r w:rsidR="00D24031">
        <w:t>této Smlouvy</w:t>
      </w:r>
      <w:r w:rsidRPr="002A04AE">
        <w:t>. Nárok na plnění z </w:t>
      </w:r>
      <w:r w:rsidR="00D24031">
        <w:t>této Smlouvy</w:t>
      </w:r>
      <w:r w:rsidRPr="002A04AE">
        <w:t xml:space="preserve"> se stanoví jako násobek 1/12 </w:t>
      </w:r>
      <w:r>
        <w:t xml:space="preserve">dotace dle </w:t>
      </w:r>
      <w:r w:rsidR="000C7E41">
        <w:t>čl. IV. odst. 1.</w:t>
      </w:r>
      <w:r w:rsidRPr="002A04AE">
        <w:t xml:space="preserve"> </w:t>
      </w:r>
      <w:r w:rsidR="00D24031">
        <w:t>této Smlouvy</w:t>
      </w:r>
      <w:r w:rsidR="00B958E3">
        <w:t xml:space="preserve"> </w:t>
      </w:r>
      <w:r w:rsidRPr="002A04AE">
        <w:t xml:space="preserve">a počtu </w:t>
      </w:r>
      <w:r w:rsidRPr="002A04AE">
        <w:lastRenderedPageBreak/>
        <w:t>měsíců,</w:t>
      </w:r>
      <w:r>
        <w:t xml:space="preserve"> </w:t>
      </w:r>
      <w:r w:rsidRPr="002A04AE">
        <w:t>za které náleží</w:t>
      </w:r>
      <w:r>
        <w:t xml:space="preserve"> </w:t>
      </w:r>
      <w:r w:rsidRPr="00E0777F">
        <w:t xml:space="preserve">dotace </w:t>
      </w:r>
      <w:r w:rsidRPr="002A04AE">
        <w:t xml:space="preserve">dle </w:t>
      </w:r>
      <w:r w:rsidR="00D24031">
        <w:t>této Smlouvy</w:t>
      </w:r>
      <w:r w:rsidRPr="002A04AE">
        <w:t>, zaokrouhlený na stovky nahoru.</w:t>
      </w:r>
      <w:r w:rsidRPr="002B14C2">
        <w:t xml:space="preserve"> Rozhodným okamžikem vrácení finančních prostředků dotace na účet poskytovatele je den jejich připsání na účet poskytovatele.</w:t>
      </w:r>
      <w:r w:rsidRPr="002B14C2">
        <w:rPr>
          <w:i/>
        </w:rPr>
        <w:t xml:space="preserve"> </w:t>
      </w:r>
    </w:p>
    <w:p w14:paraId="0D62FCF4" w14:textId="77777777" w:rsidR="008A6D0B" w:rsidRPr="002B14C2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12622F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298EC52E" w14:textId="77777777" w:rsidR="008A6D0B" w:rsidRPr="002B14C2" w:rsidRDefault="00A248CF" w:rsidP="00406004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1203CD">
        <w:rPr>
          <w:bCs/>
        </w:rPr>
        <w:t>2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k výkonu služby obecného hospodářského zájmu</w:t>
      </w:r>
      <w:r w:rsidR="006719F4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7B0CDB">
        <w:t>2019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652F3373" w14:textId="77777777" w:rsidR="008D754E" w:rsidRPr="002B14C2" w:rsidRDefault="00D80AF3" w:rsidP="00406004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5ED5B664" w14:textId="77777777" w:rsidR="00691016" w:rsidRPr="002B14C2" w:rsidRDefault="00D80AF3" w:rsidP="00406004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47C2FE95" w14:textId="1D6E3B0F" w:rsidR="008B15E5" w:rsidRPr="007141E7" w:rsidRDefault="00D80AF3" w:rsidP="00406004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8B15E5" w:rsidRPr="009147BC">
        <w:t>Příjemce bere na vědomí, že na</w:t>
      </w:r>
      <w:r w:rsidR="009147BC" w:rsidRPr="007141E7">
        <w:t xml:space="preserve"> službu obecně hospodářského zájmu, která je financována dle této smlouvy</w:t>
      </w:r>
      <w:r w:rsidR="007141E7">
        <w:t>,</w:t>
      </w:r>
      <w:r w:rsidR="0047259A" w:rsidRPr="009147BC">
        <w:t xml:space="preserve"> </w:t>
      </w:r>
      <w:r w:rsidR="008B15E5" w:rsidRPr="007141E7">
        <w:t xml:space="preserve">nesmí přijmout podporu de </w:t>
      </w:r>
      <w:proofErr w:type="spellStart"/>
      <w:r w:rsidR="008B15E5" w:rsidRPr="007141E7">
        <w:t>minimis</w:t>
      </w:r>
      <w:proofErr w:type="spellEnd"/>
      <w:r w:rsidR="001C1DD7" w:rsidRPr="009147BC">
        <w:t xml:space="preserve">, </w:t>
      </w:r>
      <w:r w:rsidR="00C01C86" w:rsidRPr="009147BC">
        <w:t>která je poskytována za splnění podmínek Nařízení Komise (EU) č. 360/2012 ze dne 25. 4. 2012</w:t>
      </w:r>
      <w:r w:rsidR="008B15E5" w:rsidRPr="007141E7">
        <w:t xml:space="preserve">, jinak se vystavuje nebezpečí vrácení dotace. </w:t>
      </w:r>
    </w:p>
    <w:p w14:paraId="1EAD7552" w14:textId="77777777" w:rsidR="00911901" w:rsidRPr="001B766A" w:rsidRDefault="00D80AF3" w:rsidP="00911901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9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7F7A806F" w14:textId="77777777" w:rsidR="001753C6" w:rsidRPr="00990C57" w:rsidRDefault="00D80AF3" w:rsidP="00406004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199E24A1" w14:textId="77777777" w:rsidR="00254FBC" w:rsidRDefault="008F5B26" w:rsidP="00F21CE3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62EFE32B" w14:textId="77777777" w:rsidR="007D452C" w:rsidRDefault="008F5B26" w:rsidP="00F21CE3">
      <w:pPr>
        <w:pStyle w:val="Smlouva-slovn1"/>
      </w:pPr>
      <w:r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27EAC8AE" w14:textId="77777777" w:rsidR="00911901" w:rsidRPr="00990C57" w:rsidRDefault="008F5B26" w:rsidP="00911901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75218FCD" w14:textId="77777777" w:rsidR="00911901" w:rsidRPr="00990C57" w:rsidRDefault="008F5B26" w:rsidP="00911901">
      <w:pPr>
        <w:pStyle w:val="Smlouva-slovn1"/>
      </w:pPr>
      <w:r>
        <w:t>10</w:t>
      </w:r>
      <w:r w:rsidR="00911901">
        <w:t>.</w:t>
      </w:r>
      <w:r w:rsidR="00911901">
        <w:tab/>
      </w:r>
      <w:r w:rsidR="00911901" w:rsidRPr="00990C57">
        <w:t xml:space="preserve">Smlouva je sepsána ve </w:t>
      </w:r>
      <w:r w:rsidR="00911901">
        <w:t>třech</w:t>
      </w:r>
      <w:r w:rsidR="00911901" w:rsidRPr="00990C57">
        <w:t xml:space="preserve"> vyhotoveních s platností originálu, z nichž </w:t>
      </w:r>
      <w:r w:rsidR="00911901">
        <w:t>dvě</w:t>
      </w:r>
      <w:r w:rsidR="00911901" w:rsidRPr="00990C57">
        <w:t xml:space="preserve"> obdrží poskytovatel a jedno příjemce.</w:t>
      </w:r>
    </w:p>
    <w:p w14:paraId="2396AE73" w14:textId="77777777" w:rsidR="00990C57" w:rsidRPr="00DB6207" w:rsidRDefault="008F5B26" w:rsidP="00406004">
      <w:pPr>
        <w:pStyle w:val="Smlouva-slovn1"/>
      </w:pPr>
      <w:r>
        <w:lastRenderedPageBreak/>
        <w:t>11</w:t>
      </w:r>
      <w:r w:rsidR="00911901">
        <w:t>.</w:t>
      </w:r>
      <w:r w:rsidR="00911901">
        <w:tab/>
      </w:r>
      <w:r w:rsidR="00DB6207" w:rsidRPr="00DB6207">
        <w:t xml:space="preserve">Smluvní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66AF38BB" w14:textId="77777777" w:rsidR="00911901" w:rsidRDefault="008F5B26" w:rsidP="00911901">
      <w:pPr>
        <w:pStyle w:val="Smlouva-slovn1"/>
      </w:pPr>
      <w:r>
        <w:t>12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vlastnoruční podpisy.</w:t>
      </w:r>
    </w:p>
    <w:p w14:paraId="6B205EA8" w14:textId="77777777" w:rsidR="000D529A" w:rsidRDefault="008F5B26" w:rsidP="000D529A">
      <w:pPr>
        <w:pStyle w:val="Smlouva-slovn1"/>
      </w:pPr>
      <w:r>
        <w:t>13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0D529A">
        <w:t>2019</w:t>
      </w:r>
      <w:r w:rsidR="000D529A" w:rsidRPr="00990C57">
        <w:t xml:space="preserve"> ze dne </w:t>
      </w:r>
      <w:proofErr w:type="spellStart"/>
      <w:r w:rsidR="000D529A">
        <w:t>xx</w:t>
      </w:r>
      <w:proofErr w:type="spellEnd"/>
      <w:r w:rsidR="000D529A">
        <w:t xml:space="preserve">. </w:t>
      </w:r>
      <w:proofErr w:type="spellStart"/>
      <w:r w:rsidR="000D529A">
        <w:t>xx</w:t>
      </w:r>
      <w:proofErr w:type="spellEnd"/>
      <w:r w:rsidR="000D529A">
        <w:t>. 2019</w:t>
      </w:r>
      <w:r w:rsidR="000D529A" w:rsidRPr="00990C57">
        <w:t>.</w:t>
      </w:r>
    </w:p>
    <w:p w14:paraId="53DC557B" w14:textId="77777777" w:rsidR="000D529A" w:rsidRDefault="000D529A" w:rsidP="00911901">
      <w:pPr>
        <w:pStyle w:val="Smlouva-slovn1"/>
      </w:pPr>
    </w:p>
    <w:p w14:paraId="46C832AA" w14:textId="77777777" w:rsidR="00A725AC" w:rsidRDefault="00A725AC" w:rsidP="00911901">
      <w:pPr>
        <w:pStyle w:val="Smlouva-slovn1"/>
      </w:pPr>
    </w:p>
    <w:p w14:paraId="094C7B94" w14:textId="77777777"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1ED9C21E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562D8BBF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2C56F3F5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</w:t>
            </w:r>
            <w:proofErr w:type="gramStart"/>
            <w:r w:rsidRPr="002B14C2">
              <w:rPr>
                <w:rFonts w:cs="Arial"/>
                <w:szCs w:val="22"/>
              </w:rPr>
              <w:t>…..…</w:t>
            </w:r>
            <w:proofErr w:type="gramEnd"/>
            <w:r w:rsidRPr="002B14C2">
              <w:rPr>
                <w:rFonts w:cs="Arial"/>
                <w:szCs w:val="22"/>
              </w:rPr>
              <w:t>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14:paraId="0431CF6C" w14:textId="77777777" w:rsidTr="000C0E9C">
        <w:trPr>
          <w:trHeight w:val="397"/>
        </w:trPr>
        <w:tc>
          <w:tcPr>
            <w:tcW w:w="4606" w:type="dxa"/>
            <w:shd w:val="clear" w:color="auto" w:fill="auto"/>
          </w:tcPr>
          <w:p w14:paraId="22F8B0A6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399D892D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14:paraId="6BA45804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AD17509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</w:p>
          <w:p w14:paraId="70839D2E" w14:textId="77777777" w:rsidR="00F54E5A" w:rsidRPr="002B14C2" w:rsidRDefault="00F54E5A" w:rsidP="000C0E9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14:paraId="3E902EA5" w14:textId="77777777" w:rsidTr="000C0E9C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05EF1052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F51C21A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14:paraId="0A95E53D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3C5A498E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EC4AFB7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Jméno</w:t>
            </w:r>
          </w:p>
        </w:tc>
      </w:tr>
      <w:tr w:rsidR="00F54E5A" w:rsidRPr="002B14C2" w14:paraId="7C6B2E38" w14:textId="77777777" w:rsidTr="000C0E9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3387FC0D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02DD3C9E" w14:textId="77777777" w:rsidR="00F54E5A" w:rsidRPr="002B14C2" w:rsidRDefault="00F54E5A" w:rsidP="000C0E9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t>funkce</w:t>
            </w:r>
          </w:p>
        </w:tc>
      </w:tr>
    </w:tbl>
    <w:p w14:paraId="36D91CB9" w14:textId="77777777"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422FB1DC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14:paraId="3AC717CB" w14:textId="77777777" w:rsidR="00C648D1" w:rsidRDefault="00C648D1" w:rsidP="00330E75">
      <w:pPr>
        <w:spacing w:line="0" w:lineRule="atLeast"/>
        <w:rPr>
          <w:rFonts w:cs="Arial"/>
          <w:szCs w:val="22"/>
        </w:rPr>
      </w:pPr>
    </w:p>
    <w:p w14:paraId="02E89C8B" w14:textId="77777777" w:rsidR="00B8076D" w:rsidRDefault="00B8076D" w:rsidP="00330E75">
      <w:pPr>
        <w:spacing w:line="0" w:lineRule="atLeast"/>
        <w:rPr>
          <w:rFonts w:cs="Arial"/>
          <w:szCs w:val="22"/>
        </w:rPr>
      </w:pPr>
    </w:p>
    <w:p w14:paraId="30CA3326" w14:textId="77777777" w:rsidR="0005489A" w:rsidRDefault="0005489A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58190A8D" w14:textId="77777777" w:rsidR="0005489A" w:rsidRPr="0005489A" w:rsidRDefault="0005489A" w:rsidP="00D615E6">
      <w:pPr>
        <w:rPr>
          <w:rFonts w:cs="Arial"/>
        </w:rPr>
      </w:pPr>
      <w:r w:rsidRPr="0005489A">
        <w:rPr>
          <w:rFonts w:cs="Arial"/>
          <w:b/>
          <w:bCs/>
          <w:sz w:val="24"/>
          <w:u w:val="single"/>
        </w:rPr>
        <w:lastRenderedPageBreak/>
        <w:t>Finanční vyúčtování dotace</w:t>
      </w:r>
    </w:p>
    <w:p w14:paraId="53B6BA95" w14:textId="77777777" w:rsidR="0005489A" w:rsidRPr="0005489A" w:rsidRDefault="0005489A" w:rsidP="0005489A">
      <w:pPr>
        <w:spacing w:before="120"/>
        <w:rPr>
          <w:rFonts w:cs="Arial"/>
          <w:b/>
          <w:bCs/>
        </w:rPr>
      </w:pPr>
      <w:r w:rsidRPr="0005489A">
        <w:rPr>
          <w:rFonts w:cs="Arial"/>
          <w:b/>
          <w:bCs/>
        </w:rPr>
        <w:t xml:space="preserve">příloha č. 1 ke smlouvě o poskytnutí dotace s ………. </w:t>
      </w:r>
      <w:proofErr w:type="gramStart"/>
      <w:r w:rsidRPr="0005489A">
        <w:rPr>
          <w:rFonts w:cs="Arial"/>
          <w:b/>
          <w:bCs/>
        </w:rPr>
        <w:t>ze</w:t>
      </w:r>
      <w:proofErr w:type="gramEnd"/>
      <w:r w:rsidRPr="0005489A">
        <w:rPr>
          <w:rFonts w:cs="Arial"/>
          <w:b/>
          <w:bCs/>
        </w:rPr>
        <w:t xml:space="preserve"> dne …</w:t>
      </w:r>
    </w:p>
    <w:p w14:paraId="2420CD88" w14:textId="77777777" w:rsidR="0005489A" w:rsidRPr="001361B2" w:rsidRDefault="0005489A" w:rsidP="0005489A"/>
    <w:p w14:paraId="1979A75C" w14:textId="77777777" w:rsidR="0005489A" w:rsidRPr="001361B2" w:rsidRDefault="0005489A" w:rsidP="0005489A"/>
    <w:tbl>
      <w:tblPr>
        <w:tblW w:w="97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05489A" w:rsidRPr="001361B2" w14:paraId="7F87FB88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163CCD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14:paraId="4F277025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061608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46D38F9E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98D50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14:paraId="353F081C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26F00A" w14:textId="77777777" w:rsidR="0005489A" w:rsidRPr="001361B2" w:rsidRDefault="0005489A" w:rsidP="00D615E6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05489A" w:rsidRPr="001361B2" w14:paraId="04E22398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396E06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IČ</w:t>
            </w:r>
            <w:r>
              <w:rPr>
                <w:rFonts w:cs="Arial"/>
                <w:b/>
                <w:bCs/>
                <w:sz w:val="20"/>
              </w:rPr>
              <w:t xml:space="preserve">O </w:t>
            </w:r>
            <w:r w:rsidRPr="001361B2">
              <w:rPr>
                <w:rFonts w:cs="Arial"/>
                <w:b/>
                <w:bCs/>
                <w:sz w:val="20"/>
              </w:rPr>
              <w:t xml:space="preserve">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3EBCE9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3AB051BA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7C35BD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26845B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4D62CBBE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3C2F07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E4ECF2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308EAE74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2F0AF8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C4A8DB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1083BF4A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C76A42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44692D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</w:tc>
      </w:tr>
      <w:tr w:rsidR="0005489A" w:rsidRPr="001361B2" w14:paraId="1F763338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4E287D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741C80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529C8642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7A138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0ABD3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17E0926D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76C30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5E61F4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7073206D" w14:textId="77777777" w:rsidTr="00D615E6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5E2FB3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14:paraId="4158A02C" w14:textId="77777777" w:rsidR="0005489A" w:rsidRPr="001361B2" w:rsidRDefault="0005489A" w:rsidP="00D615E6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059008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05489A" w:rsidRPr="001361B2" w14:paraId="75F775B7" w14:textId="77777777" w:rsidTr="00D615E6">
        <w:trPr>
          <w:trHeight w:val="31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FE52C" w14:textId="77777777" w:rsidR="0005489A" w:rsidRPr="001361B2" w:rsidRDefault="0005489A" w:rsidP="00D615E6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05489A" w:rsidRPr="001361B2" w14:paraId="1151295E" w14:textId="77777777" w:rsidTr="00D615E6">
        <w:trPr>
          <w:trHeight w:val="300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16BD82E" w14:textId="77777777" w:rsidR="0005489A" w:rsidRPr="001361B2" w:rsidRDefault="0005489A" w:rsidP="00D615E6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proofErr w:type="gramStart"/>
            <w:r w:rsidRPr="001361B2">
              <w:rPr>
                <w:rFonts w:cs="Arial"/>
                <w:b/>
                <w:bCs/>
                <w:szCs w:val="22"/>
              </w:rPr>
              <w:t>dotace  x  Soupis</w:t>
            </w:r>
            <w:proofErr w:type="gramEnd"/>
            <w:r w:rsidRPr="001361B2">
              <w:rPr>
                <w:rFonts w:cs="Arial"/>
                <w:b/>
                <w:bCs/>
                <w:szCs w:val="22"/>
              </w:rPr>
              <w:t xml:space="preserve"> celkových uskutečněných výdajů na akci *)</w:t>
            </w:r>
          </w:p>
        </w:tc>
      </w:tr>
      <w:tr w:rsidR="0005489A" w:rsidRPr="001361B2" w14:paraId="0CBAC9D2" w14:textId="77777777" w:rsidTr="00D615E6">
        <w:trPr>
          <w:trHeight w:val="1052"/>
          <w:jc w:val="center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A7A7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ADD4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50BD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61BD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6BE6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2108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číslo dokladu, prokazují- </w:t>
            </w: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cího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1EE1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51A9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částka      v </w:t>
            </w:r>
            <w:proofErr w:type="gramStart"/>
            <w:r w:rsidRPr="001361B2">
              <w:rPr>
                <w:rFonts w:cs="Arial"/>
                <w:bCs/>
                <w:sz w:val="16"/>
                <w:szCs w:val="16"/>
              </w:rPr>
              <w:t>Kč         (vč.</w:t>
            </w:r>
            <w:proofErr w:type="gramEnd"/>
            <w:r w:rsidRPr="001361B2">
              <w:rPr>
                <w:rFonts w:cs="Arial"/>
                <w:bCs/>
                <w:sz w:val="16"/>
                <w:szCs w:val="16"/>
              </w:rPr>
              <w:t xml:space="preserve">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BE0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částka             v </w:t>
            </w:r>
            <w:proofErr w:type="gramStart"/>
            <w:r w:rsidRPr="001361B2">
              <w:rPr>
                <w:rFonts w:cs="Arial"/>
                <w:bCs/>
                <w:sz w:val="16"/>
                <w:szCs w:val="16"/>
              </w:rPr>
              <w:t>Kč          (bez</w:t>
            </w:r>
            <w:proofErr w:type="gramEnd"/>
            <w:r w:rsidRPr="001361B2">
              <w:rPr>
                <w:rFonts w:cs="Arial"/>
                <w:bCs/>
                <w:sz w:val="16"/>
                <w:szCs w:val="16"/>
              </w:rPr>
              <w:t xml:space="preserve">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7B6768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AAAE4" w14:textId="77777777" w:rsidR="0005489A" w:rsidRPr="001361B2" w:rsidRDefault="0005489A" w:rsidP="00D615E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Uplatně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- </w:t>
            </w:r>
            <w:proofErr w:type="spellStart"/>
            <w:r w:rsidRPr="001361B2">
              <w:rPr>
                <w:rFonts w:cs="Arial"/>
                <w:bCs/>
                <w:sz w:val="16"/>
                <w:szCs w:val="16"/>
              </w:rPr>
              <w:t>né</w:t>
            </w:r>
            <w:proofErr w:type="spellEnd"/>
            <w:r w:rsidRPr="001361B2">
              <w:rPr>
                <w:rFonts w:cs="Arial"/>
                <w:bCs/>
                <w:sz w:val="16"/>
                <w:szCs w:val="16"/>
              </w:rPr>
              <w:t xml:space="preserve"> výdaje zaúčtované v účetnictví na účet č.</w:t>
            </w:r>
          </w:p>
        </w:tc>
      </w:tr>
      <w:tr w:rsidR="0005489A" w:rsidRPr="001361B2" w14:paraId="29F14F2B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315D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9FD7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DA0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90C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897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C21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B5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96A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07E6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D4208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AEADF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547AA40C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FC8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09E7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B45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3EA3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A77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64A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3DC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E71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B05E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8DE00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D780F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2321CCD2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3BE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A53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697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4B2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1AB7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9D4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4227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7CB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6CC0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D1370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F8EB0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2F428881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4C0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D48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52D8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9DFD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B5BF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3B1F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1330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0D40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930E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161A4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FA37F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27E8212B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7B0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98C8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228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324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547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392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06D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D58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9303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C0F2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DAB7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556AD3CA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2AC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5BC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C2D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C59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CAE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334D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BE9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0B8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1B7A2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A463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5A01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2624B70E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D2E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486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2C3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74D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A97C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CF2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6549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721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EDA2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7309A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6AB4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32E7FD64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50C7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C11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ED7D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AA5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25A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1ACF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584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91C3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AAF3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FE45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C7828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3E45C163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B89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B1AD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FE4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FD9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A556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840B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95DA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AFB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C34841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7EAD6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8EC1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0D353C59" w14:textId="77777777" w:rsidTr="00D615E6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8D20D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037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64F7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19E4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2893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8D35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033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5FF2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BB8508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EB4DA3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E35DE" w14:textId="77777777" w:rsidR="0005489A" w:rsidRPr="001361B2" w:rsidRDefault="0005489A" w:rsidP="00D615E6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05489A" w:rsidRPr="001361B2" w14:paraId="4A82949B" w14:textId="77777777" w:rsidTr="00D615E6">
        <w:trPr>
          <w:trHeight w:val="300"/>
          <w:jc w:val="center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8ECBC" w14:textId="77777777" w:rsidR="0005489A" w:rsidRDefault="0005489A" w:rsidP="00D615E6">
            <w:pPr>
              <w:rPr>
                <w:rFonts w:cs="Arial"/>
                <w:b/>
                <w:bCs/>
                <w:szCs w:val="22"/>
              </w:rPr>
            </w:pPr>
          </w:p>
          <w:p w14:paraId="447ED04C" w14:textId="77777777" w:rsidR="0005489A" w:rsidRDefault="0005489A" w:rsidP="00D615E6">
            <w:pPr>
              <w:rPr>
                <w:rFonts w:cs="Arial"/>
                <w:b/>
                <w:bCs/>
                <w:szCs w:val="22"/>
              </w:rPr>
            </w:pPr>
          </w:p>
          <w:p w14:paraId="5009D1F2" w14:textId="77777777" w:rsidR="0005489A" w:rsidRPr="001361B2" w:rsidRDefault="0005489A" w:rsidP="00D615E6">
            <w:pPr>
              <w:rPr>
                <w:rFonts w:cs="Arial"/>
                <w:b/>
                <w:bCs/>
                <w:szCs w:val="22"/>
              </w:rPr>
            </w:pPr>
          </w:p>
          <w:p w14:paraId="23C7FEB1" w14:textId="77777777" w:rsidR="0005489A" w:rsidRPr="001361B2" w:rsidRDefault="0005489A" w:rsidP="00D615E6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05489A" w:rsidRPr="001361B2" w14:paraId="165C31EB" w14:textId="77777777" w:rsidTr="00D615E6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2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1"/>
              <w:gridCol w:w="3960"/>
              <w:gridCol w:w="2700"/>
            </w:tblGrid>
            <w:tr w:rsidR="0005489A" w:rsidRPr="001361B2" w14:paraId="2D5191BF" w14:textId="77777777" w:rsidTr="00D615E6">
              <w:trPr>
                <w:trHeight w:val="170"/>
              </w:trPr>
              <w:tc>
                <w:tcPr>
                  <w:tcW w:w="2961" w:type="dxa"/>
                  <w:shd w:val="clear" w:color="auto" w:fill="auto"/>
                </w:tcPr>
                <w:p w14:paraId="0E8BE304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2790C8BA" w14:textId="77777777" w:rsidR="0005489A" w:rsidRPr="001361B2" w:rsidRDefault="0005489A" w:rsidP="00D615E6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78714ADA" w14:textId="77777777" w:rsidR="0005489A" w:rsidRPr="001361B2" w:rsidRDefault="0005489A" w:rsidP="00D615E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05489A" w:rsidRPr="001361B2" w14:paraId="6349E493" w14:textId="77777777" w:rsidTr="00D615E6">
              <w:trPr>
                <w:trHeight w:val="93"/>
              </w:trPr>
              <w:tc>
                <w:tcPr>
                  <w:tcW w:w="2961" w:type="dxa"/>
                  <w:shd w:val="clear" w:color="auto" w:fill="auto"/>
                </w:tcPr>
                <w:p w14:paraId="2D510C4D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1951BD7E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6FDF443E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489A" w:rsidRPr="001361B2" w14:paraId="16CD1F2E" w14:textId="77777777" w:rsidTr="00D615E6">
              <w:trPr>
                <w:trHeight w:val="93"/>
              </w:trPr>
              <w:tc>
                <w:tcPr>
                  <w:tcW w:w="2961" w:type="dxa"/>
                  <w:shd w:val="clear" w:color="auto" w:fill="auto"/>
                </w:tcPr>
                <w:p w14:paraId="24D2C487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4CA42D0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E720240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489A" w:rsidRPr="001361B2" w14:paraId="42A4F9CE" w14:textId="77777777" w:rsidTr="00D615E6">
              <w:trPr>
                <w:trHeight w:val="170"/>
              </w:trPr>
              <w:tc>
                <w:tcPr>
                  <w:tcW w:w="2961" w:type="dxa"/>
                  <w:shd w:val="clear" w:color="auto" w:fill="auto"/>
                </w:tcPr>
                <w:p w14:paraId="5631D797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51289851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D683AD0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5489A" w:rsidRPr="001361B2" w14:paraId="03BA8C0A" w14:textId="77777777" w:rsidTr="00D615E6">
              <w:trPr>
                <w:trHeight w:val="170"/>
              </w:trPr>
              <w:tc>
                <w:tcPr>
                  <w:tcW w:w="2961" w:type="dxa"/>
                  <w:shd w:val="clear" w:color="auto" w:fill="auto"/>
                </w:tcPr>
                <w:p w14:paraId="4E102F2C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5DEE94EE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24D46885" w14:textId="77777777" w:rsidR="0005489A" w:rsidRPr="001361B2" w:rsidRDefault="0005489A" w:rsidP="00D615E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269B0751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  <w:p w14:paraId="2474844C" w14:textId="77777777" w:rsidR="0005489A" w:rsidRDefault="0005489A" w:rsidP="00D615E6">
            <w:pPr>
              <w:rPr>
                <w:rFonts w:cs="Arial"/>
                <w:sz w:val="20"/>
              </w:rPr>
            </w:pPr>
          </w:p>
          <w:p w14:paraId="2504113B" w14:textId="77777777" w:rsidR="0005489A" w:rsidRDefault="0005489A" w:rsidP="00D615E6">
            <w:pPr>
              <w:rPr>
                <w:rFonts w:cs="Arial"/>
                <w:sz w:val="20"/>
              </w:rPr>
            </w:pPr>
          </w:p>
          <w:p w14:paraId="2815D210" w14:textId="77777777" w:rsidR="0005489A" w:rsidRDefault="0005489A" w:rsidP="00D615E6">
            <w:pPr>
              <w:rPr>
                <w:rFonts w:cs="Arial"/>
                <w:sz w:val="20"/>
              </w:rPr>
            </w:pPr>
          </w:p>
          <w:p w14:paraId="68286A2E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  <w:p w14:paraId="717E53A7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05489A" w:rsidRPr="001361B2" w14:paraId="495069EE" w14:textId="77777777" w:rsidTr="00D615E6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CEC6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</w:tc>
      </w:tr>
      <w:tr w:rsidR="0005489A" w:rsidRPr="001361B2" w14:paraId="74A438E2" w14:textId="77777777" w:rsidTr="00D615E6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ADCC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05489A" w:rsidRPr="001361B2" w14:paraId="07BA7E59" w14:textId="77777777" w:rsidTr="00D615E6">
        <w:trPr>
          <w:trHeight w:val="510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2724C5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05489A" w:rsidRPr="001361B2" w14:paraId="14BB54A1" w14:textId="77777777" w:rsidTr="00D615E6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DB93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  <w:p w14:paraId="152D5592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  <w:p w14:paraId="07387A3D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</w:p>
          <w:p w14:paraId="1CB6327B" w14:textId="77777777" w:rsidR="0005489A" w:rsidRPr="001361B2" w:rsidRDefault="0005489A" w:rsidP="00D615E6">
            <w:pPr>
              <w:rPr>
                <w:rFonts w:cs="Arial"/>
                <w:sz w:val="20"/>
              </w:rPr>
            </w:pPr>
            <w:proofErr w:type="gramStart"/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</w:t>
            </w:r>
            <w:proofErr w:type="gramEnd"/>
            <w:r w:rsidRPr="001361B2">
              <w:rPr>
                <w:rFonts w:cs="Arial"/>
                <w:sz w:val="18"/>
                <w:szCs w:val="18"/>
              </w:rPr>
              <w:t xml:space="preserve"> se vypustit</w:t>
            </w:r>
          </w:p>
        </w:tc>
      </w:tr>
      <w:tr w:rsidR="0005489A" w:rsidRPr="001361B2" w14:paraId="30C95BB6" w14:textId="77777777" w:rsidTr="00D615E6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63F3" w14:textId="77777777" w:rsidR="0005489A" w:rsidRPr="001361B2" w:rsidRDefault="0005489A" w:rsidP="00D615E6">
            <w:pPr>
              <w:jc w:val="both"/>
              <w:rPr>
                <w:rFonts w:cs="Arial"/>
                <w:sz w:val="16"/>
                <w:szCs w:val="16"/>
              </w:rPr>
            </w:pPr>
            <w:proofErr w:type="gramStart"/>
            <w:r w:rsidRPr="001361B2">
              <w:rPr>
                <w:rFonts w:cs="Arial"/>
                <w:sz w:val="18"/>
                <w:szCs w:val="18"/>
              </w:rPr>
              <w:t>**)   Není</w:t>
            </w:r>
            <w:proofErr w:type="gramEnd"/>
            <w:r w:rsidRPr="001361B2">
              <w:rPr>
                <w:rFonts w:cs="Arial"/>
                <w:sz w:val="18"/>
                <w:szCs w:val="18"/>
              </w:rPr>
              <w:t>-li příjemce plátcem DPH, uvede celkové výdaje včetně DPH.</w:t>
            </w:r>
          </w:p>
        </w:tc>
      </w:tr>
      <w:tr w:rsidR="0005489A" w:rsidRPr="001361B2" w14:paraId="4786CB9C" w14:textId="77777777" w:rsidTr="00D615E6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2777" w14:textId="77777777" w:rsidR="0005489A" w:rsidRPr="001361B2" w:rsidRDefault="0005489A" w:rsidP="00D615E6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05489A" w:rsidRPr="001361B2" w14:paraId="780D3A1B" w14:textId="77777777" w:rsidTr="00D615E6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EF2C" w14:textId="77777777" w:rsidR="0005489A" w:rsidRPr="001361B2" w:rsidRDefault="0005489A" w:rsidP="00D615E6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05489A" w:rsidRPr="001361B2" w14:paraId="43273741" w14:textId="77777777" w:rsidTr="00D615E6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B16D2" w14:textId="77777777" w:rsidR="0005489A" w:rsidRPr="001361B2" w:rsidRDefault="0005489A" w:rsidP="00D615E6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05489A" w:rsidRPr="001361B2" w14:paraId="00288017" w14:textId="77777777" w:rsidTr="00D615E6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F7E98" w14:textId="77777777" w:rsidR="0005489A" w:rsidRPr="001361B2" w:rsidRDefault="0005489A" w:rsidP="00D615E6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05489A" w:rsidRPr="001361B2" w14:paraId="58B2B222" w14:textId="77777777" w:rsidTr="00D615E6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690ED" w14:textId="77777777" w:rsidR="0005489A" w:rsidRPr="001361B2" w:rsidRDefault="0005489A" w:rsidP="00D615E6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14:paraId="5A68A901" w14:textId="77777777" w:rsidR="0005489A" w:rsidRPr="001361B2" w:rsidRDefault="0005489A" w:rsidP="0005489A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14:paraId="7C285F5B" w14:textId="77777777" w:rsidR="0005489A" w:rsidRPr="001361B2" w:rsidRDefault="0005489A" w:rsidP="0005489A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</w:t>
      </w:r>
      <w:r w:rsidR="00D946D3">
        <w:rPr>
          <w:rFonts w:cs="Arial"/>
          <w:sz w:val="20"/>
        </w:rPr>
        <w:t>S</w:t>
      </w:r>
      <w:r w:rsidRPr="001361B2">
        <w:rPr>
          <w:rFonts w:cs="Arial"/>
          <w:sz w:val="20"/>
        </w:rPr>
        <w:t xml:space="preserve">mlouvy nebo pravidel ke </w:t>
      </w:r>
      <w:r w:rsidR="00D946D3">
        <w:rPr>
          <w:rFonts w:cs="Arial"/>
          <w:sz w:val="20"/>
        </w:rPr>
        <w:t>S</w:t>
      </w:r>
      <w:r w:rsidRPr="001361B2">
        <w:rPr>
          <w:rFonts w:cs="Arial"/>
          <w:sz w:val="20"/>
        </w:rPr>
        <w:t xml:space="preserve">mlouvě se vztahujícím povinen uvést ve vyúčtování příspěvku příjmy.  </w:t>
      </w:r>
    </w:p>
    <w:p w14:paraId="33DF17A7" w14:textId="77777777" w:rsidR="0005489A" w:rsidRPr="001361B2" w:rsidRDefault="0005489A" w:rsidP="0005489A">
      <w:pPr>
        <w:pBdr>
          <w:bottom w:val="single" w:sz="4" w:space="1" w:color="auto"/>
        </w:pBdr>
        <w:rPr>
          <w:rFonts w:cs="Arial"/>
          <w:sz w:val="20"/>
        </w:rPr>
      </w:pPr>
    </w:p>
    <w:p w14:paraId="109B233C" w14:textId="77777777" w:rsidR="0005489A" w:rsidRDefault="0005489A" w:rsidP="0005489A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</w:p>
    <w:p w14:paraId="2AA365CD" w14:textId="77777777" w:rsidR="009279CC" w:rsidRPr="009279CC" w:rsidRDefault="004E70AB" w:rsidP="0005489A">
      <w:pPr>
        <w:jc w:val="both"/>
        <w:rPr>
          <w:rFonts w:cs="Arial"/>
          <w:sz w:val="20"/>
        </w:rPr>
      </w:pPr>
      <w:hyperlink r:id="rId10" w:history="1">
        <w:r w:rsidR="009279CC" w:rsidRPr="009279CC">
          <w:rPr>
            <w:rStyle w:val="Hypertextovodkaz"/>
            <w:sz w:val="20"/>
          </w:rPr>
          <w:t>https://www.olkraj.cz/vyuctovani-dotace-cl-4390.html</w:t>
        </w:r>
      </w:hyperlink>
    </w:p>
    <w:p w14:paraId="59853B5E" w14:textId="77777777" w:rsidR="0005489A" w:rsidRPr="009279CC" w:rsidRDefault="0005489A" w:rsidP="0005489A">
      <w:pPr>
        <w:rPr>
          <w:sz w:val="20"/>
        </w:rPr>
      </w:pPr>
    </w:p>
    <w:p w14:paraId="67437371" w14:textId="77777777" w:rsidR="0005489A" w:rsidRPr="001361B2" w:rsidRDefault="0005489A" w:rsidP="0005489A">
      <w:pPr>
        <w:rPr>
          <w:rFonts w:cs="Arial"/>
          <w:sz w:val="20"/>
        </w:rPr>
      </w:pPr>
    </w:p>
    <w:p w14:paraId="21B09E47" w14:textId="77777777" w:rsidR="0005489A" w:rsidRDefault="0005489A" w:rsidP="0005489A">
      <w:pPr>
        <w:spacing w:line="0" w:lineRule="atLeast"/>
        <w:rPr>
          <w:rFonts w:cs="Arial"/>
          <w:szCs w:val="22"/>
        </w:rPr>
      </w:pPr>
    </w:p>
    <w:p w14:paraId="0FB4D6AC" w14:textId="77777777"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0F3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247" w:bottom="1247" w:left="1247" w:header="624" w:footer="624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3E3E" w14:textId="77777777" w:rsidR="007C4F34" w:rsidRDefault="007C4F34">
      <w:r>
        <w:separator/>
      </w:r>
    </w:p>
  </w:endnote>
  <w:endnote w:type="continuationSeparator" w:id="0">
    <w:p w14:paraId="0D32F679" w14:textId="77777777" w:rsidR="007C4F34" w:rsidRDefault="007C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4CBE" w14:textId="77777777" w:rsidR="006737DE" w:rsidRDefault="006737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A76B" w14:textId="78819275" w:rsidR="00695025" w:rsidRDefault="00695025">
    <w:pPr>
      <w:pStyle w:val="Zpat"/>
      <w:jc w:val="right"/>
    </w:pPr>
  </w:p>
  <w:p w14:paraId="52D041EC" w14:textId="26ECC5DB" w:rsidR="006737DE" w:rsidRDefault="004E25C1" w:rsidP="006737DE">
    <w:pPr>
      <w:tabs>
        <w:tab w:val="center" w:pos="4536"/>
        <w:tab w:val="right" w:pos="9781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Zastupitelstvo Olomouckého kraje 24</w:t>
    </w:r>
    <w:r w:rsidR="006737DE">
      <w:rPr>
        <w:rFonts w:cs="Arial"/>
        <w:i/>
        <w:sz w:val="20"/>
      </w:rPr>
      <w:t>. 6. 2019</w:t>
    </w:r>
    <w:r w:rsidR="006737DE">
      <w:rPr>
        <w:rFonts w:cs="Arial"/>
        <w:i/>
        <w:sz w:val="20"/>
      </w:rPr>
      <w:tab/>
    </w:r>
    <w:r w:rsidR="006737DE">
      <w:rPr>
        <w:rFonts w:cs="Arial"/>
        <w:i/>
        <w:sz w:val="20"/>
      </w:rPr>
      <w:tab/>
      <w:t xml:space="preserve">Strana </w:t>
    </w:r>
    <w:r w:rsidR="006737DE">
      <w:rPr>
        <w:rFonts w:cs="Arial"/>
        <w:i/>
        <w:sz w:val="20"/>
      </w:rPr>
      <w:fldChar w:fldCharType="begin"/>
    </w:r>
    <w:r w:rsidR="006737DE">
      <w:rPr>
        <w:rFonts w:cs="Arial"/>
        <w:i/>
        <w:sz w:val="20"/>
      </w:rPr>
      <w:instrText>PAGE   \* MERGEFORMAT</w:instrText>
    </w:r>
    <w:r w:rsidR="006737DE">
      <w:rPr>
        <w:rFonts w:cs="Arial"/>
        <w:i/>
        <w:sz w:val="20"/>
      </w:rPr>
      <w:fldChar w:fldCharType="separate"/>
    </w:r>
    <w:r w:rsidR="004E70AB">
      <w:rPr>
        <w:rFonts w:cs="Arial"/>
        <w:i/>
        <w:noProof/>
        <w:sz w:val="20"/>
      </w:rPr>
      <w:t>18</w:t>
    </w:r>
    <w:r w:rsidR="006737DE">
      <w:rPr>
        <w:rFonts w:cs="Arial"/>
        <w:i/>
        <w:sz w:val="20"/>
      </w:rPr>
      <w:fldChar w:fldCharType="end"/>
    </w:r>
    <w:r w:rsidR="000F3A6C">
      <w:rPr>
        <w:rFonts w:cs="Arial"/>
        <w:i/>
        <w:sz w:val="20"/>
      </w:rPr>
      <w:t xml:space="preserve"> (celkem 28</w:t>
    </w:r>
    <w:r w:rsidR="006737DE">
      <w:rPr>
        <w:rFonts w:cs="Arial"/>
        <w:i/>
        <w:sz w:val="20"/>
      </w:rPr>
      <w:t>)</w:t>
    </w:r>
  </w:p>
  <w:p w14:paraId="1A7DDD0B" w14:textId="49DB3F35" w:rsidR="006737DE" w:rsidRDefault="004E70AB" w:rsidP="006737DE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szCs w:val="22"/>
      </w:rPr>
    </w:pPr>
    <w:r>
      <w:rPr>
        <w:rFonts w:cs="Arial"/>
        <w:i/>
        <w:sz w:val="20"/>
      </w:rPr>
      <w:t>28</w:t>
    </w:r>
    <w:bookmarkStart w:id="0" w:name="_GoBack"/>
    <w:bookmarkEnd w:id="0"/>
    <w:r w:rsidR="004E25C1">
      <w:rPr>
        <w:rFonts w:cs="Arial"/>
        <w:i/>
        <w:sz w:val="20"/>
      </w:rPr>
      <w:t xml:space="preserve">. </w:t>
    </w:r>
    <w:r w:rsidR="006737DE">
      <w:rPr>
        <w:rFonts w:cs="Arial"/>
        <w:i/>
        <w:sz w:val="20"/>
      </w:rPr>
      <w:t xml:space="preserve"> Program finanční podpory poskytování sociálních služeb v Olomouckém kraji, Podprogram č. 2</w:t>
    </w:r>
  </w:p>
  <w:p w14:paraId="6995AE75" w14:textId="77777777" w:rsidR="006737DE" w:rsidRDefault="006737DE" w:rsidP="006737DE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Příloha č. 2 – Vzorová smlouva o poskytnutí dotace</w:t>
    </w:r>
  </w:p>
  <w:p w14:paraId="2E52B8F0" w14:textId="77777777" w:rsidR="006737DE" w:rsidRDefault="006737DE" w:rsidP="006737DE">
    <w:pPr>
      <w:pStyle w:val="Zpat"/>
    </w:pPr>
  </w:p>
  <w:p w14:paraId="09DDBAC4" w14:textId="77651500" w:rsidR="00172BF2" w:rsidRPr="00172BF2" w:rsidRDefault="00172BF2">
    <w:pPr>
      <w:pStyle w:val="Zpat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76CA" w14:textId="77777777" w:rsidR="006737DE" w:rsidRDefault="006737DE" w:rsidP="006737DE">
    <w:pPr>
      <w:tabs>
        <w:tab w:val="center" w:pos="4536"/>
        <w:tab w:val="right" w:pos="9781"/>
      </w:tabs>
      <w:autoSpaceDE w:val="0"/>
      <w:autoSpaceDN w:val="0"/>
      <w:ind w:left="-567"/>
      <w:jc w:val="both"/>
      <w:rPr>
        <w:rFonts w:cs="Arial"/>
        <w:i/>
        <w:sz w:val="20"/>
      </w:rPr>
    </w:pPr>
  </w:p>
  <w:p w14:paraId="1A7C71D7" w14:textId="75F90A1B" w:rsidR="006737DE" w:rsidRDefault="004E25C1" w:rsidP="006737DE">
    <w:pPr>
      <w:tabs>
        <w:tab w:val="center" w:pos="4536"/>
        <w:tab w:val="right" w:pos="9781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Zastupitelstvo Olomouckého kraje 24</w:t>
    </w:r>
    <w:r w:rsidR="006737DE">
      <w:rPr>
        <w:rFonts w:cs="Arial"/>
        <w:i/>
        <w:sz w:val="20"/>
      </w:rPr>
      <w:t>. 6. 2019</w:t>
    </w:r>
    <w:r w:rsidR="006737DE">
      <w:rPr>
        <w:rFonts w:cs="Arial"/>
        <w:i/>
        <w:sz w:val="20"/>
      </w:rPr>
      <w:tab/>
    </w:r>
    <w:r w:rsidR="006737DE">
      <w:rPr>
        <w:rFonts w:cs="Arial"/>
        <w:i/>
        <w:sz w:val="20"/>
      </w:rPr>
      <w:tab/>
      <w:t xml:space="preserve">Strana </w:t>
    </w:r>
    <w:r w:rsidR="006737DE">
      <w:rPr>
        <w:rFonts w:cs="Arial"/>
        <w:i/>
        <w:sz w:val="20"/>
      </w:rPr>
      <w:fldChar w:fldCharType="begin"/>
    </w:r>
    <w:r w:rsidR="006737DE">
      <w:rPr>
        <w:rFonts w:cs="Arial"/>
        <w:i/>
        <w:sz w:val="20"/>
      </w:rPr>
      <w:instrText>PAGE   \* MERGEFORMAT</w:instrText>
    </w:r>
    <w:r w:rsidR="006737DE">
      <w:rPr>
        <w:rFonts w:cs="Arial"/>
        <w:i/>
        <w:sz w:val="20"/>
      </w:rPr>
      <w:fldChar w:fldCharType="separate"/>
    </w:r>
    <w:r w:rsidR="004E70AB">
      <w:rPr>
        <w:rFonts w:cs="Arial"/>
        <w:i/>
        <w:noProof/>
        <w:sz w:val="20"/>
      </w:rPr>
      <w:t>17</w:t>
    </w:r>
    <w:r w:rsidR="006737DE">
      <w:rPr>
        <w:rFonts w:cs="Arial"/>
        <w:i/>
        <w:sz w:val="20"/>
      </w:rPr>
      <w:fldChar w:fldCharType="end"/>
    </w:r>
    <w:r w:rsidR="000F3A6C">
      <w:rPr>
        <w:rFonts w:cs="Arial"/>
        <w:i/>
        <w:sz w:val="20"/>
      </w:rPr>
      <w:t xml:space="preserve"> (celkem 28</w:t>
    </w:r>
    <w:r w:rsidR="006737DE">
      <w:rPr>
        <w:rFonts w:cs="Arial"/>
        <w:i/>
        <w:sz w:val="20"/>
      </w:rPr>
      <w:t>)</w:t>
    </w:r>
  </w:p>
  <w:p w14:paraId="332811D5" w14:textId="4976A341" w:rsidR="006737DE" w:rsidRDefault="004E70AB" w:rsidP="006737DE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szCs w:val="22"/>
      </w:rPr>
    </w:pPr>
    <w:r>
      <w:rPr>
        <w:rFonts w:cs="Arial"/>
        <w:i/>
        <w:sz w:val="20"/>
      </w:rPr>
      <w:t>28</w:t>
    </w:r>
    <w:r w:rsidR="004E25C1">
      <w:rPr>
        <w:rFonts w:cs="Arial"/>
        <w:i/>
        <w:sz w:val="20"/>
      </w:rPr>
      <w:t xml:space="preserve">. </w:t>
    </w:r>
    <w:r w:rsidR="006737DE">
      <w:rPr>
        <w:rFonts w:cs="Arial"/>
        <w:i/>
        <w:sz w:val="20"/>
      </w:rPr>
      <w:t xml:space="preserve"> Program finanční podpory poskytování sociálních služeb v Olomouckém kraji, Podprogram č. 2</w:t>
    </w:r>
  </w:p>
  <w:p w14:paraId="2340F238" w14:textId="77777777" w:rsidR="006737DE" w:rsidRDefault="006737DE" w:rsidP="006737DE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Příloha č. 2 – Vzorová smlouva o poskytnutí dotace</w:t>
    </w:r>
  </w:p>
  <w:p w14:paraId="1C94D03C" w14:textId="77777777" w:rsidR="004B42FC" w:rsidRDefault="004B42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13A1" w14:textId="77777777" w:rsidR="007C4F34" w:rsidRDefault="007C4F34">
      <w:r>
        <w:separator/>
      </w:r>
    </w:p>
  </w:footnote>
  <w:footnote w:type="continuationSeparator" w:id="0">
    <w:p w14:paraId="0A26E921" w14:textId="77777777" w:rsidR="007C4F34" w:rsidRDefault="007C4F34">
      <w:r>
        <w:continuationSeparator/>
      </w:r>
    </w:p>
  </w:footnote>
  <w:footnote w:id="1">
    <w:p w14:paraId="455EEF35" w14:textId="77777777" w:rsidR="00902503" w:rsidRDefault="009025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4930">
        <w:rPr>
          <w:rFonts w:ascii="Arial" w:hAnsi="Arial" w:cs="Arial"/>
          <w:sz w:val="16"/>
          <w:szCs w:val="16"/>
        </w:rPr>
        <w:t>dle Nařízení vlády č. 98/2015 Sb. ze dne 22. dubna 2015 o provedení § 101a zákona o sociálních službách</w:t>
      </w:r>
    </w:p>
  </w:footnote>
  <w:footnote w:id="2">
    <w:p w14:paraId="660BA9DB" w14:textId="77777777" w:rsidR="00C20982" w:rsidRDefault="00C20982" w:rsidP="00C209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3">
    <w:p w14:paraId="68801C16" w14:textId="77777777" w:rsidR="00AC3A1A" w:rsidRDefault="00AC3A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4A9B" w14:textId="77777777" w:rsidR="006737DE" w:rsidRDefault="006737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5595" w14:textId="77777777" w:rsidR="006737DE" w:rsidRDefault="006737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858D" w14:textId="67E7E325" w:rsidR="00716C23" w:rsidRDefault="00716C23" w:rsidP="00716C23">
    <w:pPr>
      <w:tabs>
        <w:tab w:val="center" w:pos="4536"/>
        <w:tab w:val="right" w:pos="9072"/>
      </w:tabs>
      <w:autoSpaceDE w:val="0"/>
      <w:autoSpaceDN w:val="0"/>
      <w:ind w:left="-567"/>
      <w:jc w:val="both"/>
    </w:pPr>
    <w:r>
      <w:rPr>
        <w:rFonts w:cs="Arial"/>
        <w:i/>
        <w:sz w:val="20"/>
      </w:rPr>
      <w:t xml:space="preserve">Příloha č. 2 – Vzorová smlouva o poskytnutí dotace </w:t>
    </w:r>
  </w:p>
  <w:p w14:paraId="721F5AE0" w14:textId="5FFBBBE6" w:rsidR="004B42FC" w:rsidRPr="004B42FC" w:rsidRDefault="00716C23" w:rsidP="00716C23">
    <w:pPr>
      <w:pStyle w:val="Zhlav"/>
      <w:jc w:val="both"/>
    </w:pPr>
    <w:r>
      <w:rPr>
        <w:sz w:val="20"/>
      </w:rPr>
      <w:t xml:space="preserve">                                                                                                                                   </w:t>
    </w:r>
    <w:proofErr w:type="spellStart"/>
    <w:r w:rsidR="004B42FC" w:rsidRPr="00172BF2">
      <w:rPr>
        <w:sz w:val="20"/>
      </w:rPr>
      <w:t>Agendové</w:t>
    </w:r>
    <w:proofErr w:type="spellEnd"/>
    <w:r w:rsidR="004B42FC" w:rsidRPr="00172BF2">
      <w:rPr>
        <w:sz w:val="20"/>
      </w:rPr>
      <w:t xml:space="preserve">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6C23FBD"/>
    <w:multiLevelType w:val="multilevel"/>
    <w:tmpl w:val="E098A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7"/>
  </w:num>
  <w:num w:numId="18">
    <w:abstractNumId w:val="4"/>
  </w:num>
  <w:num w:numId="19">
    <w:abstractNumId w:val="4"/>
  </w:num>
  <w:num w:numId="20">
    <w:abstractNumId w:val="4"/>
  </w:num>
  <w:num w:numId="21">
    <w:abstractNumId w:val="14"/>
  </w:num>
  <w:num w:numId="22">
    <w:abstractNumId w:val="1"/>
  </w:num>
  <w:num w:numId="23">
    <w:abstractNumId w:val="11"/>
  </w:num>
  <w:num w:numId="24">
    <w:abstractNumId w:val="7"/>
  </w:num>
  <w:num w:numId="25">
    <w:abstractNumId w:val="10"/>
  </w:num>
  <w:num w:numId="26">
    <w:abstractNumId w:val="19"/>
  </w:num>
  <w:num w:numId="27">
    <w:abstractNumId w:val="0"/>
  </w:num>
  <w:num w:numId="28">
    <w:abstractNumId w:val="2"/>
  </w:num>
  <w:num w:numId="29">
    <w:abstractNumId w:val="12"/>
  </w:num>
  <w:num w:numId="30">
    <w:abstractNumId w:val="15"/>
  </w:num>
  <w:num w:numId="31">
    <w:abstractNumId w:val="18"/>
  </w:num>
  <w:num w:numId="32">
    <w:abstractNumId w:val="8"/>
  </w:num>
  <w:num w:numId="33">
    <w:abstractNumId w:val="13"/>
  </w:num>
  <w:num w:numId="34">
    <w:abstractNumId w:val="6"/>
  </w:num>
  <w:num w:numId="3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152EE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89A"/>
    <w:rsid w:val="00054A16"/>
    <w:rsid w:val="00055689"/>
    <w:rsid w:val="000637A2"/>
    <w:rsid w:val="000645FC"/>
    <w:rsid w:val="000655A4"/>
    <w:rsid w:val="000708D7"/>
    <w:rsid w:val="00072B3C"/>
    <w:rsid w:val="00075192"/>
    <w:rsid w:val="00080288"/>
    <w:rsid w:val="000829FD"/>
    <w:rsid w:val="000866A0"/>
    <w:rsid w:val="00087E3F"/>
    <w:rsid w:val="00090EBD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3A6C"/>
    <w:rsid w:val="000F4562"/>
    <w:rsid w:val="000F719B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03CD"/>
    <w:rsid w:val="00121185"/>
    <w:rsid w:val="00125C49"/>
    <w:rsid w:val="0012622F"/>
    <w:rsid w:val="00126CA3"/>
    <w:rsid w:val="00132D50"/>
    <w:rsid w:val="001350A0"/>
    <w:rsid w:val="00137DE1"/>
    <w:rsid w:val="001415A3"/>
    <w:rsid w:val="00141F8B"/>
    <w:rsid w:val="0014283B"/>
    <w:rsid w:val="001440A8"/>
    <w:rsid w:val="00144F2B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092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1DC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3CDC"/>
    <w:rsid w:val="003258A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390C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5D2D"/>
    <w:rsid w:val="00487BFE"/>
    <w:rsid w:val="0049250E"/>
    <w:rsid w:val="00495ABE"/>
    <w:rsid w:val="00495D0C"/>
    <w:rsid w:val="00495FBC"/>
    <w:rsid w:val="004A0D64"/>
    <w:rsid w:val="004A22A8"/>
    <w:rsid w:val="004A35EE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4F5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D7E23"/>
    <w:rsid w:val="004E0778"/>
    <w:rsid w:val="004E1874"/>
    <w:rsid w:val="004E25C1"/>
    <w:rsid w:val="004E70AB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066B"/>
    <w:rsid w:val="00521158"/>
    <w:rsid w:val="00524F99"/>
    <w:rsid w:val="00531935"/>
    <w:rsid w:val="00533BFD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5EAF"/>
    <w:rsid w:val="005571E0"/>
    <w:rsid w:val="005613F5"/>
    <w:rsid w:val="00561F92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5CF2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0C95"/>
    <w:rsid w:val="005E2290"/>
    <w:rsid w:val="005F1841"/>
    <w:rsid w:val="005F3AB4"/>
    <w:rsid w:val="005F401E"/>
    <w:rsid w:val="006021F9"/>
    <w:rsid w:val="006049B1"/>
    <w:rsid w:val="0061342F"/>
    <w:rsid w:val="00617579"/>
    <w:rsid w:val="00622204"/>
    <w:rsid w:val="00622B8D"/>
    <w:rsid w:val="00622C33"/>
    <w:rsid w:val="00631A9A"/>
    <w:rsid w:val="00637D02"/>
    <w:rsid w:val="006414F6"/>
    <w:rsid w:val="00643301"/>
    <w:rsid w:val="006440E0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37DE"/>
    <w:rsid w:val="00674336"/>
    <w:rsid w:val="00674783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864"/>
    <w:rsid w:val="00693944"/>
    <w:rsid w:val="00695025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41E7"/>
    <w:rsid w:val="00716714"/>
    <w:rsid w:val="00716C23"/>
    <w:rsid w:val="007203D4"/>
    <w:rsid w:val="00720745"/>
    <w:rsid w:val="007216D9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00F5"/>
    <w:rsid w:val="00761E2D"/>
    <w:rsid w:val="00765C89"/>
    <w:rsid w:val="00766595"/>
    <w:rsid w:val="007704DB"/>
    <w:rsid w:val="007714FA"/>
    <w:rsid w:val="00772B94"/>
    <w:rsid w:val="00774930"/>
    <w:rsid w:val="00774E37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A7956"/>
    <w:rsid w:val="007B0CDB"/>
    <w:rsid w:val="007B197A"/>
    <w:rsid w:val="007B256E"/>
    <w:rsid w:val="007B335C"/>
    <w:rsid w:val="007B3A8E"/>
    <w:rsid w:val="007B5C03"/>
    <w:rsid w:val="007C1E98"/>
    <w:rsid w:val="007C210D"/>
    <w:rsid w:val="007C2568"/>
    <w:rsid w:val="007C3F6D"/>
    <w:rsid w:val="007C4245"/>
    <w:rsid w:val="007C4F34"/>
    <w:rsid w:val="007C7E0E"/>
    <w:rsid w:val="007D0C5D"/>
    <w:rsid w:val="007D374F"/>
    <w:rsid w:val="007D400A"/>
    <w:rsid w:val="007D452C"/>
    <w:rsid w:val="007D5225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22D8"/>
    <w:rsid w:val="00815C5A"/>
    <w:rsid w:val="0082021C"/>
    <w:rsid w:val="008206EF"/>
    <w:rsid w:val="00822BD0"/>
    <w:rsid w:val="00823BC4"/>
    <w:rsid w:val="008244C0"/>
    <w:rsid w:val="008246AA"/>
    <w:rsid w:val="00825745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2C10"/>
    <w:rsid w:val="00893074"/>
    <w:rsid w:val="00896C47"/>
    <w:rsid w:val="00897F26"/>
    <w:rsid w:val="008A1037"/>
    <w:rsid w:val="008A12C9"/>
    <w:rsid w:val="008A1366"/>
    <w:rsid w:val="008A6D0B"/>
    <w:rsid w:val="008A73AE"/>
    <w:rsid w:val="008A7F6C"/>
    <w:rsid w:val="008B0DEA"/>
    <w:rsid w:val="008B0E4C"/>
    <w:rsid w:val="008B15E5"/>
    <w:rsid w:val="008B19D2"/>
    <w:rsid w:val="008B32BE"/>
    <w:rsid w:val="008C1600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2503"/>
    <w:rsid w:val="009074FD"/>
    <w:rsid w:val="009109A6"/>
    <w:rsid w:val="00911901"/>
    <w:rsid w:val="00911E27"/>
    <w:rsid w:val="00913943"/>
    <w:rsid w:val="009147BC"/>
    <w:rsid w:val="009156DA"/>
    <w:rsid w:val="009157E8"/>
    <w:rsid w:val="009161F5"/>
    <w:rsid w:val="009168A4"/>
    <w:rsid w:val="00921867"/>
    <w:rsid w:val="009245FB"/>
    <w:rsid w:val="009279CC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260D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57F2D"/>
    <w:rsid w:val="00A6586B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C7357"/>
    <w:rsid w:val="00AD37CB"/>
    <w:rsid w:val="00AD3DF1"/>
    <w:rsid w:val="00AD6182"/>
    <w:rsid w:val="00AD6A0C"/>
    <w:rsid w:val="00AD6BC9"/>
    <w:rsid w:val="00AE17A4"/>
    <w:rsid w:val="00AE18C5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0831"/>
    <w:rsid w:val="00B330CE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4BC2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4AEE"/>
    <w:rsid w:val="00C3766D"/>
    <w:rsid w:val="00C400CC"/>
    <w:rsid w:val="00C42873"/>
    <w:rsid w:val="00C456AB"/>
    <w:rsid w:val="00C512CB"/>
    <w:rsid w:val="00C52956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684"/>
    <w:rsid w:val="00CC38FE"/>
    <w:rsid w:val="00CC61D7"/>
    <w:rsid w:val="00CD3799"/>
    <w:rsid w:val="00CD604B"/>
    <w:rsid w:val="00CE64A4"/>
    <w:rsid w:val="00CE791C"/>
    <w:rsid w:val="00CF0797"/>
    <w:rsid w:val="00CF4AF9"/>
    <w:rsid w:val="00D02499"/>
    <w:rsid w:val="00D02725"/>
    <w:rsid w:val="00D05D8A"/>
    <w:rsid w:val="00D1454A"/>
    <w:rsid w:val="00D14A18"/>
    <w:rsid w:val="00D1619A"/>
    <w:rsid w:val="00D17C5C"/>
    <w:rsid w:val="00D20EA6"/>
    <w:rsid w:val="00D21E24"/>
    <w:rsid w:val="00D24031"/>
    <w:rsid w:val="00D2495F"/>
    <w:rsid w:val="00D24B77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63FC6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203F"/>
    <w:rsid w:val="00D92677"/>
    <w:rsid w:val="00D946D3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D764D"/>
    <w:rsid w:val="00DE04AB"/>
    <w:rsid w:val="00DE32F1"/>
    <w:rsid w:val="00DE4A51"/>
    <w:rsid w:val="00DE4D6B"/>
    <w:rsid w:val="00DE5331"/>
    <w:rsid w:val="00DE5C87"/>
    <w:rsid w:val="00DE7CC7"/>
    <w:rsid w:val="00DF0148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D538A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07F14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17F6"/>
    <w:rsid w:val="00F54E5A"/>
    <w:rsid w:val="00F55EB7"/>
    <w:rsid w:val="00F575D3"/>
    <w:rsid w:val="00F6303A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5CFF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101D39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styleId="Sledovanodkaz">
    <w:name w:val="FollowedHyperlink"/>
    <w:basedOn w:val="Standardnpsmoodstavce"/>
    <w:rsid w:val="007A7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lkraj.cz/vyuctovani-dotace-cl-43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54D6-8923-4ADE-8C3B-14C4ABFC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4479</Words>
  <Characters>26703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31120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Zbořilová Věra</cp:lastModifiedBy>
  <cp:revision>12</cp:revision>
  <cp:lastPrinted>2017-01-20T08:02:00Z</cp:lastPrinted>
  <dcterms:created xsi:type="dcterms:W3CDTF">2019-05-09T06:08:00Z</dcterms:created>
  <dcterms:modified xsi:type="dcterms:W3CDTF">2019-06-06T06:55:00Z</dcterms:modified>
</cp:coreProperties>
</file>