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8C" w:rsidRDefault="0085038C" w:rsidP="0085038C">
      <w:pPr>
        <w:pStyle w:val="HlavikaZL"/>
      </w:pPr>
    </w:p>
    <w:p w:rsidR="0085038C" w:rsidRDefault="0085038C" w:rsidP="0085038C">
      <w:pPr>
        <w:pStyle w:val="HlavikaZL"/>
      </w:pPr>
      <w:r>
        <w:t>Dodatek č. 14</w:t>
      </w:r>
    </w:p>
    <w:p w:rsidR="0085038C" w:rsidRDefault="0085038C" w:rsidP="0085038C">
      <w:pPr>
        <w:pStyle w:val="HlavikaZL"/>
      </w:pPr>
      <w:r>
        <w:t xml:space="preserve">ke zřizovací listině č. j. </w:t>
      </w:r>
      <w:r w:rsidRPr="00DD197F">
        <w:rPr>
          <w:noProof/>
        </w:rPr>
        <w:t>934/2001</w:t>
      </w:r>
      <w:r>
        <w:t xml:space="preserve">  ze dne 29. </w:t>
      </w:r>
      <w:r w:rsidRPr="00DD197F">
        <w:rPr>
          <w:noProof/>
        </w:rPr>
        <w:t>6</w:t>
      </w:r>
      <w:r>
        <w:rPr>
          <w:noProof/>
        </w:rPr>
        <w:t xml:space="preserve">. </w:t>
      </w:r>
      <w:r w:rsidRPr="00DD197F">
        <w:rPr>
          <w:noProof/>
        </w:rPr>
        <w:t>2001</w:t>
      </w:r>
      <w:r>
        <w:t xml:space="preserve"> ve znění dodatku č. 1 č. j. </w:t>
      </w:r>
      <w:r w:rsidRPr="00DD197F">
        <w:rPr>
          <w:noProof/>
        </w:rPr>
        <w:t>3596/2001</w:t>
      </w:r>
      <w:r>
        <w:rPr>
          <w:noProof/>
        </w:rPr>
        <w:t xml:space="preserve"> </w:t>
      </w:r>
      <w:r>
        <w:t>ze dne 28. </w:t>
      </w:r>
      <w:r w:rsidRPr="00DD197F">
        <w:rPr>
          <w:noProof/>
        </w:rPr>
        <w:t>9</w:t>
      </w:r>
      <w:r>
        <w:rPr>
          <w:noProof/>
        </w:rPr>
        <w:t xml:space="preserve">. </w:t>
      </w:r>
      <w:r w:rsidRPr="00DD197F">
        <w:rPr>
          <w:noProof/>
        </w:rPr>
        <w:t>2001</w:t>
      </w:r>
      <w:r>
        <w:t xml:space="preserve">, dodatku č. 2 č. j. </w:t>
      </w:r>
      <w:r w:rsidRPr="00DD197F">
        <w:rPr>
          <w:noProof/>
        </w:rPr>
        <w:t>5753/2001</w:t>
      </w:r>
      <w:r>
        <w:t xml:space="preserve"> ze dne 21. </w:t>
      </w:r>
      <w:r w:rsidRPr="00DD197F">
        <w:rPr>
          <w:noProof/>
        </w:rPr>
        <w:t>12</w:t>
      </w:r>
      <w:r>
        <w:rPr>
          <w:noProof/>
        </w:rPr>
        <w:t>. </w:t>
      </w:r>
      <w:r w:rsidRPr="00DD197F">
        <w:rPr>
          <w:noProof/>
        </w:rPr>
        <w:t>2001</w:t>
      </w:r>
      <w:r>
        <w:t xml:space="preserve">, dodatku č. 3 č. j. </w:t>
      </w:r>
      <w:r w:rsidRPr="00DD197F">
        <w:rPr>
          <w:noProof/>
        </w:rPr>
        <w:t>17191/2002</w:t>
      </w:r>
      <w:r>
        <w:t xml:space="preserve"> ze dne 28. </w:t>
      </w:r>
      <w:r w:rsidRPr="00DD197F">
        <w:rPr>
          <w:noProof/>
        </w:rPr>
        <w:t>11</w:t>
      </w:r>
      <w:r>
        <w:rPr>
          <w:noProof/>
        </w:rPr>
        <w:t xml:space="preserve">. </w:t>
      </w:r>
      <w:r w:rsidRPr="00DD197F">
        <w:rPr>
          <w:noProof/>
        </w:rPr>
        <w:t>2002</w:t>
      </w:r>
      <w:r>
        <w:t>, dodatku č. 4 č. j. KUOK/22729/05/OŠMT/572 ze dne 24. 6. 2005, dodatku č. 5 č. j. KUOK 44704/2007 ze dne 27. 4. 2007, dodatku č. 6 č. j. KUOK 22962/2009 ze dne 20. 2. 2009, dodatku č. 7 č. j. KUOK 93953/2009 ze dne 25. 9. 2009, dodatku č. 8 č. j. KUOK 77369/2010 ze dne 28. 6. 2010, dodatku č. 9 č. j. KUOK 2241/2014 ze dne 19. 12. 2013, dodatku č. 10 č. j. KUOK 82482/2014 ze dne 19. 9. 2014, dodatku č. 11 č. j. KUOK 108119/2015 ze dne 18. 12. 2015, dodatku č. 12 č. j. KUOK 121459/2016 ze dne 19. 12. 2016</w:t>
      </w:r>
      <w:r w:rsidRPr="00A649F5">
        <w:t xml:space="preserve"> </w:t>
      </w:r>
      <w:r>
        <w:t>a dodatku č. 13 č. j. KUOK 123178/2017 ze dne 18. 12. 2017</w:t>
      </w:r>
    </w:p>
    <w:tbl>
      <w:tblPr>
        <w:tblW w:w="0" w:type="auto"/>
        <w:tblInd w:w="-72" w:type="dxa"/>
        <w:tblLook w:val="01E0" w:firstRow="1" w:lastRow="1" w:firstColumn="1" w:lastColumn="1" w:noHBand="0" w:noVBand="0"/>
      </w:tblPr>
      <w:tblGrid>
        <w:gridCol w:w="9284"/>
      </w:tblGrid>
      <w:tr w:rsidR="0085038C" w:rsidRPr="00935158" w:rsidTr="00C46CDF">
        <w:tc>
          <w:tcPr>
            <w:tcW w:w="9284" w:type="dxa"/>
            <w:shd w:val="clear" w:color="auto" w:fill="auto"/>
          </w:tcPr>
          <w:p w:rsidR="0085038C" w:rsidRPr="003A58FE" w:rsidRDefault="0085038C" w:rsidP="00C46CD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85038C" w:rsidRPr="00935158" w:rsidTr="00C46CDF">
        <w:tc>
          <w:tcPr>
            <w:tcW w:w="9284" w:type="dxa"/>
            <w:shd w:val="clear" w:color="auto" w:fill="auto"/>
          </w:tcPr>
          <w:p w:rsidR="0085038C" w:rsidRDefault="0085038C" w:rsidP="00C46CDF"/>
        </w:tc>
      </w:tr>
    </w:tbl>
    <w:p w:rsidR="0085038C" w:rsidRDefault="0085038C" w:rsidP="0085038C">
      <w:pPr>
        <w:pStyle w:val="Bntext-odsazendole"/>
        <w:spacing w:after="0"/>
      </w:pPr>
    </w:p>
    <w:p w:rsidR="0085038C" w:rsidRPr="00C10AF9" w:rsidRDefault="0085038C" w:rsidP="0085038C">
      <w:pPr>
        <w:rPr>
          <w:vanish/>
        </w:rPr>
      </w:pPr>
    </w:p>
    <w:tbl>
      <w:tblPr>
        <w:tblW w:w="0" w:type="auto"/>
        <w:tblInd w:w="-72" w:type="dxa"/>
        <w:tblLook w:val="01E0" w:firstRow="1" w:lastRow="1" w:firstColumn="1" w:lastColumn="1" w:noHBand="0" w:noVBand="0"/>
      </w:tblPr>
      <w:tblGrid>
        <w:gridCol w:w="2880"/>
        <w:gridCol w:w="6404"/>
      </w:tblGrid>
      <w:tr w:rsidR="0085038C" w:rsidTr="00C46CDF">
        <w:tc>
          <w:tcPr>
            <w:tcW w:w="2880" w:type="dxa"/>
          </w:tcPr>
          <w:p w:rsidR="0085038C" w:rsidRDefault="0085038C" w:rsidP="00C46CDF">
            <w:pPr>
              <w:pStyle w:val="Nzev-tabulka"/>
            </w:pPr>
            <w:r>
              <w:t>Název:</w:t>
            </w:r>
          </w:p>
        </w:tc>
        <w:tc>
          <w:tcPr>
            <w:tcW w:w="6404" w:type="dxa"/>
          </w:tcPr>
          <w:p w:rsidR="0085038C" w:rsidRDefault="0085038C" w:rsidP="00C46CDF">
            <w:pPr>
              <w:pStyle w:val="Nzevkoly-tab"/>
              <w:jc w:val="left"/>
            </w:pPr>
            <w:r>
              <w:t>Slovanské gymnázium, Olomouc, tř. Jiřího z Poděbrad 13</w:t>
            </w:r>
          </w:p>
        </w:tc>
      </w:tr>
      <w:tr w:rsidR="0085038C" w:rsidRPr="004C7A20" w:rsidTr="00C46CDF">
        <w:tc>
          <w:tcPr>
            <w:tcW w:w="2880" w:type="dxa"/>
          </w:tcPr>
          <w:p w:rsidR="0085038C" w:rsidRDefault="0085038C" w:rsidP="00C46CDF">
            <w:pPr>
              <w:pStyle w:val="Nzev-tabulka"/>
            </w:pPr>
            <w:r>
              <w:t>Sídlo:</w:t>
            </w:r>
          </w:p>
        </w:tc>
        <w:tc>
          <w:tcPr>
            <w:tcW w:w="6404" w:type="dxa"/>
          </w:tcPr>
          <w:p w:rsidR="0085038C" w:rsidRPr="004C7A20" w:rsidRDefault="0085038C" w:rsidP="00C46CDF">
            <w:pPr>
              <w:pStyle w:val="Nzevkoly-tab"/>
            </w:pPr>
            <w:r>
              <w:t>771 11 Olomouc, tř. Jiřího z Poděbrad 13</w:t>
            </w:r>
          </w:p>
        </w:tc>
      </w:tr>
      <w:tr w:rsidR="0085038C" w:rsidTr="00C46CDF">
        <w:tc>
          <w:tcPr>
            <w:tcW w:w="2880" w:type="dxa"/>
          </w:tcPr>
          <w:p w:rsidR="0085038C" w:rsidRDefault="0085038C" w:rsidP="00C46CDF">
            <w:pPr>
              <w:pStyle w:val="Nzev-tabulka"/>
            </w:pPr>
            <w:r>
              <w:t>Identifikační číslo:</w:t>
            </w:r>
          </w:p>
        </w:tc>
        <w:tc>
          <w:tcPr>
            <w:tcW w:w="6404" w:type="dxa"/>
          </w:tcPr>
          <w:p w:rsidR="0085038C" w:rsidRDefault="0085038C" w:rsidP="00C46CDF">
            <w:pPr>
              <w:pStyle w:val="Nzevkoly-tab"/>
            </w:pPr>
            <w:r w:rsidRPr="00DD197F">
              <w:rPr>
                <w:noProof/>
              </w:rPr>
              <w:t>00601781</w:t>
            </w:r>
          </w:p>
        </w:tc>
      </w:tr>
    </w:tbl>
    <w:p w:rsidR="0085038C" w:rsidRDefault="0085038C" w:rsidP="0085038C">
      <w:pPr>
        <w:pStyle w:val="Bnstylodsazennahoe"/>
      </w:pPr>
      <w:r w:rsidRPr="003A58FE">
        <w:t>v tomto znění:</w:t>
      </w:r>
    </w:p>
    <w:p w:rsidR="0085038C" w:rsidRDefault="0085038C" w:rsidP="0085038C">
      <w:pPr>
        <w:pStyle w:val="Bnstylodsazennahoe"/>
      </w:pPr>
    </w:p>
    <w:tbl>
      <w:tblPr>
        <w:tblW w:w="0" w:type="auto"/>
        <w:tblInd w:w="-72" w:type="dxa"/>
        <w:tblLook w:val="01E0" w:firstRow="1" w:lastRow="1" w:firstColumn="1" w:lastColumn="1" w:noHBand="0" w:noVBand="0"/>
      </w:tblPr>
      <w:tblGrid>
        <w:gridCol w:w="9143"/>
      </w:tblGrid>
      <w:tr w:rsidR="0085038C" w:rsidTr="00C46CDF">
        <w:tc>
          <w:tcPr>
            <w:tcW w:w="9143" w:type="dxa"/>
            <w:hideMark/>
          </w:tcPr>
          <w:p w:rsidR="0085038C" w:rsidRDefault="0085038C" w:rsidP="00C46CDF">
            <w:pPr>
              <w:pStyle w:val="HlavikaZL"/>
              <w:jc w:val="both"/>
              <w:rPr>
                <w:b w:val="0"/>
              </w:rPr>
            </w:pPr>
            <w:r>
              <w:rPr>
                <w:b w:val="0"/>
              </w:rPr>
              <w:t xml:space="preserve">Stávající článek V. zřizovací listiny se ruší a nahrazuje se novým článkem V. </w:t>
            </w:r>
          </w:p>
        </w:tc>
      </w:tr>
    </w:tbl>
    <w:p w:rsidR="0085038C" w:rsidRDefault="0085038C" w:rsidP="0085038C">
      <w:pPr>
        <w:pStyle w:val="HlavikaZL"/>
        <w:jc w:val="both"/>
        <w:rPr>
          <w:b w:val="0"/>
        </w:rPr>
      </w:pPr>
      <w:r>
        <w:rPr>
          <w:b w:val="0"/>
        </w:rPr>
        <w:t>V ostatních částech zůstává zřizovací listina beze změny.</w:t>
      </w:r>
    </w:p>
    <w:p w:rsidR="0085038C" w:rsidRDefault="0085038C" w:rsidP="0085038C">
      <w:pPr>
        <w:pStyle w:val="HlavikaZL"/>
        <w:jc w:val="both"/>
        <w:rPr>
          <w:b w:val="0"/>
        </w:rPr>
      </w:pPr>
    </w:p>
    <w:tbl>
      <w:tblPr>
        <w:tblW w:w="0" w:type="auto"/>
        <w:tblInd w:w="-72" w:type="dxa"/>
        <w:tblLook w:val="01E0" w:firstRow="1" w:lastRow="1" w:firstColumn="1" w:lastColumn="1" w:noHBand="0" w:noVBand="0"/>
      </w:tblPr>
      <w:tblGrid>
        <w:gridCol w:w="730"/>
        <w:gridCol w:w="8564"/>
      </w:tblGrid>
      <w:tr w:rsidR="0085038C" w:rsidTr="00C46CDF">
        <w:tc>
          <w:tcPr>
            <w:tcW w:w="9294" w:type="dxa"/>
            <w:gridSpan w:val="2"/>
            <w:hideMark/>
          </w:tcPr>
          <w:p w:rsidR="0085038C" w:rsidRDefault="0085038C" w:rsidP="00C46CDF">
            <w:pPr>
              <w:spacing w:after="120"/>
              <w:jc w:val="center"/>
              <w:rPr>
                <w:rFonts w:ascii="Arial" w:hAnsi="Arial" w:cs="Arial"/>
                <w:b/>
                <w:bCs/>
              </w:rPr>
            </w:pPr>
            <w:r>
              <w:rPr>
                <w:rFonts w:ascii="Arial" w:hAnsi="Arial" w:cs="Arial"/>
                <w:b/>
                <w:bCs/>
              </w:rPr>
              <w:t>V.</w:t>
            </w:r>
          </w:p>
        </w:tc>
      </w:tr>
      <w:tr w:rsidR="0085038C" w:rsidTr="00C46CDF">
        <w:tc>
          <w:tcPr>
            <w:tcW w:w="9294" w:type="dxa"/>
            <w:gridSpan w:val="2"/>
            <w:hideMark/>
          </w:tcPr>
          <w:p w:rsidR="0085038C" w:rsidRDefault="0085038C" w:rsidP="00C46CDF">
            <w:pPr>
              <w:pStyle w:val="Zkladntext3"/>
              <w:jc w:val="center"/>
              <w:rPr>
                <w:rFonts w:cs="Arial"/>
                <w:b/>
                <w:bCs/>
                <w:szCs w:val="24"/>
              </w:rPr>
            </w:pPr>
            <w:r>
              <w:rPr>
                <w:rFonts w:cs="Arial"/>
                <w:b/>
                <w:bCs/>
                <w:szCs w:val="24"/>
              </w:rPr>
              <w:t>Vymezení majetkových práv a povinností</w:t>
            </w:r>
          </w:p>
        </w:tc>
      </w:tr>
      <w:tr w:rsidR="0085038C" w:rsidTr="00C46CDF">
        <w:tc>
          <w:tcPr>
            <w:tcW w:w="730" w:type="dxa"/>
            <w:hideMark/>
          </w:tcPr>
          <w:p w:rsidR="0085038C" w:rsidRDefault="0085038C" w:rsidP="00C46CDF">
            <w:pPr>
              <w:pStyle w:val="XXX"/>
            </w:pPr>
            <w:r>
              <w:t>1.</w:t>
            </w:r>
          </w:p>
        </w:tc>
        <w:tc>
          <w:tcPr>
            <w:tcW w:w="8564" w:type="dxa"/>
            <w:hideMark/>
          </w:tcPr>
          <w:p w:rsidR="0085038C" w:rsidRDefault="0085038C" w:rsidP="00C46CDF">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85038C" w:rsidTr="00C46CDF">
        <w:tc>
          <w:tcPr>
            <w:tcW w:w="730" w:type="dxa"/>
            <w:hideMark/>
          </w:tcPr>
          <w:p w:rsidR="0085038C" w:rsidRDefault="0085038C" w:rsidP="00C46CDF">
            <w:pPr>
              <w:pStyle w:val="XXX"/>
            </w:pPr>
            <w:r>
              <w:t>2.</w:t>
            </w:r>
          </w:p>
        </w:tc>
        <w:tc>
          <w:tcPr>
            <w:tcW w:w="8564" w:type="dxa"/>
            <w:hideMark/>
          </w:tcPr>
          <w:p w:rsidR="0085038C" w:rsidRDefault="0085038C" w:rsidP="00C46CDF">
            <w:pPr>
              <w:pStyle w:val="XXX"/>
            </w:pPr>
            <w:r>
              <w:t xml:space="preserve">Příspěvková organizace je povinna svěřený majetek chránit před zničením a poškozením, chránit jej před odcizením nebo zneužitím nebo před </w:t>
            </w:r>
            <w:r>
              <w:lastRenderedPageBreak/>
              <w:t>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85038C" w:rsidTr="00C46CDF">
        <w:tc>
          <w:tcPr>
            <w:tcW w:w="730" w:type="dxa"/>
            <w:hideMark/>
          </w:tcPr>
          <w:p w:rsidR="0085038C" w:rsidRDefault="0085038C" w:rsidP="00C46CDF">
            <w:pPr>
              <w:pStyle w:val="XXX"/>
            </w:pPr>
            <w:r>
              <w:lastRenderedPageBreak/>
              <w:t>3.</w:t>
            </w:r>
          </w:p>
        </w:tc>
        <w:tc>
          <w:tcPr>
            <w:tcW w:w="8564" w:type="dxa"/>
            <w:hideMark/>
          </w:tcPr>
          <w:p w:rsidR="0085038C" w:rsidRDefault="0085038C" w:rsidP="00C46CDF">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85038C" w:rsidTr="00C46CDF">
        <w:tc>
          <w:tcPr>
            <w:tcW w:w="730" w:type="dxa"/>
            <w:hideMark/>
          </w:tcPr>
          <w:p w:rsidR="0085038C" w:rsidRDefault="0085038C" w:rsidP="00C46CDF">
            <w:pPr>
              <w:pStyle w:val="XXX"/>
            </w:pPr>
            <w:r>
              <w:t>4.</w:t>
            </w:r>
          </w:p>
        </w:tc>
        <w:tc>
          <w:tcPr>
            <w:tcW w:w="8564" w:type="dxa"/>
            <w:hideMark/>
          </w:tcPr>
          <w:p w:rsidR="0085038C" w:rsidRDefault="0085038C" w:rsidP="00C46CDF">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85038C" w:rsidTr="00C46CDF">
        <w:tc>
          <w:tcPr>
            <w:tcW w:w="730" w:type="dxa"/>
            <w:hideMark/>
          </w:tcPr>
          <w:p w:rsidR="0085038C" w:rsidRDefault="0085038C" w:rsidP="00C46CDF">
            <w:pPr>
              <w:pStyle w:val="XXX"/>
            </w:pPr>
            <w:r>
              <w:t>5.</w:t>
            </w:r>
          </w:p>
        </w:tc>
        <w:tc>
          <w:tcPr>
            <w:tcW w:w="8564" w:type="dxa"/>
            <w:hideMark/>
          </w:tcPr>
          <w:p w:rsidR="0085038C" w:rsidRDefault="0085038C" w:rsidP="00C46CDF">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85038C" w:rsidTr="00C46CDF">
        <w:tc>
          <w:tcPr>
            <w:tcW w:w="730" w:type="dxa"/>
            <w:hideMark/>
          </w:tcPr>
          <w:p w:rsidR="0085038C" w:rsidRDefault="0085038C" w:rsidP="00C46CDF">
            <w:pPr>
              <w:pStyle w:val="XXX"/>
              <w:spacing w:before="180"/>
            </w:pPr>
            <w:r>
              <w:t>6.</w:t>
            </w:r>
          </w:p>
        </w:tc>
        <w:tc>
          <w:tcPr>
            <w:tcW w:w="8564" w:type="dxa"/>
            <w:hideMark/>
          </w:tcPr>
          <w:p w:rsidR="0085038C" w:rsidRDefault="0085038C" w:rsidP="00C46CDF">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85038C" w:rsidTr="00C46CDF">
        <w:tc>
          <w:tcPr>
            <w:tcW w:w="730" w:type="dxa"/>
            <w:hideMark/>
          </w:tcPr>
          <w:p w:rsidR="0085038C" w:rsidRDefault="0085038C" w:rsidP="00C46CDF">
            <w:pPr>
              <w:pStyle w:val="XXX"/>
            </w:pPr>
            <w:r>
              <w:t xml:space="preserve">7. </w:t>
            </w:r>
          </w:p>
        </w:tc>
        <w:tc>
          <w:tcPr>
            <w:tcW w:w="8564" w:type="dxa"/>
            <w:hideMark/>
          </w:tcPr>
          <w:p w:rsidR="0085038C" w:rsidRDefault="0085038C" w:rsidP="00C46CDF">
            <w:pPr>
              <w:pStyle w:val="XXX"/>
            </w:pPr>
            <w:r>
              <w:t>Investiční činnost a opravy může příspěvková organizace provádět  pouze na základě zřizovatelem schváleného plánu oprav a investic.</w:t>
            </w:r>
          </w:p>
          <w:p w:rsidR="0085038C" w:rsidRDefault="0085038C" w:rsidP="00C46CDF">
            <w:pPr>
              <w:pStyle w:val="XXX"/>
            </w:pPr>
            <w:r>
              <w:t>Příspěvková organizace je oprávněna provádět bez souhlasu zřizovatele opravy movitého majetku.   </w:t>
            </w:r>
          </w:p>
          <w:p w:rsidR="0085038C" w:rsidRDefault="008C4038" w:rsidP="00C46CDF">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85038C">
              <w:t>.</w:t>
            </w:r>
          </w:p>
        </w:tc>
      </w:tr>
      <w:tr w:rsidR="0085038C" w:rsidTr="00C46CDF">
        <w:tc>
          <w:tcPr>
            <w:tcW w:w="730" w:type="dxa"/>
            <w:hideMark/>
          </w:tcPr>
          <w:p w:rsidR="0085038C" w:rsidRDefault="0085038C" w:rsidP="00C46CDF">
            <w:pPr>
              <w:pStyle w:val="XXX"/>
            </w:pPr>
            <w:r>
              <w:t>8.</w:t>
            </w:r>
          </w:p>
        </w:tc>
        <w:tc>
          <w:tcPr>
            <w:tcW w:w="8564" w:type="dxa"/>
          </w:tcPr>
          <w:p w:rsidR="0085038C" w:rsidRDefault="0085038C" w:rsidP="00C46CDF">
            <w:pPr>
              <w:pStyle w:val="XXX"/>
            </w:pPr>
            <w:r>
              <w:t xml:space="preserve">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w:t>
            </w:r>
            <w:r>
              <w:lastRenderedPageBreak/>
              <w:t>může příspěvková organizace pořizovat tento majetek do svého hospodaření pouze po předchozím písemném souhlasu zřizovatele.</w:t>
            </w:r>
          </w:p>
          <w:p w:rsidR="0085038C" w:rsidRDefault="0085038C" w:rsidP="00C46CDF">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85038C" w:rsidTr="00C46CDF">
        <w:tc>
          <w:tcPr>
            <w:tcW w:w="730" w:type="dxa"/>
            <w:hideMark/>
          </w:tcPr>
          <w:p w:rsidR="0085038C" w:rsidRDefault="0085038C" w:rsidP="00C46CDF">
            <w:pPr>
              <w:pStyle w:val="XXX"/>
            </w:pPr>
            <w:r>
              <w:lastRenderedPageBreak/>
              <w:t>9.</w:t>
            </w:r>
          </w:p>
        </w:tc>
        <w:tc>
          <w:tcPr>
            <w:tcW w:w="8564" w:type="dxa"/>
            <w:hideMark/>
          </w:tcPr>
          <w:p w:rsidR="0085038C" w:rsidRDefault="0085038C" w:rsidP="00C46CDF">
            <w:pPr>
              <w:pStyle w:val="XXX"/>
            </w:pPr>
            <w: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85038C" w:rsidTr="00C46CDF">
        <w:tc>
          <w:tcPr>
            <w:tcW w:w="730" w:type="dxa"/>
            <w:hideMark/>
          </w:tcPr>
          <w:p w:rsidR="0085038C" w:rsidRDefault="0085038C" w:rsidP="00C46CDF">
            <w:pPr>
              <w:pStyle w:val="XXX"/>
            </w:pPr>
            <w:r>
              <w:t>10.</w:t>
            </w:r>
          </w:p>
        </w:tc>
        <w:tc>
          <w:tcPr>
            <w:tcW w:w="8564" w:type="dxa"/>
            <w:hideMark/>
          </w:tcPr>
          <w:p w:rsidR="0085038C" w:rsidRDefault="0085038C" w:rsidP="00C46CDF">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85038C" w:rsidTr="00C46CDF">
        <w:tc>
          <w:tcPr>
            <w:tcW w:w="730" w:type="dxa"/>
            <w:hideMark/>
          </w:tcPr>
          <w:p w:rsidR="0085038C" w:rsidRDefault="0085038C" w:rsidP="00C46CDF">
            <w:pPr>
              <w:pStyle w:val="XXX"/>
            </w:pPr>
            <w:r>
              <w:t>11.</w:t>
            </w:r>
          </w:p>
        </w:tc>
        <w:tc>
          <w:tcPr>
            <w:tcW w:w="8564" w:type="dxa"/>
          </w:tcPr>
          <w:p w:rsidR="0085038C" w:rsidRDefault="0085038C" w:rsidP="00C46CDF">
            <w:pPr>
              <w:pStyle w:val="XXX"/>
            </w:pPr>
          </w:p>
        </w:tc>
      </w:tr>
      <w:tr w:rsidR="0085038C" w:rsidTr="00C46CDF">
        <w:tc>
          <w:tcPr>
            <w:tcW w:w="730" w:type="dxa"/>
            <w:hideMark/>
          </w:tcPr>
          <w:p w:rsidR="0085038C" w:rsidRDefault="0085038C" w:rsidP="00C46CDF">
            <w:pPr>
              <w:pStyle w:val="XXX"/>
              <w:spacing w:after="60"/>
            </w:pPr>
            <w:r>
              <w:t>a)</w:t>
            </w:r>
          </w:p>
        </w:tc>
        <w:tc>
          <w:tcPr>
            <w:tcW w:w="8564" w:type="dxa"/>
            <w:hideMark/>
          </w:tcPr>
          <w:p w:rsidR="0085038C" w:rsidRDefault="0085038C" w:rsidP="00C46CDF">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85038C" w:rsidTr="00C46CDF">
        <w:tc>
          <w:tcPr>
            <w:tcW w:w="730" w:type="dxa"/>
            <w:hideMark/>
          </w:tcPr>
          <w:p w:rsidR="0085038C" w:rsidRDefault="0085038C" w:rsidP="00C46CDF">
            <w:pPr>
              <w:pStyle w:val="XXX"/>
              <w:spacing w:after="60"/>
            </w:pPr>
            <w:r>
              <w:t>b)</w:t>
            </w:r>
          </w:p>
        </w:tc>
        <w:tc>
          <w:tcPr>
            <w:tcW w:w="8564" w:type="dxa"/>
            <w:hideMark/>
          </w:tcPr>
          <w:p w:rsidR="0085038C" w:rsidRDefault="0085038C" w:rsidP="00C46CDF">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85038C" w:rsidTr="00C46CDF">
        <w:tc>
          <w:tcPr>
            <w:tcW w:w="730" w:type="dxa"/>
            <w:hideMark/>
          </w:tcPr>
          <w:p w:rsidR="0085038C" w:rsidRDefault="0085038C" w:rsidP="00C46CDF">
            <w:pPr>
              <w:pStyle w:val="XXX"/>
              <w:spacing w:after="60"/>
            </w:pPr>
            <w:r>
              <w:t>c)</w:t>
            </w:r>
          </w:p>
        </w:tc>
        <w:tc>
          <w:tcPr>
            <w:tcW w:w="8564" w:type="dxa"/>
            <w:hideMark/>
          </w:tcPr>
          <w:p w:rsidR="0085038C" w:rsidRDefault="0085038C" w:rsidP="00C46CDF">
            <w:pPr>
              <w:pStyle w:val="XXX"/>
              <w:spacing w:after="60"/>
              <w:rPr>
                <w:rFonts w:cs="Arial"/>
              </w:rPr>
            </w:pPr>
            <w:r>
              <w:t xml:space="preserve">Příspěvková organizace je oprávněna bez souhlasu zřizovatele pronajmout byt, který je jejím svěřeným majetkem, pouze na dobu určitou, nejdéle však na jeden rok. V ostatních případech může příspěvková organizace byt, který je </w:t>
            </w:r>
            <w:r>
              <w:lastRenderedPageBreak/>
              <w:t>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85038C" w:rsidTr="00C46CDF">
        <w:tc>
          <w:tcPr>
            <w:tcW w:w="730" w:type="dxa"/>
            <w:hideMark/>
          </w:tcPr>
          <w:p w:rsidR="0085038C" w:rsidRDefault="0085038C" w:rsidP="00C46CDF">
            <w:pPr>
              <w:pStyle w:val="XXX"/>
              <w:spacing w:after="60"/>
            </w:pPr>
            <w:r>
              <w:lastRenderedPageBreak/>
              <w:t>12.</w:t>
            </w:r>
          </w:p>
        </w:tc>
        <w:tc>
          <w:tcPr>
            <w:tcW w:w="8564" w:type="dxa"/>
          </w:tcPr>
          <w:p w:rsidR="0085038C" w:rsidRDefault="0085038C" w:rsidP="00C46CDF">
            <w:pPr>
              <w:pStyle w:val="XXX"/>
              <w:spacing w:after="60"/>
            </w:pPr>
          </w:p>
        </w:tc>
      </w:tr>
      <w:tr w:rsidR="0085038C" w:rsidTr="00C46CDF">
        <w:tc>
          <w:tcPr>
            <w:tcW w:w="730" w:type="dxa"/>
            <w:hideMark/>
          </w:tcPr>
          <w:p w:rsidR="0085038C" w:rsidRDefault="0085038C" w:rsidP="00C46CDF">
            <w:pPr>
              <w:pStyle w:val="XXX"/>
              <w:spacing w:after="60"/>
            </w:pPr>
            <w:r>
              <w:t>a)</w:t>
            </w:r>
          </w:p>
        </w:tc>
        <w:tc>
          <w:tcPr>
            <w:tcW w:w="8564" w:type="dxa"/>
            <w:hideMark/>
          </w:tcPr>
          <w:p w:rsidR="0085038C" w:rsidRDefault="0085038C" w:rsidP="00C46CDF">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85038C" w:rsidTr="00C46CDF">
        <w:tc>
          <w:tcPr>
            <w:tcW w:w="730" w:type="dxa"/>
            <w:hideMark/>
          </w:tcPr>
          <w:p w:rsidR="0085038C" w:rsidRDefault="0085038C" w:rsidP="00C46CDF">
            <w:pPr>
              <w:pStyle w:val="XXX"/>
              <w:spacing w:after="60"/>
            </w:pPr>
            <w:r>
              <w:t>b)</w:t>
            </w:r>
          </w:p>
        </w:tc>
        <w:tc>
          <w:tcPr>
            <w:tcW w:w="8564" w:type="dxa"/>
            <w:hideMark/>
          </w:tcPr>
          <w:p w:rsidR="0085038C" w:rsidRDefault="0085038C" w:rsidP="00C46CDF">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85038C" w:rsidTr="00C46CDF">
        <w:tc>
          <w:tcPr>
            <w:tcW w:w="730" w:type="dxa"/>
            <w:hideMark/>
          </w:tcPr>
          <w:p w:rsidR="0085038C" w:rsidRDefault="0085038C" w:rsidP="00C46CDF">
            <w:pPr>
              <w:pStyle w:val="XXX"/>
              <w:spacing w:after="60"/>
            </w:pPr>
            <w:r>
              <w:t>13.</w:t>
            </w:r>
          </w:p>
        </w:tc>
        <w:tc>
          <w:tcPr>
            <w:tcW w:w="8564" w:type="dxa"/>
            <w:hideMark/>
          </w:tcPr>
          <w:p w:rsidR="0085038C" w:rsidRDefault="0085038C" w:rsidP="00C46CDF">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85038C" w:rsidTr="00C46CDF">
        <w:tc>
          <w:tcPr>
            <w:tcW w:w="730" w:type="dxa"/>
            <w:hideMark/>
          </w:tcPr>
          <w:p w:rsidR="0085038C" w:rsidRDefault="0085038C" w:rsidP="00C46CDF">
            <w:pPr>
              <w:pStyle w:val="XXX"/>
              <w:spacing w:after="60"/>
            </w:pPr>
            <w:r>
              <w:t>14.</w:t>
            </w:r>
          </w:p>
        </w:tc>
        <w:tc>
          <w:tcPr>
            <w:tcW w:w="8564" w:type="dxa"/>
            <w:hideMark/>
          </w:tcPr>
          <w:p w:rsidR="0085038C" w:rsidRDefault="0085038C" w:rsidP="00C46CDF">
            <w:pPr>
              <w:pStyle w:val="XXX"/>
              <w:spacing w:after="60"/>
            </w:pPr>
            <w:r>
              <w:t>Příspěvková organizace je povinna zřizovateli umožnit provádění kontroly své činnosti a svého hospodaření v rozsahu a způsobem, daným pokyny zřizovatele.</w:t>
            </w:r>
          </w:p>
        </w:tc>
      </w:tr>
      <w:tr w:rsidR="0085038C" w:rsidTr="00C46CDF">
        <w:tc>
          <w:tcPr>
            <w:tcW w:w="730" w:type="dxa"/>
            <w:hideMark/>
          </w:tcPr>
          <w:p w:rsidR="0085038C" w:rsidRDefault="0085038C" w:rsidP="00C46CDF">
            <w:pPr>
              <w:pStyle w:val="XXX"/>
              <w:spacing w:after="60"/>
            </w:pPr>
            <w:r>
              <w:t>15.</w:t>
            </w:r>
          </w:p>
        </w:tc>
        <w:tc>
          <w:tcPr>
            <w:tcW w:w="8564" w:type="dxa"/>
            <w:hideMark/>
          </w:tcPr>
          <w:p w:rsidR="0085038C" w:rsidRDefault="0085038C" w:rsidP="00C46CDF">
            <w:pPr>
              <w:pStyle w:val="XXX"/>
              <w:spacing w:after="60"/>
            </w:pPr>
            <w:r>
              <w:t>Majetková práva nevymezená příspěvkové organizaci touto zřizovací listinou vykonává zřizovatel.</w:t>
            </w:r>
          </w:p>
        </w:tc>
      </w:tr>
    </w:tbl>
    <w:p w:rsidR="0085038C" w:rsidRDefault="0085038C" w:rsidP="0085038C">
      <w:pPr>
        <w:pStyle w:val="Bntext-odsazendole"/>
      </w:pPr>
    </w:p>
    <w:p w:rsidR="0085038C" w:rsidRDefault="0085038C" w:rsidP="0085038C">
      <w:pPr>
        <w:pStyle w:val="Bntext-odsazendole"/>
      </w:pPr>
      <w:r>
        <w:t>Tento dodatek nabývá platnosti dnem jeho schválení Zastupitelstvem Olomouckého kraje s účinností od 24. 6. 2019.</w:t>
      </w:r>
    </w:p>
    <w:p w:rsidR="0085038C" w:rsidRDefault="0085038C" w:rsidP="0085038C">
      <w:pPr>
        <w:pStyle w:val="Bntext-odsazendole"/>
        <w:spacing w:after="120"/>
      </w:pPr>
      <w:r>
        <w:t>V Olomouci dne 24. 6. 2019</w:t>
      </w:r>
    </w:p>
    <w:p w:rsidR="0085038C" w:rsidRDefault="0085038C" w:rsidP="0085038C">
      <w:pPr>
        <w:pStyle w:val="Bntext-odsazendole"/>
        <w:spacing w:after="0"/>
        <w:ind w:left="5664"/>
        <w:rPr>
          <w:rFonts w:cs="Arial"/>
        </w:rPr>
      </w:pPr>
      <w:r>
        <w:rPr>
          <w:rFonts w:cs="Arial"/>
        </w:rPr>
        <w:t xml:space="preserve">    Ladislav Okleštěk</w:t>
      </w:r>
    </w:p>
    <w:p w:rsidR="0085038C" w:rsidRDefault="0085038C" w:rsidP="00477283">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360E71" w:rsidRDefault="00360E71"/>
    <w:sectPr w:rsidR="00360E71" w:rsidSect="008C40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F8B" w:rsidRDefault="006D3F8B" w:rsidP="0085038C">
      <w:r>
        <w:separator/>
      </w:r>
    </w:p>
  </w:endnote>
  <w:endnote w:type="continuationSeparator" w:id="0">
    <w:p w:rsidR="006D3F8B" w:rsidRDefault="006D3F8B" w:rsidP="0085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73" w:rsidRDefault="00404F7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8C" w:rsidRDefault="00404F73" w:rsidP="0085038C">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85038C" w:rsidRPr="001B49D7">
      <w:rPr>
        <w:rFonts w:ascii="Arial" w:hAnsi="Arial" w:cs="Arial"/>
        <w:i/>
        <w:sz w:val="20"/>
        <w:szCs w:val="20"/>
      </w:rPr>
      <w:tab/>
    </w:r>
    <w:r w:rsidR="0085038C">
      <w:rPr>
        <w:rFonts w:ascii="Arial" w:hAnsi="Arial" w:cs="Arial"/>
        <w:i/>
        <w:sz w:val="20"/>
        <w:szCs w:val="20"/>
      </w:rPr>
      <w:tab/>
    </w:r>
    <w:r w:rsidR="0085038C" w:rsidRPr="002619C7">
      <w:rPr>
        <w:rFonts w:ascii="Arial" w:hAnsi="Arial" w:cs="Arial"/>
        <w:i/>
        <w:sz w:val="20"/>
        <w:szCs w:val="20"/>
      </w:rPr>
      <w:t>strana</w:t>
    </w:r>
    <w:r w:rsidR="0085038C">
      <w:rPr>
        <w:rFonts w:ascii="Arial" w:hAnsi="Arial" w:cs="Arial"/>
        <w:i/>
        <w:sz w:val="20"/>
        <w:szCs w:val="20"/>
      </w:rPr>
      <w:t xml:space="preserve"> </w:t>
    </w:r>
    <w:r w:rsidR="008C4038">
      <w:rPr>
        <w:rFonts w:ascii="Arial" w:hAnsi="Arial" w:cs="Arial"/>
        <w:i/>
        <w:sz w:val="20"/>
        <w:szCs w:val="20"/>
      </w:rPr>
      <w:fldChar w:fldCharType="begin"/>
    </w:r>
    <w:r w:rsidR="008C4038">
      <w:rPr>
        <w:rFonts w:ascii="Arial" w:hAnsi="Arial" w:cs="Arial"/>
        <w:i/>
        <w:sz w:val="20"/>
        <w:szCs w:val="20"/>
      </w:rPr>
      <w:instrText xml:space="preserve"> PAGE   \* MERGEFORMAT </w:instrText>
    </w:r>
    <w:r w:rsidR="008C4038">
      <w:rPr>
        <w:rFonts w:ascii="Arial" w:hAnsi="Arial" w:cs="Arial"/>
        <w:i/>
        <w:sz w:val="20"/>
        <w:szCs w:val="20"/>
      </w:rPr>
      <w:fldChar w:fldCharType="separate"/>
    </w:r>
    <w:r>
      <w:rPr>
        <w:rFonts w:ascii="Arial" w:hAnsi="Arial" w:cs="Arial"/>
        <w:i/>
        <w:noProof/>
        <w:sz w:val="20"/>
        <w:szCs w:val="20"/>
      </w:rPr>
      <w:t>160</w:t>
    </w:r>
    <w:r w:rsidR="008C4038">
      <w:rPr>
        <w:rFonts w:ascii="Arial" w:hAnsi="Arial" w:cs="Arial"/>
        <w:i/>
        <w:sz w:val="20"/>
        <w:szCs w:val="20"/>
      </w:rPr>
      <w:fldChar w:fldCharType="end"/>
    </w:r>
    <w:r w:rsidR="0085038C">
      <w:rPr>
        <w:rStyle w:val="slostrnky"/>
        <w:rFonts w:ascii="Arial" w:hAnsi="Arial" w:cs="Arial"/>
        <w:i/>
        <w:sz w:val="20"/>
        <w:szCs w:val="20"/>
      </w:rPr>
      <w:t xml:space="preserve"> (celkem </w:t>
    </w:r>
    <w:r w:rsidR="00DF46CA">
      <w:rPr>
        <w:rStyle w:val="slostrnky"/>
        <w:rFonts w:ascii="Arial" w:hAnsi="Arial" w:cs="Arial"/>
        <w:i/>
        <w:sz w:val="20"/>
        <w:szCs w:val="20"/>
      </w:rPr>
      <w:t>455</w:t>
    </w:r>
    <w:r w:rsidR="0085038C" w:rsidRPr="002619C7">
      <w:rPr>
        <w:rStyle w:val="slostrnky"/>
        <w:rFonts w:ascii="Arial" w:hAnsi="Arial" w:cs="Arial"/>
        <w:i/>
        <w:sz w:val="20"/>
        <w:szCs w:val="20"/>
      </w:rPr>
      <w:t>)</w:t>
    </w:r>
  </w:p>
  <w:p w:rsidR="0085038C" w:rsidRDefault="00404F73" w:rsidP="0085038C">
    <w:pPr>
      <w:pStyle w:val="Zhlav"/>
      <w:rPr>
        <w:rFonts w:ascii="Arial" w:hAnsi="Arial" w:cs="Arial"/>
        <w:i/>
        <w:sz w:val="20"/>
        <w:szCs w:val="20"/>
      </w:rPr>
    </w:pPr>
    <w:r>
      <w:rPr>
        <w:rFonts w:ascii="Arial" w:hAnsi="Arial" w:cs="Arial"/>
        <w:i/>
        <w:sz w:val="20"/>
        <w:szCs w:val="20"/>
      </w:rPr>
      <w:t>17</w:t>
    </w:r>
    <w:bookmarkStart w:id="0" w:name="_GoBack"/>
    <w:bookmarkEnd w:id="0"/>
    <w:r w:rsidR="0085038C" w:rsidRPr="00311770">
      <w:rPr>
        <w:rFonts w:ascii="Arial" w:hAnsi="Arial" w:cs="Arial"/>
        <w:i/>
        <w:sz w:val="20"/>
        <w:szCs w:val="20"/>
      </w:rPr>
      <w:t>. - Dodatky zřizovacích listin školských příspěvkových organizací</w:t>
    </w:r>
    <w:r w:rsidR="0085038C" w:rsidRPr="00BE2658">
      <w:rPr>
        <w:rFonts w:ascii="Arial" w:hAnsi="Arial" w:cs="Arial"/>
        <w:i/>
        <w:sz w:val="20"/>
        <w:szCs w:val="20"/>
      </w:rPr>
      <w:t xml:space="preserve"> </w:t>
    </w:r>
  </w:p>
  <w:p w:rsidR="0085038C" w:rsidRPr="0085038C" w:rsidRDefault="0085038C" w:rsidP="0085038C">
    <w:pPr>
      <w:pStyle w:val="Zhlav"/>
      <w:rPr>
        <w:i/>
        <w:sz w:val="20"/>
        <w:szCs w:val="20"/>
      </w:rPr>
    </w:pPr>
    <w:r w:rsidRPr="00433B03">
      <w:rPr>
        <w:rFonts w:ascii="Arial" w:hAnsi="Arial" w:cs="Arial"/>
        <w:i/>
        <w:sz w:val="20"/>
        <w:szCs w:val="20"/>
      </w:rPr>
      <w:t xml:space="preserve">Příloha č. </w:t>
    </w:r>
    <w:r>
      <w:rPr>
        <w:rFonts w:ascii="Arial" w:hAnsi="Arial" w:cs="Arial"/>
        <w:i/>
        <w:sz w:val="20"/>
        <w:szCs w:val="20"/>
      </w:rPr>
      <w:t>38</w:t>
    </w:r>
    <w:r w:rsidRPr="00433B03">
      <w:rPr>
        <w:rFonts w:ascii="Arial" w:hAnsi="Arial" w:cs="Arial"/>
        <w:i/>
        <w:sz w:val="20"/>
        <w:szCs w:val="20"/>
      </w:rPr>
      <w:t xml:space="preserve"> - Dodatek č. 1</w:t>
    </w:r>
    <w:r>
      <w:rPr>
        <w:rFonts w:ascii="Arial" w:hAnsi="Arial" w:cs="Arial"/>
        <w:i/>
        <w:sz w:val="20"/>
        <w:szCs w:val="20"/>
      </w:rPr>
      <w:t>4</w:t>
    </w:r>
    <w:r w:rsidRPr="00433B03">
      <w:rPr>
        <w:rFonts w:ascii="Arial" w:hAnsi="Arial" w:cs="Arial"/>
        <w:i/>
        <w:sz w:val="20"/>
        <w:szCs w:val="20"/>
      </w:rPr>
      <w:t xml:space="preserve"> ke zřizovací listině </w:t>
    </w:r>
    <w:r w:rsidRPr="00433B03">
      <w:rPr>
        <w:rFonts w:ascii="Arial" w:hAnsi="Arial" w:cs="Arial"/>
        <w:i/>
        <w:noProof/>
        <w:sz w:val="20"/>
        <w:szCs w:val="20"/>
      </w:rPr>
      <w:t>Slovanského gymnázia, Olomouc, tř. Jiřího z Poděbrad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73" w:rsidRDefault="00404F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F8B" w:rsidRDefault="006D3F8B" w:rsidP="0085038C">
      <w:r>
        <w:separator/>
      </w:r>
    </w:p>
  </w:footnote>
  <w:footnote w:type="continuationSeparator" w:id="0">
    <w:p w:rsidR="006D3F8B" w:rsidRDefault="006D3F8B" w:rsidP="00850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73" w:rsidRDefault="00404F7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8C" w:rsidRPr="0085038C" w:rsidRDefault="0085038C" w:rsidP="0085038C">
    <w:pPr>
      <w:pStyle w:val="Zhlav"/>
      <w:jc w:val="center"/>
      <w:rPr>
        <w:rFonts w:ascii="Arial" w:hAnsi="Arial" w:cs="Arial"/>
        <w:i/>
      </w:rPr>
    </w:pPr>
    <w:r w:rsidRPr="00BD06E6">
      <w:rPr>
        <w:rFonts w:ascii="Arial" w:hAnsi="Arial" w:cs="Arial"/>
        <w:i/>
      </w:rPr>
      <w:t xml:space="preserve">Příloha č. </w:t>
    </w:r>
    <w:r>
      <w:rPr>
        <w:rFonts w:ascii="Arial" w:hAnsi="Arial" w:cs="Arial"/>
        <w:i/>
      </w:rPr>
      <w:t xml:space="preserve">38 - </w:t>
    </w:r>
    <w:r w:rsidRPr="00BD06E6">
      <w:rPr>
        <w:rFonts w:ascii="Arial" w:hAnsi="Arial" w:cs="Arial"/>
        <w:i/>
      </w:rPr>
      <w:t xml:space="preserve">Dodatek č. </w:t>
    </w:r>
    <w:r>
      <w:rPr>
        <w:rFonts w:ascii="Arial" w:hAnsi="Arial" w:cs="Arial"/>
        <w:i/>
      </w:rPr>
      <w:t>14</w:t>
    </w:r>
    <w:r w:rsidRPr="00BD06E6">
      <w:rPr>
        <w:rFonts w:ascii="Arial" w:hAnsi="Arial" w:cs="Arial"/>
        <w:i/>
      </w:rPr>
      <w:t xml:space="preserve"> ke zřizovací </w:t>
    </w:r>
    <w:r w:rsidRPr="009E3B9A">
      <w:rPr>
        <w:rFonts w:ascii="Arial" w:hAnsi="Arial" w:cs="Arial"/>
        <w:i/>
      </w:rPr>
      <w:t xml:space="preserve">listině </w:t>
    </w:r>
    <w:r>
      <w:rPr>
        <w:rFonts w:ascii="Arial" w:hAnsi="Arial" w:cs="Arial"/>
        <w:i/>
        <w:noProof/>
      </w:rPr>
      <w:t>Slovanského gymnázia, Olomouc, tř. Jiřího z Poděbrad 13</w:t>
    </w:r>
  </w:p>
  <w:p w:rsidR="0085038C" w:rsidRDefault="0085038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73" w:rsidRDefault="00404F7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8C"/>
    <w:rsid w:val="00360E71"/>
    <w:rsid w:val="00404F73"/>
    <w:rsid w:val="004440FC"/>
    <w:rsid w:val="00477283"/>
    <w:rsid w:val="006D3F8B"/>
    <w:rsid w:val="0085038C"/>
    <w:rsid w:val="008C4038"/>
    <w:rsid w:val="00DF4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87FF6-ABA0-4DB5-8346-64C2BE6A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38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85038C"/>
    <w:pPr>
      <w:spacing w:after="360"/>
      <w:contextualSpacing/>
      <w:jc w:val="center"/>
    </w:pPr>
    <w:rPr>
      <w:rFonts w:ascii="Arial" w:hAnsi="Arial"/>
      <w:b/>
    </w:rPr>
  </w:style>
  <w:style w:type="paragraph" w:customStyle="1" w:styleId="Nzev-tabulka">
    <w:name w:val="Název-tabulka"/>
    <w:basedOn w:val="Normln"/>
    <w:rsid w:val="0085038C"/>
    <w:pPr>
      <w:spacing w:before="120" w:after="120"/>
      <w:jc w:val="both"/>
    </w:pPr>
    <w:rPr>
      <w:rFonts w:ascii="Arial" w:hAnsi="Arial"/>
    </w:rPr>
  </w:style>
  <w:style w:type="paragraph" w:customStyle="1" w:styleId="Nzevkoly-tab">
    <w:name w:val="Název školy-tab."/>
    <w:basedOn w:val="HlavikaZL"/>
    <w:rsid w:val="0085038C"/>
    <w:pPr>
      <w:spacing w:before="120" w:after="120"/>
      <w:contextualSpacing w:val="0"/>
      <w:jc w:val="both"/>
    </w:pPr>
    <w:rPr>
      <w:bCs/>
      <w:szCs w:val="20"/>
    </w:rPr>
  </w:style>
  <w:style w:type="paragraph" w:customStyle="1" w:styleId="Bnstylodsazennahoe">
    <w:name w:val="Běžný styl odsazený nahoře"/>
    <w:basedOn w:val="Normln"/>
    <w:autoRedefine/>
    <w:rsid w:val="0085038C"/>
    <w:pPr>
      <w:spacing w:before="120" w:after="120"/>
      <w:jc w:val="both"/>
    </w:pPr>
    <w:rPr>
      <w:rFonts w:ascii="Arial" w:hAnsi="Arial"/>
    </w:rPr>
  </w:style>
  <w:style w:type="paragraph" w:customStyle="1" w:styleId="Bntext-odsazendole">
    <w:name w:val="Běžný text-odsazený dole"/>
    <w:basedOn w:val="Normln"/>
    <w:link w:val="Bntext-odsazendoleChar"/>
    <w:rsid w:val="0085038C"/>
    <w:pPr>
      <w:spacing w:after="240"/>
      <w:jc w:val="both"/>
    </w:pPr>
    <w:rPr>
      <w:rFonts w:ascii="Arial" w:hAnsi="Arial"/>
    </w:rPr>
  </w:style>
  <w:style w:type="paragraph" w:customStyle="1" w:styleId="Hejtman-podpis">
    <w:name w:val="Hejtman-podpis"/>
    <w:basedOn w:val="Normln"/>
    <w:rsid w:val="0085038C"/>
    <w:pPr>
      <w:spacing w:after="360"/>
      <w:jc w:val="right"/>
    </w:pPr>
    <w:rPr>
      <w:rFonts w:ascii="Arial" w:hAnsi="Arial"/>
    </w:rPr>
  </w:style>
  <w:style w:type="character" w:customStyle="1" w:styleId="Bntext-odsazendoleChar">
    <w:name w:val="Běžný text-odsazený dole Char"/>
    <w:link w:val="Bntext-odsazendole"/>
    <w:rsid w:val="0085038C"/>
    <w:rPr>
      <w:rFonts w:ascii="Arial" w:eastAsia="Times New Roman" w:hAnsi="Arial" w:cs="Times New Roman"/>
      <w:sz w:val="24"/>
      <w:szCs w:val="24"/>
      <w:lang w:eastAsia="cs-CZ"/>
    </w:rPr>
  </w:style>
  <w:style w:type="paragraph" w:styleId="Zkladntext3">
    <w:name w:val="Body Text 3"/>
    <w:basedOn w:val="Normln"/>
    <w:link w:val="Zkladntext3Char"/>
    <w:rsid w:val="0085038C"/>
    <w:pPr>
      <w:spacing w:after="120"/>
      <w:jc w:val="both"/>
    </w:pPr>
    <w:rPr>
      <w:rFonts w:ascii="Arial" w:hAnsi="Arial"/>
      <w:szCs w:val="16"/>
    </w:rPr>
  </w:style>
  <w:style w:type="character" w:customStyle="1" w:styleId="Zkladntext3Char">
    <w:name w:val="Základní text 3 Char"/>
    <w:basedOn w:val="Standardnpsmoodstavce"/>
    <w:link w:val="Zkladntext3"/>
    <w:rsid w:val="0085038C"/>
    <w:rPr>
      <w:rFonts w:ascii="Arial" w:eastAsia="Times New Roman" w:hAnsi="Arial" w:cs="Times New Roman"/>
      <w:sz w:val="24"/>
      <w:szCs w:val="16"/>
      <w:lang w:eastAsia="cs-CZ"/>
    </w:rPr>
  </w:style>
  <w:style w:type="paragraph" w:customStyle="1" w:styleId="XXX">
    <w:name w:val="XXX"/>
    <w:basedOn w:val="Normln"/>
    <w:autoRedefine/>
    <w:uiPriority w:val="99"/>
    <w:rsid w:val="0085038C"/>
    <w:pPr>
      <w:tabs>
        <w:tab w:val="num" w:pos="680"/>
      </w:tabs>
      <w:spacing w:after="120"/>
      <w:jc w:val="both"/>
    </w:pPr>
    <w:rPr>
      <w:rFonts w:ascii="Arial" w:hAnsi="Arial"/>
    </w:rPr>
  </w:style>
  <w:style w:type="paragraph" w:styleId="Zhlav">
    <w:name w:val="header"/>
    <w:basedOn w:val="Normln"/>
    <w:link w:val="ZhlavChar"/>
    <w:unhideWhenUsed/>
    <w:rsid w:val="0085038C"/>
    <w:pPr>
      <w:tabs>
        <w:tab w:val="center" w:pos="4536"/>
        <w:tab w:val="right" w:pos="9072"/>
      </w:tabs>
    </w:pPr>
  </w:style>
  <w:style w:type="character" w:customStyle="1" w:styleId="ZhlavChar">
    <w:name w:val="Záhlaví Char"/>
    <w:basedOn w:val="Standardnpsmoodstavce"/>
    <w:link w:val="Zhlav"/>
    <w:rsid w:val="0085038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5038C"/>
    <w:pPr>
      <w:tabs>
        <w:tab w:val="center" w:pos="4536"/>
        <w:tab w:val="right" w:pos="9072"/>
      </w:tabs>
    </w:pPr>
  </w:style>
  <w:style w:type="character" w:customStyle="1" w:styleId="ZpatChar">
    <w:name w:val="Zápatí Char"/>
    <w:basedOn w:val="Standardnpsmoodstavce"/>
    <w:link w:val="Zpat"/>
    <w:uiPriority w:val="99"/>
    <w:rsid w:val="0085038C"/>
    <w:rPr>
      <w:rFonts w:ascii="Times New Roman" w:eastAsia="Times New Roman" w:hAnsi="Times New Roman" w:cs="Times New Roman"/>
      <w:sz w:val="24"/>
      <w:szCs w:val="24"/>
      <w:lang w:eastAsia="cs-CZ"/>
    </w:rPr>
  </w:style>
  <w:style w:type="character" w:styleId="slostrnky">
    <w:name w:val="page number"/>
    <w:rsid w:val="0085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1597</Words>
  <Characters>9424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Věra</dc:creator>
  <cp:keywords/>
  <dc:description/>
  <cp:lastModifiedBy>Lenhartová Martina</cp:lastModifiedBy>
  <cp:revision>6</cp:revision>
  <dcterms:created xsi:type="dcterms:W3CDTF">2019-05-03T06:31:00Z</dcterms:created>
  <dcterms:modified xsi:type="dcterms:W3CDTF">2019-06-04T07:54:00Z</dcterms:modified>
</cp:coreProperties>
</file>