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ded.xml" ContentType="application/vnd.openxmlformats-officedocument.wordprocessingml.commentsExtended+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DEA741B" w14:textId="77777777" w:rsidR="00194196" w:rsidRPr="004224D5" w:rsidRDefault="00194196" w:rsidP="00194196">
      <w:pPr>
        <w:spacing w:after="120"/>
        <w:ind w:left="0" w:firstLine="0"/>
        <w:jc w:val="center"/>
        <w:rPr>
          <w:rFonts w:ascii="Arial" w:eastAsia="Times New Roman" w:hAnsi="Arial" w:cs="Arial"/>
          <w:b/>
          <w:bCs/>
          <w:caps/>
          <w:sz w:val="28"/>
          <w:szCs w:val="28"/>
          <w:lang w:eastAsia="cs-CZ"/>
        </w:rPr>
      </w:pPr>
      <w:r w:rsidRPr="004224D5">
        <w:rPr>
          <w:rFonts w:ascii="Arial" w:eastAsia="Times New Roman" w:hAnsi="Arial" w:cs="Arial"/>
          <w:b/>
          <w:bCs/>
          <w:caps/>
          <w:sz w:val="28"/>
          <w:szCs w:val="28"/>
          <w:lang w:eastAsia="cs-CZ"/>
        </w:rPr>
        <w:t xml:space="preserve">vzor veřejnoprávní smlouvy o poskytnutí dotace </w:t>
      </w:r>
      <w:r w:rsidRPr="004224D5">
        <w:rPr>
          <w:rFonts w:ascii="Arial" w:eastAsia="Times New Roman" w:hAnsi="Arial" w:cs="Arial"/>
          <w:b/>
          <w:caps/>
          <w:sz w:val="28"/>
          <w:szCs w:val="28"/>
          <w:lang w:eastAsia="cs-CZ"/>
        </w:rPr>
        <w:t xml:space="preserve">na úhradu výdajů na CEloroční činnost příjemce </w:t>
      </w:r>
      <w:r w:rsidR="00586506" w:rsidRPr="00586506">
        <w:rPr>
          <w:rFonts w:ascii="Arial" w:eastAsia="Times New Roman" w:hAnsi="Arial" w:cs="Arial"/>
          <w:b/>
          <w:bCs/>
          <w:caps/>
          <w:sz w:val="28"/>
          <w:szCs w:val="28"/>
          <w:lang w:eastAsia="cs-CZ"/>
        </w:rPr>
        <w:t>v rámci Dotačního programu pro oblast protidrogové prevence pro rok 2016</w:t>
      </w:r>
    </w:p>
    <w:p w14:paraId="4F72DBCC" w14:textId="0466F58F" w:rsidR="001E7CD5" w:rsidRPr="004224D5" w:rsidRDefault="00194196" w:rsidP="001E7CD5">
      <w:pPr>
        <w:ind w:left="0" w:firstLine="0"/>
        <w:jc w:val="center"/>
        <w:outlineLvl w:val="0"/>
        <w:rPr>
          <w:rFonts w:ascii="Arial" w:eastAsia="Times New Roman" w:hAnsi="Arial" w:cs="Arial"/>
          <w:b/>
          <w:bCs/>
          <w:sz w:val="28"/>
          <w:szCs w:val="28"/>
          <w:lang w:eastAsia="cs-CZ"/>
        </w:rPr>
      </w:pPr>
      <w:r w:rsidRPr="004224D5">
        <w:rPr>
          <w:rFonts w:ascii="Arial" w:eastAsia="Times New Roman" w:hAnsi="Arial" w:cs="Arial"/>
          <w:b/>
          <w:bCs/>
          <w:sz w:val="28"/>
          <w:szCs w:val="28"/>
          <w:lang w:eastAsia="cs-CZ"/>
        </w:rPr>
        <w:t>Smlouva o poskytnutí dotace</w:t>
      </w:r>
    </w:p>
    <w:p w14:paraId="5652D0B2" w14:textId="77777777" w:rsidR="00194196" w:rsidRPr="004224D5" w:rsidRDefault="00194196" w:rsidP="00194196">
      <w:pPr>
        <w:spacing w:after="120"/>
        <w:ind w:left="0" w:firstLine="0"/>
        <w:jc w:val="center"/>
        <w:rPr>
          <w:rFonts w:ascii="Arial" w:eastAsia="Times New Roman" w:hAnsi="Arial" w:cs="Arial"/>
          <w:lang w:eastAsia="cs-CZ"/>
        </w:rPr>
      </w:pPr>
      <w:r w:rsidRPr="004224D5">
        <w:rPr>
          <w:rFonts w:ascii="Arial" w:eastAsia="Times New Roman" w:hAnsi="Arial" w:cs="Arial"/>
          <w:lang w:eastAsia="cs-CZ"/>
        </w:rPr>
        <w:t>uzavřená v souladu s § 159 a násl. zákona č. 500/2004 Sb., správní řád, ve znění pozdějších právních předpisů, a se zákonem č. 250/2000 Sb., o rozpočtových pravidlech územních rozpočtů, ve znění pozdějších právních předpisů</w:t>
      </w:r>
    </w:p>
    <w:p w14:paraId="421D1DD9" w14:textId="77777777" w:rsidR="00194196" w:rsidRPr="004224D5" w:rsidRDefault="00194196" w:rsidP="00194196">
      <w:pPr>
        <w:ind w:left="0" w:firstLine="0"/>
        <w:jc w:val="center"/>
        <w:outlineLvl w:val="0"/>
        <w:rPr>
          <w:rFonts w:ascii="Arial" w:eastAsia="Times New Roman" w:hAnsi="Arial" w:cs="Arial"/>
          <w:b/>
          <w:bCs/>
          <w:sz w:val="24"/>
          <w:szCs w:val="24"/>
          <w:lang w:eastAsia="cs-CZ"/>
        </w:rPr>
      </w:pPr>
    </w:p>
    <w:p w14:paraId="4ADDD1CE" w14:textId="77777777" w:rsidR="00D57A84" w:rsidRPr="004224D5" w:rsidRDefault="00D57A84" w:rsidP="00194196">
      <w:pPr>
        <w:keepNext/>
        <w:spacing w:after="240"/>
        <w:ind w:left="0" w:firstLine="0"/>
        <w:jc w:val="center"/>
        <w:rPr>
          <w:rFonts w:ascii="Arial" w:eastAsia="Times New Roman" w:hAnsi="Arial" w:cs="Arial"/>
          <w:b/>
          <w:bCs/>
          <w:sz w:val="24"/>
          <w:szCs w:val="24"/>
          <w:lang w:eastAsia="cs-CZ"/>
        </w:rPr>
      </w:pPr>
    </w:p>
    <w:p w14:paraId="3E7BFE72" w14:textId="77777777" w:rsidR="00194196" w:rsidRPr="004224D5" w:rsidRDefault="00194196" w:rsidP="00194196">
      <w:pPr>
        <w:spacing w:after="120"/>
        <w:ind w:left="0" w:firstLine="0"/>
        <w:outlineLvl w:val="0"/>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Olomoucký kraj</w:t>
      </w:r>
    </w:p>
    <w:p w14:paraId="35DD2811" w14:textId="77777777" w:rsidR="00194196" w:rsidRPr="004224D5" w:rsidRDefault="00194196" w:rsidP="00194196">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sz w:val="24"/>
          <w:szCs w:val="24"/>
          <w:lang w:eastAsia="cs-CZ"/>
        </w:rPr>
        <w:t>Jeremenkova 40a, 779 11 Olomouc</w:t>
      </w:r>
    </w:p>
    <w:p w14:paraId="0056E70D" w14:textId="77777777" w:rsidR="00194196" w:rsidRPr="004224D5" w:rsidRDefault="00194196" w:rsidP="00194196">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IČ: 60609460</w:t>
      </w:r>
    </w:p>
    <w:p w14:paraId="20EA8D28" w14:textId="77777777" w:rsidR="00194196" w:rsidRPr="004224D5" w:rsidRDefault="00194196" w:rsidP="00194196">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DIČ: CZ60609460</w:t>
      </w:r>
    </w:p>
    <w:p w14:paraId="6135EA2F" w14:textId="77777777" w:rsidR="00194196" w:rsidRPr="004224D5" w:rsidRDefault="00194196" w:rsidP="00194196">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Zastoupený:  ....................................…………</w:t>
      </w:r>
    </w:p>
    <w:p w14:paraId="6C65ED34" w14:textId="77777777" w:rsidR="00194196" w:rsidRPr="004224D5" w:rsidRDefault="00194196" w:rsidP="00194196">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Bankovní spojení:</w:t>
      </w:r>
      <w:r w:rsidR="00F548CB" w:rsidRPr="00F548CB">
        <w:rPr>
          <w:rFonts w:ascii="Arial" w:eastAsia="Times New Roman" w:hAnsi="Arial" w:cs="Arial"/>
          <w:sz w:val="24"/>
          <w:szCs w:val="24"/>
          <w:lang w:eastAsia="cs-CZ"/>
        </w:rPr>
        <w:t xml:space="preserve"> </w:t>
      </w:r>
      <w:r w:rsidR="00BA653C" w:rsidRPr="00BA653C">
        <w:rPr>
          <w:rFonts w:ascii="Arial" w:eastAsia="Times New Roman" w:hAnsi="Arial" w:cs="Arial"/>
          <w:sz w:val="24"/>
          <w:szCs w:val="24"/>
          <w:lang w:eastAsia="cs-CZ"/>
        </w:rPr>
        <w:t xml:space="preserve">č. ú .: </w:t>
      </w:r>
      <w:r w:rsidR="00F548CB">
        <w:rPr>
          <w:rFonts w:ascii="Arial" w:eastAsia="Times New Roman" w:hAnsi="Arial" w:cs="Arial"/>
          <w:sz w:val="24"/>
          <w:szCs w:val="24"/>
          <w:lang w:eastAsia="cs-CZ"/>
        </w:rPr>
        <w:t>27-4228330207/0100, Komerční banka a.s.</w:t>
      </w:r>
      <w:r w:rsidR="0021567A">
        <w:rPr>
          <w:rFonts w:ascii="Arial" w:eastAsia="Times New Roman" w:hAnsi="Arial" w:cs="Arial"/>
          <w:sz w:val="24"/>
          <w:szCs w:val="24"/>
          <w:lang w:eastAsia="cs-CZ"/>
        </w:rPr>
        <w:t xml:space="preserve"> </w:t>
      </w:r>
      <w:r w:rsidR="00BA653C">
        <w:rPr>
          <w:rFonts w:ascii="Arial" w:eastAsia="Times New Roman" w:hAnsi="Arial" w:cs="Arial"/>
          <w:sz w:val="24"/>
          <w:szCs w:val="24"/>
          <w:lang w:eastAsia="cs-CZ"/>
        </w:rPr>
        <w:t xml:space="preserve">Olomouc </w:t>
      </w:r>
    </w:p>
    <w:p w14:paraId="1D49E5D2" w14:textId="77777777" w:rsidR="00194196" w:rsidRPr="004224D5" w:rsidRDefault="00194196" w:rsidP="00194196">
      <w:pPr>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poskytovatel</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14:paraId="37025B91" w14:textId="77777777" w:rsidR="00194196" w:rsidRPr="004224D5" w:rsidRDefault="00194196" w:rsidP="00194196">
      <w:pPr>
        <w:spacing w:after="120"/>
        <w:ind w:left="0" w:firstLine="0"/>
        <w:rPr>
          <w:rFonts w:ascii="Arial" w:eastAsia="Times New Roman" w:hAnsi="Arial" w:cs="Arial"/>
          <w:sz w:val="24"/>
          <w:szCs w:val="24"/>
          <w:lang w:eastAsia="cs-CZ"/>
        </w:rPr>
      </w:pPr>
    </w:p>
    <w:p w14:paraId="707F9EF1" w14:textId="77777777" w:rsidR="00194196" w:rsidRPr="004224D5" w:rsidRDefault="00194196" w:rsidP="00194196">
      <w:pPr>
        <w:spacing w:after="120"/>
        <w:ind w:left="0" w:firstLine="0"/>
        <w:rPr>
          <w:rFonts w:ascii="Arial" w:eastAsia="Times New Roman" w:hAnsi="Arial" w:cs="Arial"/>
          <w:b/>
          <w:sz w:val="24"/>
          <w:szCs w:val="24"/>
          <w:lang w:eastAsia="cs-CZ"/>
        </w:rPr>
      </w:pPr>
      <w:r w:rsidRPr="004224D5">
        <w:rPr>
          <w:rFonts w:ascii="Arial" w:eastAsia="Times New Roman" w:hAnsi="Arial" w:cs="Arial"/>
          <w:b/>
          <w:sz w:val="24"/>
          <w:szCs w:val="24"/>
          <w:lang w:eastAsia="cs-CZ"/>
        </w:rPr>
        <w:t>a</w:t>
      </w:r>
    </w:p>
    <w:p w14:paraId="6B017883" w14:textId="29ED51C8" w:rsidR="00194196" w:rsidRPr="004224D5" w:rsidRDefault="00194196" w:rsidP="00194196">
      <w:pPr>
        <w:spacing w:after="120"/>
        <w:ind w:left="0" w:firstLine="0"/>
        <w:rPr>
          <w:rFonts w:ascii="Arial" w:eastAsia="Times New Roman" w:hAnsi="Arial" w:cs="Arial"/>
          <w:sz w:val="24"/>
          <w:szCs w:val="24"/>
          <w:lang w:eastAsia="cs-CZ"/>
        </w:rPr>
      </w:pPr>
    </w:p>
    <w:p w14:paraId="32792843" w14:textId="77777777" w:rsidR="00194196" w:rsidRPr="004224D5" w:rsidRDefault="00194196" w:rsidP="00194196">
      <w:pPr>
        <w:spacing w:after="120"/>
        <w:ind w:left="0" w:firstLine="0"/>
        <w:outlineLvl w:val="0"/>
        <w:rPr>
          <w:rFonts w:ascii="Arial" w:eastAsia="Times New Roman" w:hAnsi="Arial" w:cs="Arial"/>
          <w:sz w:val="24"/>
          <w:szCs w:val="24"/>
          <w:lang w:eastAsia="cs-CZ"/>
        </w:rPr>
      </w:pPr>
      <w:r w:rsidRPr="004224D5">
        <w:rPr>
          <w:rFonts w:ascii="Arial" w:eastAsia="Times New Roman" w:hAnsi="Arial" w:cs="Arial"/>
          <w:b/>
          <w:bCs/>
          <w:sz w:val="24"/>
          <w:szCs w:val="24"/>
          <w:lang w:eastAsia="cs-CZ"/>
        </w:rPr>
        <w:t>……………………………………</w:t>
      </w:r>
    </w:p>
    <w:p w14:paraId="6D0A50C1" w14:textId="77777777" w:rsidR="00194196" w:rsidRPr="004224D5" w:rsidRDefault="00194196" w:rsidP="00194196">
      <w:pPr>
        <w:spacing w:after="120"/>
        <w:ind w:left="0" w:firstLine="0"/>
        <w:outlineLvl w:val="0"/>
        <w:rPr>
          <w:rFonts w:ascii="Arial" w:eastAsia="Times New Roman" w:hAnsi="Arial" w:cs="Arial"/>
          <w:bCs/>
          <w:sz w:val="24"/>
          <w:szCs w:val="24"/>
          <w:lang w:eastAsia="cs-CZ"/>
        </w:rPr>
      </w:pPr>
    </w:p>
    <w:p w14:paraId="3FC8E1B7" w14:textId="77777777" w:rsidR="00194196" w:rsidRPr="004224D5" w:rsidRDefault="00194196" w:rsidP="00194196">
      <w:pPr>
        <w:spacing w:after="120"/>
        <w:ind w:left="0" w:firstLine="0"/>
        <w:rPr>
          <w:rFonts w:ascii="Arial" w:eastAsia="Times New Roman" w:hAnsi="Arial" w:cs="Arial"/>
          <w:bCs/>
          <w:sz w:val="24"/>
          <w:szCs w:val="24"/>
          <w:lang w:eastAsia="cs-CZ"/>
        </w:rPr>
      </w:pPr>
    </w:p>
    <w:p w14:paraId="18880F03" w14:textId="77777777" w:rsidR="00194196" w:rsidRPr="004224D5" w:rsidRDefault="00194196" w:rsidP="00194196">
      <w:pPr>
        <w:spacing w:after="120"/>
        <w:ind w:left="0" w:firstLine="0"/>
        <w:rPr>
          <w:rFonts w:ascii="Arial" w:eastAsia="Times New Roman" w:hAnsi="Arial" w:cs="Arial"/>
          <w:bCs/>
          <w:sz w:val="24"/>
          <w:szCs w:val="24"/>
          <w:lang w:eastAsia="cs-CZ"/>
        </w:rPr>
      </w:pPr>
    </w:p>
    <w:p w14:paraId="36B49E49" w14:textId="77777777" w:rsidR="00194196" w:rsidRPr="004224D5" w:rsidRDefault="00194196" w:rsidP="00194196">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Bankovní spojení:</w:t>
      </w:r>
    </w:p>
    <w:p w14:paraId="4A293933" w14:textId="77777777" w:rsidR="00194196" w:rsidRPr="004224D5" w:rsidRDefault="00194196" w:rsidP="00194196">
      <w:pPr>
        <w:spacing w:after="120"/>
        <w:ind w:left="0" w:firstLine="0"/>
        <w:rPr>
          <w:rFonts w:ascii="Arial" w:eastAsia="Times New Roman" w:hAnsi="Arial" w:cs="Arial"/>
          <w:sz w:val="24"/>
          <w:szCs w:val="24"/>
          <w:lang w:eastAsia="cs-CZ"/>
        </w:rPr>
      </w:pPr>
      <w:r w:rsidRPr="004224D5">
        <w:rPr>
          <w:rFonts w:ascii="Arial" w:eastAsia="Times New Roman" w:hAnsi="Arial" w:cs="Arial"/>
          <w:sz w:val="24"/>
          <w:szCs w:val="24"/>
          <w:lang w:eastAsia="cs-CZ"/>
        </w:rPr>
        <w:t>(dále jen „</w:t>
      </w:r>
      <w:r w:rsidRPr="004224D5">
        <w:rPr>
          <w:rFonts w:ascii="Arial" w:eastAsia="Times New Roman" w:hAnsi="Arial" w:cs="Arial"/>
          <w:b/>
          <w:bCs/>
          <w:sz w:val="24"/>
          <w:szCs w:val="24"/>
          <w:lang w:eastAsia="cs-CZ"/>
        </w:rPr>
        <w:t>příjemce</w:t>
      </w:r>
      <w:r w:rsidRPr="004224D5">
        <w:rPr>
          <w:rFonts w:ascii="Arial" w:eastAsia="Times New Roman" w:hAnsi="Arial" w:cs="Arial"/>
          <w:bCs/>
          <w:sz w:val="24"/>
          <w:szCs w:val="24"/>
          <w:lang w:eastAsia="cs-CZ"/>
        </w:rPr>
        <w:t>“</w:t>
      </w:r>
      <w:r w:rsidRPr="004224D5">
        <w:rPr>
          <w:rFonts w:ascii="Arial" w:eastAsia="Times New Roman" w:hAnsi="Arial" w:cs="Arial"/>
          <w:sz w:val="24"/>
          <w:szCs w:val="24"/>
          <w:lang w:eastAsia="cs-CZ"/>
        </w:rPr>
        <w:t>)</w:t>
      </w:r>
    </w:p>
    <w:p w14:paraId="2A843BD6" w14:textId="77777777" w:rsidR="00194196" w:rsidRPr="004224D5" w:rsidRDefault="00194196" w:rsidP="00194196">
      <w:pPr>
        <w:spacing w:after="120"/>
        <w:ind w:left="0" w:firstLine="0"/>
        <w:rPr>
          <w:rFonts w:ascii="Arial" w:eastAsia="Times New Roman" w:hAnsi="Arial" w:cs="Arial"/>
          <w:sz w:val="24"/>
          <w:szCs w:val="24"/>
          <w:lang w:eastAsia="cs-CZ"/>
        </w:rPr>
      </w:pPr>
    </w:p>
    <w:p w14:paraId="2DF84035" w14:textId="77777777" w:rsidR="00194196" w:rsidRPr="004224D5" w:rsidRDefault="00194196" w:rsidP="00194196">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uzavírají níže uvedeného dne, měsíce a roku</w:t>
      </w:r>
    </w:p>
    <w:p w14:paraId="27C40553" w14:textId="77777777" w:rsidR="00194196" w:rsidRPr="004224D5" w:rsidRDefault="00194196" w:rsidP="00194196">
      <w:pPr>
        <w:snapToGrid w:val="0"/>
        <w:spacing w:before="120" w:after="12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tuto smlouvu o poskytnutí dotace:</w:t>
      </w:r>
    </w:p>
    <w:p w14:paraId="260D135A" w14:textId="77777777" w:rsidR="00194196" w:rsidRPr="004224D5" w:rsidRDefault="00194196" w:rsidP="00194196">
      <w:pPr>
        <w:spacing w:before="360" w:after="360"/>
        <w:ind w:left="0" w:firstLine="0"/>
        <w:jc w:val="center"/>
        <w:rPr>
          <w:rFonts w:ascii="Arial" w:eastAsia="Times New Roman" w:hAnsi="Arial" w:cs="Arial"/>
          <w:b/>
          <w:bCs/>
          <w:sz w:val="24"/>
          <w:szCs w:val="24"/>
          <w:lang w:eastAsia="cs-CZ"/>
        </w:rPr>
      </w:pPr>
      <w:r w:rsidRPr="004224D5">
        <w:rPr>
          <w:rFonts w:ascii="Arial" w:eastAsia="Times New Roman" w:hAnsi="Arial" w:cs="Arial"/>
          <w:b/>
          <w:bCs/>
          <w:sz w:val="24"/>
          <w:szCs w:val="24"/>
          <w:lang w:eastAsia="cs-CZ"/>
        </w:rPr>
        <w:t>I.</w:t>
      </w:r>
    </w:p>
    <w:p w14:paraId="5EAC2123" w14:textId="77777777" w:rsidR="00B017CB" w:rsidRPr="001474E6" w:rsidRDefault="00194196" w:rsidP="00194196">
      <w:pPr>
        <w:numPr>
          <w:ilvl w:val="0"/>
          <w:numId w:val="1"/>
        </w:numPr>
        <w:spacing w:after="120"/>
        <w:rPr>
          <w:rFonts w:ascii="Arial" w:eastAsia="Times New Roman" w:hAnsi="Arial" w:cs="Arial"/>
          <w:i/>
          <w:iCs/>
          <w:sz w:val="24"/>
          <w:szCs w:val="24"/>
          <w:lang w:eastAsia="cs-CZ"/>
        </w:rPr>
      </w:pPr>
      <w:r w:rsidRPr="001474E6">
        <w:rPr>
          <w:rFonts w:ascii="Arial" w:eastAsia="Times New Roman" w:hAnsi="Arial" w:cs="Arial"/>
          <w:sz w:val="24"/>
          <w:szCs w:val="24"/>
          <w:lang w:eastAsia="cs-CZ"/>
        </w:rPr>
        <w:t>Poskytovatel se na základě této smlouvy zavazuje poskytnout příjemci dotaci</w:t>
      </w:r>
      <w:r w:rsidR="00705564" w:rsidRPr="001474E6">
        <w:rPr>
          <w:rFonts w:ascii="Arial" w:eastAsia="Times New Roman" w:hAnsi="Arial" w:cs="Arial"/>
          <w:sz w:val="24"/>
          <w:szCs w:val="24"/>
          <w:lang w:eastAsia="cs-CZ"/>
        </w:rPr>
        <w:t xml:space="preserve"> v rámci </w:t>
      </w:r>
      <w:r w:rsidR="005F4A45">
        <w:rPr>
          <w:rFonts w:ascii="Arial" w:eastAsia="Times New Roman" w:hAnsi="Arial" w:cs="Arial"/>
          <w:sz w:val="24"/>
          <w:szCs w:val="24"/>
          <w:lang w:eastAsia="cs-CZ"/>
        </w:rPr>
        <w:t>Dotačního p</w:t>
      </w:r>
      <w:r w:rsidR="00705564" w:rsidRPr="001474E6">
        <w:rPr>
          <w:rFonts w:ascii="Arial" w:eastAsia="Times New Roman" w:hAnsi="Arial" w:cs="Arial"/>
          <w:sz w:val="24"/>
          <w:szCs w:val="24"/>
          <w:lang w:eastAsia="cs-CZ"/>
        </w:rPr>
        <w:t xml:space="preserve">rogramu </w:t>
      </w:r>
      <w:r w:rsidR="00E439F8">
        <w:rPr>
          <w:rFonts w:ascii="Arial" w:eastAsia="Times New Roman" w:hAnsi="Arial" w:cs="Arial"/>
          <w:sz w:val="24"/>
          <w:szCs w:val="24"/>
          <w:lang w:eastAsia="cs-CZ"/>
        </w:rPr>
        <w:t>pro oblast</w:t>
      </w:r>
      <w:r w:rsidR="00705564" w:rsidRPr="001474E6">
        <w:rPr>
          <w:rFonts w:ascii="Arial" w:eastAsia="Times New Roman" w:hAnsi="Arial" w:cs="Arial"/>
          <w:sz w:val="24"/>
          <w:szCs w:val="24"/>
          <w:lang w:eastAsia="cs-CZ"/>
        </w:rPr>
        <w:t xml:space="preserve"> </w:t>
      </w:r>
      <w:r w:rsidR="00C676B5">
        <w:rPr>
          <w:rFonts w:ascii="Arial" w:eastAsia="Times New Roman" w:hAnsi="Arial" w:cs="Arial"/>
          <w:sz w:val="24"/>
          <w:szCs w:val="24"/>
          <w:lang w:eastAsia="cs-CZ"/>
        </w:rPr>
        <w:t xml:space="preserve">protidrogové prevence pro </w:t>
      </w:r>
      <w:r w:rsidR="00705564" w:rsidRPr="001474E6">
        <w:rPr>
          <w:rFonts w:ascii="Arial" w:eastAsia="Times New Roman" w:hAnsi="Arial" w:cs="Arial"/>
          <w:sz w:val="24"/>
          <w:szCs w:val="24"/>
          <w:lang w:eastAsia="cs-CZ"/>
        </w:rPr>
        <w:t>rok 2016, na dotační titul</w:t>
      </w:r>
      <w:r w:rsidRPr="001474E6">
        <w:rPr>
          <w:rFonts w:ascii="Arial" w:eastAsia="Times New Roman" w:hAnsi="Arial" w:cs="Arial"/>
          <w:sz w:val="24"/>
          <w:szCs w:val="24"/>
          <w:lang w:eastAsia="cs-CZ"/>
        </w:rPr>
        <w:t xml:space="preserve"> </w:t>
      </w:r>
      <w:r w:rsidR="00132CCF">
        <w:rPr>
          <w:rFonts w:ascii="Arial" w:eastAsia="Times New Roman" w:hAnsi="Arial" w:cs="Arial"/>
          <w:sz w:val="24"/>
          <w:szCs w:val="24"/>
          <w:lang w:eastAsia="cs-CZ"/>
        </w:rPr>
        <w:t xml:space="preserve">… </w:t>
      </w:r>
      <w:r w:rsidR="00132CCF" w:rsidRPr="00CF1722">
        <w:rPr>
          <w:rFonts w:ascii="Arial" w:eastAsia="Times New Roman" w:hAnsi="Arial" w:cs="Arial"/>
          <w:i/>
          <w:sz w:val="24"/>
          <w:szCs w:val="24"/>
          <w:lang w:eastAsia="cs-CZ"/>
        </w:rPr>
        <w:t>(bude uveden příslušný dotační titul)</w:t>
      </w:r>
      <w:r w:rsidR="00132CCF">
        <w:rPr>
          <w:rFonts w:ascii="Arial" w:eastAsia="Times New Roman" w:hAnsi="Arial" w:cs="Arial"/>
          <w:sz w:val="24"/>
          <w:szCs w:val="24"/>
          <w:lang w:eastAsia="cs-CZ"/>
        </w:rPr>
        <w:t xml:space="preserve"> </w:t>
      </w:r>
      <w:r w:rsidRPr="001474E6">
        <w:rPr>
          <w:rFonts w:ascii="Arial" w:eastAsia="Times New Roman" w:hAnsi="Arial" w:cs="Arial"/>
          <w:sz w:val="24"/>
          <w:szCs w:val="24"/>
          <w:lang w:eastAsia="cs-CZ"/>
        </w:rPr>
        <w:t xml:space="preserve">ve výši ......... Kč, slovy: </w:t>
      </w:r>
      <w:r w:rsidRPr="001474E6">
        <w:rPr>
          <w:rFonts w:ascii="Arial" w:eastAsia="Times New Roman" w:hAnsi="Arial" w:cs="Arial"/>
          <w:sz w:val="24"/>
          <w:szCs w:val="24"/>
          <w:lang w:eastAsia="cs-CZ"/>
        </w:rPr>
        <w:lastRenderedPageBreak/>
        <w:t>......... korun českých (dá</w:t>
      </w:r>
      <w:r w:rsidR="00B017CB" w:rsidRPr="001474E6">
        <w:rPr>
          <w:rFonts w:ascii="Arial" w:eastAsia="Times New Roman" w:hAnsi="Arial" w:cs="Arial"/>
          <w:sz w:val="24"/>
          <w:szCs w:val="24"/>
          <w:lang w:eastAsia="cs-CZ"/>
        </w:rPr>
        <w:t xml:space="preserve">le jen „dotace“) za účelem ….. </w:t>
      </w:r>
      <w:r w:rsidR="00B017CB" w:rsidRPr="001474E6">
        <w:rPr>
          <w:rFonts w:ascii="Arial" w:eastAsia="Times New Roman" w:hAnsi="Arial" w:cs="Arial"/>
          <w:i/>
          <w:sz w:val="24"/>
          <w:szCs w:val="24"/>
          <w:lang w:eastAsia="cs-CZ"/>
        </w:rPr>
        <w:t>(</w:t>
      </w:r>
      <w:r w:rsidR="0090142F" w:rsidRPr="001474E6">
        <w:rPr>
          <w:rFonts w:ascii="Arial" w:eastAsia="Times New Roman" w:hAnsi="Arial" w:cs="Arial"/>
          <w:i/>
          <w:sz w:val="24"/>
          <w:szCs w:val="24"/>
          <w:lang w:eastAsia="cs-CZ"/>
        </w:rPr>
        <w:t>bude uveden  účel uvedený</w:t>
      </w:r>
      <w:r w:rsidR="00B017CB" w:rsidRPr="001474E6">
        <w:rPr>
          <w:rFonts w:ascii="Arial" w:eastAsia="Times New Roman" w:hAnsi="Arial" w:cs="Arial"/>
          <w:i/>
          <w:sz w:val="24"/>
          <w:szCs w:val="24"/>
          <w:lang w:eastAsia="cs-CZ"/>
        </w:rPr>
        <w:t xml:space="preserve"> v Pravidlech </w:t>
      </w:r>
      <w:r w:rsidR="00CC0BDC" w:rsidRPr="001474E6">
        <w:rPr>
          <w:rFonts w:ascii="Arial" w:eastAsia="Times New Roman" w:hAnsi="Arial" w:cs="Arial"/>
          <w:i/>
          <w:sz w:val="24"/>
          <w:szCs w:val="24"/>
          <w:lang w:eastAsia="cs-CZ"/>
        </w:rPr>
        <w:t>u příslušného dotačního titulu)</w:t>
      </w:r>
    </w:p>
    <w:p w14:paraId="0C801376" w14:textId="45F8E367" w:rsidR="00B017CB" w:rsidRPr="00D47943" w:rsidRDefault="00194196" w:rsidP="00D47943">
      <w:pPr>
        <w:numPr>
          <w:ilvl w:val="0"/>
          <w:numId w:val="1"/>
        </w:numPr>
        <w:spacing w:after="120"/>
        <w:rPr>
          <w:rFonts w:ascii="Arial" w:eastAsia="Times New Roman" w:hAnsi="Arial" w:cs="Arial"/>
          <w:sz w:val="24"/>
          <w:szCs w:val="24"/>
          <w:lang w:eastAsia="cs-CZ"/>
        </w:rPr>
      </w:pPr>
      <w:r w:rsidRPr="001474E6">
        <w:rPr>
          <w:rFonts w:ascii="Arial" w:eastAsia="Times New Roman" w:hAnsi="Arial" w:cs="Arial"/>
          <w:sz w:val="24"/>
          <w:szCs w:val="24"/>
          <w:lang w:eastAsia="cs-CZ"/>
        </w:rPr>
        <w:t xml:space="preserve">Účelem poskytnutí dotace je úhrada/částečná úhrada výdajů na činnost/celoroční činnost …………… </w:t>
      </w:r>
      <w:r w:rsidRPr="001474E6">
        <w:rPr>
          <w:rFonts w:ascii="Arial" w:eastAsia="Times New Roman" w:hAnsi="Arial" w:cs="Arial"/>
          <w:i/>
          <w:sz w:val="24"/>
          <w:szCs w:val="24"/>
          <w:lang w:eastAsia="cs-CZ"/>
        </w:rPr>
        <w:t xml:space="preserve">(specifikuje se </w:t>
      </w:r>
      <w:r w:rsidR="00B017CB" w:rsidRPr="001474E6">
        <w:rPr>
          <w:rFonts w:ascii="Arial" w:eastAsia="Times New Roman" w:hAnsi="Arial" w:cs="Arial"/>
          <w:i/>
          <w:sz w:val="24"/>
          <w:szCs w:val="24"/>
          <w:lang w:eastAsia="cs-CZ"/>
        </w:rPr>
        <w:t>po</w:t>
      </w:r>
      <w:r w:rsidRPr="001474E6">
        <w:rPr>
          <w:rFonts w:ascii="Arial" w:eastAsia="Times New Roman" w:hAnsi="Arial" w:cs="Arial"/>
          <w:i/>
          <w:sz w:val="24"/>
          <w:szCs w:val="24"/>
          <w:lang w:eastAsia="cs-CZ"/>
        </w:rPr>
        <w:t>dle podané žádosti)</w:t>
      </w:r>
      <w:r w:rsidR="00D47943">
        <w:rPr>
          <w:rFonts w:ascii="Arial" w:eastAsia="Times New Roman" w:hAnsi="Arial" w:cs="Arial"/>
          <w:i/>
          <w:sz w:val="24"/>
          <w:szCs w:val="24"/>
          <w:lang w:eastAsia="cs-CZ"/>
        </w:rPr>
        <w:t xml:space="preserve">. </w:t>
      </w:r>
      <w:r w:rsidR="00D47943" w:rsidRPr="00D47943">
        <w:rPr>
          <w:rFonts w:ascii="Arial" w:eastAsia="Times New Roman" w:hAnsi="Arial" w:cs="Arial"/>
          <w:sz w:val="24"/>
          <w:szCs w:val="24"/>
          <w:lang w:eastAsia="cs-CZ"/>
        </w:rPr>
        <w:t>Dotace může být použita na činnost</w:t>
      </w:r>
      <w:r w:rsidR="00D47943">
        <w:rPr>
          <w:rFonts w:ascii="Arial" w:eastAsia="Times New Roman" w:hAnsi="Arial" w:cs="Arial"/>
          <w:sz w:val="24"/>
          <w:szCs w:val="24"/>
          <w:lang w:eastAsia="cs-CZ"/>
        </w:rPr>
        <w:t>, která je realizovaná,</w:t>
      </w:r>
      <w:r w:rsidR="00D47943" w:rsidRPr="00D47943">
        <w:rPr>
          <w:rFonts w:ascii="Arial" w:eastAsia="Times New Roman" w:hAnsi="Arial" w:cs="Arial"/>
          <w:sz w:val="24"/>
          <w:szCs w:val="24"/>
          <w:lang w:eastAsia="cs-CZ"/>
        </w:rPr>
        <w:t xml:space="preserve"> ve smyslu § 20 zákona č. </w:t>
      </w:r>
      <w:r w:rsidR="00B90370">
        <w:rPr>
          <w:rFonts w:ascii="Arial" w:eastAsia="Times New Roman" w:hAnsi="Arial" w:cs="Arial"/>
          <w:sz w:val="24"/>
          <w:szCs w:val="24"/>
          <w:lang w:eastAsia="cs-CZ"/>
        </w:rPr>
        <w:t>379</w:t>
      </w:r>
      <w:r w:rsidR="00D47943" w:rsidRPr="00D47943">
        <w:rPr>
          <w:rFonts w:ascii="Arial" w:eastAsia="Times New Roman" w:hAnsi="Arial" w:cs="Arial"/>
          <w:sz w:val="24"/>
          <w:szCs w:val="24"/>
          <w:lang w:eastAsia="cs-CZ"/>
        </w:rPr>
        <w:t>/2005 Sb., o opatřeních k ochraně před škodami působenými tabákovými výrobky, alkoholem a jinými návykovými látkami a o změně souvisejících zákonů</w:t>
      </w:r>
      <w:r w:rsidR="00D47943">
        <w:rPr>
          <w:rFonts w:ascii="Arial" w:eastAsia="Times New Roman" w:hAnsi="Arial" w:cs="Arial"/>
          <w:sz w:val="24"/>
          <w:szCs w:val="24"/>
          <w:lang w:eastAsia="cs-CZ"/>
        </w:rPr>
        <w:t>, poskytovateli zdravotních služeb, registrovanou sociální službou či jiným z</w:t>
      </w:r>
      <w:r w:rsidR="00D47943" w:rsidRPr="00D47943">
        <w:rPr>
          <w:rFonts w:ascii="Arial" w:eastAsia="Times New Roman" w:hAnsi="Arial" w:cs="Arial"/>
          <w:sz w:val="24"/>
          <w:szCs w:val="24"/>
          <w:lang w:eastAsia="cs-CZ"/>
        </w:rPr>
        <w:t>ařízením zřízeným za tímto účelem.</w:t>
      </w:r>
      <w:r w:rsidRPr="00D47943">
        <w:rPr>
          <w:rFonts w:ascii="Arial" w:eastAsia="Times New Roman" w:hAnsi="Arial" w:cs="Arial"/>
          <w:sz w:val="24"/>
          <w:szCs w:val="24"/>
          <w:lang w:eastAsia="cs-CZ"/>
        </w:rPr>
        <w:t xml:space="preserve"> </w:t>
      </w:r>
      <w:r w:rsidR="009478CF">
        <w:rPr>
          <w:rFonts w:ascii="Arial" w:eastAsia="Times New Roman" w:hAnsi="Arial" w:cs="Arial"/>
          <w:sz w:val="24"/>
          <w:szCs w:val="24"/>
          <w:lang w:eastAsia="cs-CZ"/>
        </w:rPr>
        <w:t>Dotace může být použita na zajištění činnosti sociální službou i v případě, že na zajištění této sociální služby byla příjemci poskytnuta dotace z Programu finanční podpory poskytování sociálních služeb v Olomouckém kraji.</w:t>
      </w:r>
    </w:p>
    <w:p w14:paraId="28773DE1" w14:textId="77777777" w:rsidR="00B017CB" w:rsidRPr="001474E6" w:rsidRDefault="00194196" w:rsidP="00194196">
      <w:pPr>
        <w:numPr>
          <w:ilvl w:val="0"/>
          <w:numId w:val="1"/>
        </w:numPr>
        <w:spacing w:after="120"/>
        <w:rPr>
          <w:rFonts w:ascii="Arial" w:eastAsia="Times New Roman" w:hAnsi="Arial" w:cs="Arial"/>
          <w:b/>
          <w:sz w:val="24"/>
          <w:szCs w:val="24"/>
          <w:lang w:eastAsia="cs-CZ"/>
        </w:rPr>
      </w:pPr>
      <w:r w:rsidRPr="001474E6">
        <w:rPr>
          <w:rFonts w:ascii="Arial" w:eastAsia="Times New Roman" w:hAnsi="Arial" w:cs="Arial"/>
          <w:sz w:val="24"/>
          <w:szCs w:val="24"/>
          <w:lang w:eastAsia="cs-CZ"/>
        </w:rPr>
        <w:t>Dotace bude poskytnuta převodem na bankovní účet příjemce uvedený v záhlaví této smlouvy do 21 dnů ode dne uzavření této smlouvy</w:t>
      </w:r>
      <w:r w:rsidRPr="001474E6">
        <w:rPr>
          <w:rFonts w:ascii="Arial" w:eastAsia="Times New Roman" w:hAnsi="Arial" w:cs="Arial"/>
          <w:i/>
          <w:iCs/>
          <w:sz w:val="24"/>
          <w:szCs w:val="24"/>
          <w:lang w:eastAsia="cs-CZ"/>
        </w:rPr>
        <w:t>.</w:t>
      </w:r>
      <w:r w:rsidRPr="001474E6">
        <w:rPr>
          <w:rFonts w:ascii="Arial" w:eastAsia="Times New Roman" w:hAnsi="Arial" w:cs="Arial"/>
          <w:sz w:val="24"/>
          <w:szCs w:val="24"/>
          <w:lang w:eastAsia="cs-CZ"/>
        </w:rPr>
        <w:t xml:space="preserve"> Dnem poskytnutí dotace je den připsání finančních prostředků na účet příjemce.</w:t>
      </w:r>
      <w:r w:rsidRPr="001474E6">
        <w:rPr>
          <w:rFonts w:ascii="Arial" w:eastAsia="Times New Roman" w:hAnsi="Arial" w:cs="Arial"/>
          <w:i/>
          <w:sz w:val="24"/>
          <w:szCs w:val="24"/>
          <w:lang w:eastAsia="cs-CZ"/>
        </w:rPr>
        <w:t xml:space="preserve"> </w:t>
      </w:r>
    </w:p>
    <w:p w14:paraId="018DBA6E" w14:textId="77777777" w:rsidR="00194196" w:rsidRPr="001474E6" w:rsidRDefault="00194196" w:rsidP="00194196">
      <w:pPr>
        <w:numPr>
          <w:ilvl w:val="0"/>
          <w:numId w:val="1"/>
        </w:numPr>
        <w:spacing w:after="120"/>
        <w:rPr>
          <w:rFonts w:ascii="Arial" w:eastAsia="Times New Roman" w:hAnsi="Arial" w:cs="Arial"/>
          <w:b/>
          <w:sz w:val="24"/>
          <w:szCs w:val="24"/>
          <w:lang w:eastAsia="cs-CZ"/>
        </w:rPr>
      </w:pPr>
      <w:r w:rsidRPr="001474E6">
        <w:rPr>
          <w:rFonts w:ascii="Arial" w:eastAsia="Times New Roman" w:hAnsi="Arial" w:cs="Arial"/>
          <w:sz w:val="24"/>
          <w:szCs w:val="24"/>
          <w:lang w:eastAsia="cs-CZ"/>
        </w:rPr>
        <w:t>Dotace se poskytuje na účel stanovený v čl. I. odst. 2 této smlouvy jako dotace neinvestiční</w:t>
      </w:r>
      <w:r w:rsidRPr="001474E6">
        <w:rPr>
          <w:rFonts w:ascii="Arial" w:eastAsia="Times New Roman" w:hAnsi="Arial" w:cs="Arial"/>
          <w:i/>
          <w:iCs/>
          <w:sz w:val="24"/>
          <w:szCs w:val="24"/>
          <w:lang w:eastAsia="cs-CZ"/>
        </w:rPr>
        <w:t>.</w:t>
      </w:r>
    </w:p>
    <w:p w14:paraId="3535D1B2" w14:textId="77777777" w:rsidR="00194196" w:rsidRPr="001474E6" w:rsidRDefault="00194196" w:rsidP="00194196">
      <w:pPr>
        <w:spacing w:after="120"/>
        <w:ind w:left="567" w:firstLine="0"/>
        <w:rPr>
          <w:rFonts w:ascii="Arial" w:eastAsia="Times New Roman" w:hAnsi="Arial" w:cs="Arial"/>
          <w:sz w:val="24"/>
          <w:szCs w:val="24"/>
          <w:lang w:eastAsia="cs-CZ"/>
        </w:rPr>
      </w:pPr>
      <w:r w:rsidRPr="001474E6">
        <w:rPr>
          <w:rFonts w:ascii="Arial" w:eastAsia="Times New Roman" w:hAnsi="Arial" w:cs="Arial"/>
          <w:sz w:val="24"/>
          <w:szCs w:val="24"/>
          <w:lang w:eastAsia="cs-CZ"/>
        </w:rPr>
        <w:t>Pro účely této smlouvy se neinvestiční dotací rozumí dotace, která musí být použita na úhradu jiných výdajů než:</w:t>
      </w:r>
    </w:p>
    <w:p w14:paraId="6CBA7B4B" w14:textId="77777777" w:rsidR="00194196" w:rsidRPr="001474E6" w:rsidRDefault="00194196" w:rsidP="00194196">
      <w:pPr>
        <w:numPr>
          <w:ilvl w:val="0"/>
          <w:numId w:val="4"/>
        </w:numPr>
        <w:tabs>
          <w:tab w:val="clear" w:pos="360"/>
          <w:tab w:val="num" w:pos="1418"/>
        </w:tabs>
        <w:spacing w:after="120"/>
        <w:ind w:left="1418" w:right="397" w:hanging="709"/>
        <w:rPr>
          <w:rFonts w:ascii="Arial" w:eastAsia="Times New Roman" w:hAnsi="Arial" w:cs="Arial"/>
          <w:sz w:val="24"/>
          <w:szCs w:val="24"/>
          <w:lang w:eastAsia="cs-CZ"/>
        </w:rPr>
      </w:pPr>
      <w:r w:rsidRPr="001474E6">
        <w:rPr>
          <w:rFonts w:ascii="Arial" w:eastAsia="Times New Roman" w:hAnsi="Arial" w:cs="Arial"/>
          <w:sz w:val="24"/>
          <w:szCs w:val="24"/>
          <w:lang w:eastAsia="cs-CZ"/>
        </w:rPr>
        <w:t>výdajů spojených s pořízením hmotného majetku dle § 26 odst. 2 zákona č. 586/1992 Sb., o daních z příjmů, ve znění pozdějších předpisů (dále jen „cit. zákona“),</w:t>
      </w:r>
    </w:p>
    <w:p w14:paraId="4918EB96" w14:textId="77777777" w:rsidR="00194196" w:rsidRPr="001474E6" w:rsidRDefault="00194196" w:rsidP="00194196">
      <w:pPr>
        <w:numPr>
          <w:ilvl w:val="0"/>
          <w:numId w:val="4"/>
        </w:numPr>
        <w:tabs>
          <w:tab w:val="clear" w:pos="360"/>
          <w:tab w:val="num" w:pos="1418"/>
        </w:tabs>
        <w:spacing w:after="120"/>
        <w:ind w:left="1418" w:right="397" w:hanging="709"/>
        <w:rPr>
          <w:rFonts w:ascii="Arial" w:eastAsia="Times New Roman" w:hAnsi="Arial" w:cs="Arial"/>
          <w:sz w:val="24"/>
          <w:szCs w:val="24"/>
          <w:lang w:eastAsia="cs-CZ"/>
        </w:rPr>
      </w:pPr>
      <w:r w:rsidRPr="001474E6">
        <w:rPr>
          <w:rFonts w:ascii="Arial" w:eastAsia="Times New Roman" w:hAnsi="Arial" w:cs="Arial"/>
          <w:sz w:val="24"/>
          <w:szCs w:val="24"/>
          <w:lang w:eastAsia="cs-CZ"/>
        </w:rPr>
        <w:t>výdajů spojených s pořízením nehmotného majetku dle § 32a odst. 1 a 2 cit. zákona,</w:t>
      </w:r>
    </w:p>
    <w:p w14:paraId="5C12BAF9" w14:textId="77777777" w:rsidR="00194196" w:rsidRPr="001474E6" w:rsidRDefault="00194196" w:rsidP="00194196">
      <w:pPr>
        <w:numPr>
          <w:ilvl w:val="0"/>
          <w:numId w:val="4"/>
        </w:numPr>
        <w:tabs>
          <w:tab w:val="clear" w:pos="360"/>
          <w:tab w:val="num" w:pos="1418"/>
        </w:tabs>
        <w:spacing w:after="120"/>
        <w:ind w:left="1418" w:right="397" w:hanging="709"/>
        <w:rPr>
          <w:rFonts w:ascii="Arial" w:eastAsia="Times New Roman" w:hAnsi="Arial" w:cs="Arial"/>
          <w:sz w:val="24"/>
          <w:szCs w:val="24"/>
          <w:lang w:eastAsia="cs-CZ"/>
        </w:rPr>
      </w:pPr>
      <w:r w:rsidRPr="001474E6">
        <w:rPr>
          <w:rFonts w:ascii="Arial" w:eastAsia="Times New Roman" w:hAnsi="Arial" w:cs="Arial"/>
          <w:sz w:val="24"/>
          <w:szCs w:val="24"/>
          <w:lang w:eastAsia="cs-CZ"/>
        </w:rPr>
        <w:t>výdajů spojených s technickým zhodnocením, rekonstrukcí a modernizací ve smyslu § 33 cit. zákona.</w:t>
      </w:r>
    </w:p>
    <w:p w14:paraId="559BC85C" w14:textId="77777777" w:rsidR="00194196" w:rsidRPr="001474E6" w:rsidRDefault="00194196" w:rsidP="00194196">
      <w:pPr>
        <w:keepNext/>
        <w:spacing w:before="360" w:after="360"/>
        <w:ind w:left="0" w:firstLine="0"/>
        <w:jc w:val="center"/>
        <w:outlineLvl w:val="0"/>
        <w:rPr>
          <w:rFonts w:ascii="Arial" w:eastAsia="Times New Roman" w:hAnsi="Arial" w:cs="Arial"/>
          <w:b/>
          <w:bCs/>
          <w:sz w:val="24"/>
          <w:szCs w:val="24"/>
          <w:lang w:eastAsia="cs-CZ"/>
        </w:rPr>
      </w:pPr>
      <w:r w:rsidRPr="001474E6">
        <w:rPr>
          <w:rFonts w:ascii="Arial" w:eastAsia="Times New Roman" w:hAnsi="Arial" w:cs="Arial"/>
          <w:b/>
          <w:bCs/>
          <w:sz w:val="24"/>
          <w:szCs w:val="24"/>
          <w:lang w:eastAsia="cs-CZ"/>
        </w:rPr>
        <w:t>II.</w:t>
      </w:r>
    </w:p>
    <w:p w14:paraId="54624C75" w14:textId="438866DC" w:rsidR="00194196" w:rsidRPr="001474E6" w:rsidRDefault="00194196" w:rsidP="00194196">
      <w:pPr>
        <w:numPr>
          <w:ilvl w:val="0"/>
          <w:numId w:val="2"/>
        </w:numPr>
        <w:tabs>
          <w:tab w:val="left" w:pos="8100"/>
        </w:tabs>
        <w:spacing w:after="120"/>
        <w:rPr>
          <w:rFonts w:ascii="Arial" w:eastAsia="Times New Roman" w:hAnsi="Arial" w:cs="Arial"/>
          <w:iCs/>
          <w:sz w:val="24"/>
          <w:szCs w:val="24"/>
          <w:lang w:eastAsia="cs-CZ"/>
        </w:rPr>
      </w:pPr>
      <w:r w:rsidRPr="001474E6">
        <w:rPr>
          <w:rFonts w:ascii="Arial" w:eastAsia="Times New Roman" w:hAnsi="Arial" w:cs="Arial"/>
          <w:sz w:val="24"/>
          <w:szCs w:val="24"/>
          <w:lang w:eastAsia="cs-CZ"/>
        </w:rPr>
        <w:t>Příjemce</w:t>
      </w:r>
      <w:r w:rsidR="00AA7230" w:rsidRPr="001474E6">
        <w:rPr>
          <w:rFonts w:ascii="Arial" w:eastAsia="Times New Roman" w:hAnsi="Arial" w:cs="Arial"/>
          <w:sz w:val="24"/>
          <w:szCs w:val="24"/>
          <w:lang w:eastAsia="cs-CZ"/>
        </w:rPr>
        <w:t xml:space="preserve"> dotaci přijímá a zavazuje se</w:t>
      </w:r>
      <w:r w:rsidRPr="001474E6">
        <w:rPr>
          <w:rFonts w:ascii="Arial" w:eastAsia="Times New Roman" w:hAnsi="Arial" w:cs="Arial"/>
          <w:sz w:val="24"/>
          <w:szCs w:val="24"/>
          <w:lang w:eastAsia="cs-CZ"/>
        </w:rPr>
        <w:t xml:space="preserve"> použít</w:t>
      </w:r>
      <w:r w:rsidR="00AA7230" w:rsidRPr="001474E6">
        <w:rPr>
          <w:rFonts w:ascii="Arial" w:eastAsia="Times New Roman" w:hAnsi="Arial" w:cs="Arial"/>
          <w:sz w:val="24"/>
          <w:szCs w:val="24"/>
          <w:lang w:eastAsia="cs-CZ"/>
        </w:rPr>
        <w:t xml:space="preserve"> ji</w:t>
      </w:r>
      <w:r w:rsidRPr="001474E6">
        <w:rPr>
          <w:rFonts w:ascii="Arial" w:eastAsia="Times New Roman" w:hAnsi="Arial" w:cs="Arial"/>
          <w:sz w:val="24"/>
          <w:szCs w:val="24"/>
          <w:lang w:eastAsia="cs-CZ"/>
        </w:rPr>
        <w:t xml:space="preserve"> výlučně v souladu s účelem poskytnutí dotace dle čl. </w:t>
      </w:r>
      <w:r w:rsidRPr="00E439F8">
        <w:rPr>
          <w:rFonts w:ascii="Arial" w:eastAsia="Times New Roman" w:hAnsi="Arial" w:cs="Arial"/>
          <w:sz w:val="24"/>
          <w:szCs w:val="24"/>
          <w:lang w:eastAsia="cs-CZ"/>
        </w:rPr>
        <w:t>I. odst. 2 a 4 této smlouvy, v souladu s podmínkami stanoveným</w:t>
      </w:r>
      <w:r w:rsidR="00BC4484" w:rsidRPr="00E439F8">
        <w:rPr>
          <w:rFonts w:ascii="Arial" w:eastAsia="Times New Roman" w:hAnsi="Arial" w:cs="Arial"/>
          <w:sz w:val="24"/>
          <w:szCs w:val="24"/>
          <w:lang w:eastAsia="cs-CZ"/>
        </w:rPr>
        <w:t>i v této smlouvě</w:t>
      </w:r>
      <w:r w:rsidR="00446BA8" w:rsidRPr="00E439F8">
        <w:rPr>
          <w:rFonts w:ascii="Arial" w:eastAsia="Times New Roman" w:hAnsi="Arial" w:cs="Arial"/>
          <w:sz w:val="24"/>
          <w:szCs w:val="24"/>
          <w:lang w:eastAsia="cs-CZ"/>
        </w:rPr>
        <w:t>,</w:t>
      </w:r>
      <w:r w:rsidR="00BC4484" w:rsidRPr="00E439F8">
        <w:rPr>
          <w:rFonts w:ascii="Arial" w:eastAsia="Times New Roman" w:hAnsi="Arial" w:cs="Arial"/>
          <w:sz w:val="24"/>
          <w:szCs w:val="24"/>
          <w:lang w:eastAsia="cs-CZ"/>
        </w:rPr>
        <w:t xml:space="preserve"> v souladu </w:t>
      </w:r>
      <w:r w:rsidR="00BC4484" w:rsidRPr="00E439F8">
        <w:rPr>
          <w:rFonts w:ascii="Arial" w:hAnsi="Arial" w:cs="Arial"/>
          <w:sz w:val="24"/>
          <w:szCs w:val="24"/>
        </w:rPr>
        <w:t xml:space="preserve">s </w:t>
      </w:r>
      <w:r w:rsidR="00BC4484" w:rsidRPr="00E439F8">
        <w:rPr>
          <w:rFonts w:ascii="Arial" w:eastAsia="Times New Roman" w:hAnsi="Arial" w:cs="Arial"/>
          <w:sz w:val="24"/>
          <w:szCs w:val="24"/>
          <w:lang w:eastAsia="cs-CZ"/>
        </w:rPr>
        <w:t xml:space="preserve">Pravidly pro dotační program Olomouckého kraje </w:t>
      </w:r>
      <w:r w:rsidR="00CF1722">
        <w:rPr>
          <w:rFonts w:ascii="Arial" w:eastAsia="Times New Roman" w:hAnsi="Arial" w:cs="Arial"/>
          <w:sz w:val="24"/>
          <w:szCs w:val="24"/>
          <w:lang w:eastAsia="cs-CZ"/>
        </w:rPr>
        <w:t>P</w:t>
      </w:r>
      <w:r w:rsidR="00BC4484" w:rsidRPr="00E439F8">
        <w:rPr>
          <w:rFonts w:ascii="Arial" w:eastAsia="Times New Roman" w:hAnsi="Arial" w:cs="Arial"/>
          <w:sz w:val="24"/>
          <w:szCs w:val="24"/>
          <w:lang w:eastAsia="cs-CZ"/>
        </w:rPr>
        <w:t xml:space="preserve">rogram </w:t>
      </w:r>
      <w:r w:rsidR="00E439F8">
        <w:rPr>
          <w:rFonts w:ascii="Arial" w:eastAsia="Times New Roman" w:hAnsi="Arial" w:cs="Arial"/>
          <w:sz w:val="24"/>
          <w:szCs w:val="24"/>
          <w:lang w:eastAsia="cs-CZ"/>
        </w:rPr>
        <w:t xml:space="preserve">pro oblast </w:t>
      </w:r>
      <w:r w:rsidR="00212859" w:rsidRPr="00E439F8">
        <w:rPr>
          <w:rFonts w:ascii="Arial" w:eastAsia="Times New Roman" w:hAnsi="Arial" w:cs="Arial"/>
          <w:sz w:val="24"/>
          <w:szCs w:val="24"/>
          <w:lang w:eastAsia="cs-CZ"/>
        </w:rPr>
        <w:t>protidrogové prevence</w:t>
      </w:r>
      <w:r w:rsidR="00BC4484" w:rsidRPr="00E439F8">
        <w:rPr>
          <w:rFonts w:ascii="Arial" w:eastAsia="Times New Roman" w:hAnsi="Arial" w:cs="Arial"/>
          <w:sz w:val="24"/>
          <w:szCs w:val="24"/>
          <w:lang w:eastAsia="cs-CZ"/>
        </w:rPr>
        <w:t xml:space="preserve"> pro rok 2016</w:t>
      </w:r>
      <w:r w:rsidR="006E2369">
        <w:rPr>
          <w:rFonts w:ascii="Arial" w:eastAsia="Times New Roman" w:hAnsi="Arial" w:cs="Arial"/>
          <w:sz w:val="24"/>
          <w:szCs w:val="24"/>
          <w:lang w:eastAsia="cs-CZ"/>
        </w:rPr>
        <w:t xml:space="preserve">, </w:t>
      </w:r>
      <w:r w:rsidR="006E2369" w:rsidRPr="001474E6">
        <w:rPr>
          <w:rFonts w:ascii="Arial" w:eastAsia="Times New Roman" w:hAnsi="Arial" w:cs="Arial"/>
          <w:sz w:val="24"/>
          <w:szCs w:val="24"/>
          <w:lang w:eastAsia="cs-CZ"/>
        </w:rPr>
        <w:t xml:space="preserve">dotační titul </w:t>
      </w:r>
      <w:r w:rsidR="006E2369">
        <w:rPr>
          <w:rFonts w:ascii="Arial" w:eastAsia="Times New Roman" w:hAnsi="Arial" w:cs="Arial"/>
          <w:sz w:val="24"/>
          <w:szCs w:val="24"/>
          <w:lang w:eastAsia="cs-CZ"/>
        </w:rPr>
        <w:t xml:space="preserve">… </w:t>
      </w:r>
      <w:r w:rsidR="006E2369" w:rsidRPr="007A4BA9">
        <w:rPr>
          <w:rFonts w:ascii="Arial" w:eastAsia="Times New Roman" w:hAnsi="Arial" w:cs="Arial"/>
          <w:i/>
          <w:sz w:val="24"/>
          <w:szCs w:val="24"/>
          <w:lang w:eastAsia="cs-CZ"/>
        </w:rPr>
        <w:t>(bude uveden příslušný dotační titul)</w:t>
      </w:r>
      <w:r w:rsidR="00BC4484" w:rsidRPr="00E439F8">
        <w:rPr>
          <w:rFonts w:ascii="Arial" w:eastAsia="Times New Roman" w:hAnsi="Arial" w:cs="Arial"/>
          <w:sz w:val="24"/>
          <w:szCs w:val="24"/>
          <w:lang w:eastAsia="cs-CZ"/>
        </w:rPr>
        <w:t xml:space="preserve"> (dále jen „Pravidla“)</w:t>
      </w:r>
      <w:r w:rsidR="00446BA8" w:rsidRPr="00E439F8">
        <w:rPr>
          <w:rFonts w:ascii="Arial" w:eastAsia="Times New Roman" w:hAnsi="Arial" w:cs="Arial"/>
          <w:sz w:val="24"/>
          <w:szCs w:val="24"/>
          <w:lang w:eastAsia="cs-CZ"/>
        </w:rPr>
        <w:t xml:space="preserve"> a v souladu s usnesením ……………… Olomouckého kraje č.…………</w:t>
      </w:r>
      <w:r w:rsidR="00446BA8">
        <w:rPr>
          <w:rFonts w:ascii="Arial" w:eastAsia="Times New Roman" w:hAnsi="Arial" w:cs="Arial"/>
          <w:sz w:val="24"/>
          <w:szCs w:val="24"/>
          <w:lang w:eastAsia="cs-CZ"/>
        </w:rPr>
        <w:t xml:space="preserve"> ze dne …………</w:t>
      </w:r>
      <w:r w:rsidR="00BC4484" w:rsidRPr="001474E6">
        <w:rPr>
          <w:rFonts w:ascii="Arial" w:eastAsia="Times New Roman" w:hAnsi="Arial" w:cs="Arial"/>
          <w:sz w:val="24"/>
          <w:szCs w:val="24"/>
          <w:lang w:eastAsia="cs-CZ"/>
        </w:rPr>
        <w:t>.</w:t>
      </w:r>
      <w:r w:rsidRPr="001474E6">
        <w:rPr>
          <w:rFonts w:ascii="Arial" w:eastAsia="Times New Roman" w:hAnsi="Arial" w:cs="Arial"/>
          <w:i/>
          <w:iCs/>
          <w:sz w:val="24"/>
          <w:szCs w:val="24"/>
          <w:lang w:eastAsia="cs-CZ"/>
        </w:rPr>
        <w:t xml:space="preserve"> </w:t>
      </w:r>
      <w:r w:rsidRPr="001474E6">
        <w:rPr>
          <w:rFonts w:ascii="Arial" w:eastAsia="Times New Roman" w:hAnsi="Arial" w:cs="Arial"/>
          <w:sz w:val="24"/>
          <w:szCs w:val="24"/>
          <w:lang w:eastAsia="cs-CZ"/>
        </w:rPr>
        <w:t xml:space="preserve">Dotace musí být použita hospodárně. Příjemce je oprávněn </w:t>
      </w:r>
      <w:r w:rsidR="0090142F" w:rsidRPr="001474E6">
        <w:rPr>
          <w:rFonts w:ascii="Arial" w:eastAsia="Times New Roman" w:hAnsi="Arial" w:cs="Arial"/>
          <w:sz w:val="24"/>
          <w:szCs w:val="24"/>
          <w:lang w:eastAsia="cs-CZ"/>
        </w:rPr>
        <w:t>použít dotaci</w:t>
      </w:r>
      <w:r w:rsidRPr="001474E6">
        <w:rPr>
          <w:rFonts w:ascii="Arial" w:eastAsia="Times New Roman" w:hAnsi="Arial" w:cs="Arial"/>
          <w:sz w:val="24"/>
          <w:szCs w:val="24"/>
          <w:lang w:eastAsia="cs-CZ"/>
        </w:rPr>
        <w:t xml:space="preserve"> pouze na ..........</w:t>
      </w:r>
      <w:r w:rsidR="00B017CB" w:rsidRPr="001474E6">
        <w:rPr>
          <w:rFonts w:ascii="Arial" w:eastAsia="Times New Roman" w:hAnsi="Arial" w:cs="Arial"/>
          <w:i/>
          <w:sz w:val="24"/>
          <w:szCs w:val="24"/>
          <w:lang w:eastAsia="cs-CZ"/>
        </w:rPr>
        <w:t xml:space="preserve"> (specifikuje se podle podané žádosti).</w:t>
      </w:r>
    </w:p>
    <w:p w14:paraId="5A1C18F1" w14:textId="77777777" w:rsidR="00194196" w:rsidRPr="001474E6" w:rsidRDefault="00194196" w:rsidP="00194196">
      <w:pPr>
        <w:tabs>
          <w:tab w:val="left" w:pos="8100"/>
        </w:tabs>
        <w:spacing w:after="120"/>
        <w:ind w:left="567" w:firstLine="0"/>
        <w:rPr>
          <w:rFonts w:ascii="Arial" w:eastAsia="Times New Roman" w:hAnsi="Arial" w:cs="Arial"/>
          <w:iCs/>
          <w:sz w:val="24"/>
          <w:szCs w:val="24"/>
          <w:lang w:eastAsia="cs-CZ"/>
        </w:rPr>
      </w:pPr>
      <w:r w:rsidRPr="001474E6">
        <w:rPr>
          <w:rFonts w:ascii="Arial" w:eastAsia="Times New Roman" w:hAnsi="Arial" w:cs="Arial"/>
          <w:iCs/>
          <w:sz w:val="24"/>
          <w:szCs w:val="24"/>
          <w:lang w:eastAsia="cs-CZ"/>
        </w:rPr>
        <w:t xml:space="preserve">Je-li příjemce plátce daně z přidané hodnoty (dále jen </w:t>
      </w:r>
      <w:r w:rsidR="00E92451" w:rsidRPr="001474E6">
        <w:rPr>
          <w:rFonts w:ascii="Arial" w:eastAsia="Times New Roman" w:hAnsi="Arial" w:cs="Arial"/>
          <w:iCs/>
          <w:sz w:val="24"/>
          <w:szCs w:val="24"/>
          <w:lang w:eastAsia="cs-CZ"/>
        </w:rPr>
        <w:t>„</w:t>
      </w:r>
      <w:r w:rsidRPr="001474E6">
        <w:rPr>
          <w:rFonts w:ascii="Arial" w:eastAsia="Times New Roman" w:hAnsi="Arial" w:cs="Arial"/>
          <w:iCs/>
          <w:sz w:val="24"/>
          <w:szCs w:val="24"/>
          <w:lang w:eastAsia="cs-CZ"/>
        </w:rPr>
        <w:t>DPH</w:t>
      </w:r>
      <w:r w:rsidR="00E92451" w:rsidRPr="001474E6">
        <w:rPr>
          <w:rFonts w:ascii="Arial" w:eastAsia="Times New Roman" w:hAnsi="Arial" w:cs="Arial"/>
          <w:iCs/>
          <w:sz w:val="24"/>
          <w:szCs w:val="24"/>
          <w:lang w:eastAsia="cs-CZ"/>
        </w:rPr>
        <w:t>“</w:t>
      </w:r>
      <w:r w:rsidRPr="001474E6">
        <w:rPr>
          <w:rFonts w:ascii="Arial" w:eastAsia="Times New Roman" w:hAnsi="Arial" w:cs="Arial"/>
          <w:iCs/>
          <w:sz w:val="24"/>
          <w:szCs w:val="24"/>
          <w:lang w:eastAsia="cs-CZ"/>
        </w:rPr>
        <w:t xml:space="preserve">) a může uplatnit odpočet DPH ve vazbě na ekonomickou činnost, která zakládá nárok na odpočet daně podle § 72 odst. 1 zákona č. 235/2004 Sb., o dani z přidané hodnoty, v platném znění (dále jen „ZDPH“), a to v plné nebo částečné výši (tj. v poměrné výši podle § 75 ZDPH nebo krácené výši podle § 76 ZDPH, popř. </w:t>
      </w:r>
      <w:r w:rsidRPr="001474E6">
        <w:rPr>
          <w:rFonts w:ascii="Arial" w:eastAsia="Times New Roman" w:hAnsi="Arial" w:cs="Arial"/>
          <w:iCs/>
          <w:sz w:val="24"/>
          <w:szCs w:val="24"/>
          <w:lang w:eastAsia="cs-CZ"/>
        </w:rPr>
        <w:lastRenderedPageBreak/>
        <w:t xml:space="preserve">kombinací obou způsobů), nelze z </w:t>
      </w:r>
      <w:r w:rsidRPr="001474E6">
        <w:rPr>
          <w:rFonts w:ascii="Arial" w:eastAsia="Times New Roman" w:hAnsi="Arial" w:cs="Arial"/>
          <w:sz w:val="24"/>
          <w:szCs w:val="24"/>
          <w:lang w:eastAsia="cs-CZ"/>
        </w:rPr>
        <w:t xml:space="preserve">dotace </w:t>
      </w:r>
      <w:r w:rsidRPr="001474E6">
        <w:rPr>
          <w:rFonts w:ascii="Arial" w:eastAsia="Times New Roman" w:hAnsi="Arial" w:cs="Arial"/>
          <w:iCs/>
          <w:sz w:val="24"/>
          <w:szCs w:val="24"/>
          <w:lang w:eastAsia="cs-CZ"/>
        </w:rPr>
        <w:t xml:space="preserve">uhradit DPH ve výši tohoto odpočtu DPH, na který příjemci vznikl nárok. V případě, že si příjemce – plátce DPH bude uplatňovat nárok na odpočet daně z přijatých zdanitelných plnění v souvislosti s realizací projektu, na který byla </w:t>
      </w:r>
      <w:r w:rsidRPr="001474E6">
        <w:rPr>
          <w:rFonts w:ascii="Arial" w:eastAsia="Times New Roman" w:hAnsi="Arial" w:cs="Arial"/>
          <w:sz w:val="24"/>
          <w:szCs w:val="24"/>
          <w:lang w:eastAsia="cs-CZ"/>
        </w:rPr>
        <w:t xml:space="preserve">dotace </w:t>
      </w:r>
      <w:r w:rsidRPr="001474E6">
        <w:rPr>
          <w:rFonts w:ascii="Arial" w:eastAsia="Times New Roman" w:hAnsi="Arial" w:cs="Arial"/>
          <w:iCs/>
          <w:sz w:val="24"/>
          <w:szCs w:val="24"/>
          <w:lang w:eastAsia="cs-CZ"/>
        </w:rPr>
        <w:t xml:space="preserve">poskytnuta, a to nárok na odpočet v plné či částečné výši, uvádí na veškerých vyúčtovacích dokladech finanční částky bez DPH odpovídající výši, která mohla být uplatněna v odpočtu daně  na základě daňového přiznání k DPH. Příjemce – neplátce DPH uvádí na veškerých vyúčtovacích dokladech finanční částky včetně DPH. </w:t>
      </w:r>
    </w:p>
    <w:p w14:paraId="02F5B9BC" w14:textId="77777777" w:rsidR="00194196" w:rsidRPr="001474E6" w:rsidRDefault="00194196" w:rsidP="00194196">
      <w:pPr>
        <w:tabs>
          <w:tab w:val="left" w:pos="8100"/>
        </w:tabs>
        <w:spacing w:after="120"/>
        <w:ind w:left="567" w:firstLine="0"/>
        <w:rPr>
          <w:rFonts w:ascii="Arial" w:eastAsia="Times New Roman" w:hAnsi="Arial" w:cs="Arial"/>
          <w:iCs/>
          <w:sz w:val="24"/>
          <w:szCs w:val="24"/>
          <w:lang w:eastAsia="cs-CZ"/>
        </w:rPr>
      </w:pPr>
      <w:r w:rsidRPr="001474E6">
        <w:rPr>
          <w:rFonts w:ascii="Arial" w:eastAsia="Times New Roman" w:hAnsi="Arial" w:cs="Arial"/>
          <w:iCs/>
          <w:sz w:val="24"/>
          <w:szCs w:val="24"/>
          <w:lang w:eastAsia="cs-CZ"/>
        </w:rPr>
        <w:t xml:space="preserve">V případě, že se příjemce stane plátcem DPH v průběhu čerpání </w:t>
      </w:r>
      <w:r w:rsidRPr="001474E6">
        <w:rPr>
          <w:rFonts w:ascii="Arial" w:eastAsia="Times New Roman" w:hAnsi="Arial" w:cs="Arial"/>
          <w:sz w:val="24"/>
          <w:szCs w:val="24"/>
          <w:lang w:eastAsia="cs-CZ"/>
        </w:rPr>
        <w:t>dotace</w:t>
      </w:r>
      <w:r w:rsidRPr="001474E6">
        <w:rPr>
          <w:rFonts w:ascii="Arial" w:eastAsia="Times New Roman" w:hAnsi="Arial" w:cs="Arial"/>
          <w:iCs/>
          <w:sz w:val="24"/>
          <w:szCs w:val="24"/>
          <w:lang w:eastAsia="cs-CZ"/>
        </w:rPr>
        <w:br/>
        <w:t xml:space="preserve">a jeho právo uplatnit odpočet DPH při registraci podle  § 79 ZDPH se vztahuje na zdanitelná plnění hrazená včetně příslušné DPH z </w:t>
      </w:r>
      <w:r w:rsidRPr="001474E6">
        <w:rPr>
          <w:rFonts w:ascii="Arial" w:eastAsia="Times New Roman" w:hAnsi="Arial" w:cs="Arial"/>
          <w:sz w:val="24"/>
          <w:szCs w:val="24"/>
          <w:lang w:eastAsia="cs-CZ"/>
        </w:rPr>
        <w:t>dotace</w:t>
      </w:r>
      <w:r w:rsidRPr="001474E6">
        <w:rPr>
          <w:rFonts w:ascii="Arial" w:eastAsia="Times New Roman" w:hAnsi="Arial" w:cs="Arial"/>
          <w:iCs/>
          <w:sz w:val="24"/>
          <w:szCs w:val="24"/>
          <w:lang w:eastAsia="cs-CZ"/>
        </w:rPr>
        <w:t xml:space="preserve">, je příjemce povinen snížit výši dosud čerpané </w:t>
      </w:r>
      <w:r w:rsidRPr="001474E6">
        <w:rPr>
          <w:rFonts w:ascii="Arial" w:eastAsia="Times New Roman" w:hAnsi="Arial" w:cs="Arial"/>
          <w:sz w:val="24"/>
          <w:szCs w:val="24"/>
          <w:lang w:eastAsia="cs-CZ"/>
        </w:rPr>
        <w:t xml:space="preserve">dotace </w:t>
      </w:r>
      <w:r w:rsidRPr="001474E6">
        <w:rPr>
          <w:rFonts w:ascii="Arial" w:eastAsia="Times New Roman" w:hAnsi="Arial" w:cs="Arial"/>
          <w:iCs/>
          <w:sz w:val="24"/>
          <w:szCs w:val="24"/>
          <w:lang w:eastAsia="cs-CZ"/>
        </w:rPr>
        <w:t xml:space="preserve">o výši daně z přidané hodnoty, kterou je příjemce oprávněn v souladu § 79 ZDPH uplatnit v prvním daňovém přiznání po registraci k DPH. </w:t>
      </w:r>
    </w:p>
    <w:p w14:paraId="27E30F28" w14:textId="77777777" w:rsidR="00194196" w:rsidRPr="001474E6" w:rsidRDefault="00194196" w:rsidP="00194196">
      <w:pPr>
        <w:tabs>
          <w:tab w:val="left" w:pos="8100"/>
        </w:tabs>
        <w:spacing w:after="120"/>
        <w:ind w:left="567" w:firstLine="0"/>
        <w:rPr>
          <w:rFonts w:ascii="Arial" w:eastAsia="Times New Roman" w:hAnsi="Arial" w:cs="Arial"/>
          <w:iCs/>
          <w:sz w:val="24"/>
          <w:szCs w:val="24"/>
          <w:lang w:eastAsia="cs-CZ"/>
        </w:rPr>
      </w:pPr>
      <w:r w:rsidRPr="001474E6">
        <w:rPr>
          <w:rFonts w:ascii="Arial" w:eastAsia="Times New Roman" w:hAnsi="Arial" w:cs="Arial"/>
          <w:iCs/>
          <w:sz w:val="24"/>
          <w:szCs w:val="24"/>
          <w:lang w:eastAsia="cs-CZ"/>
        </w:rPr>
        <w:t xml:space="preserve">V případě, že dojde k registraci příjemce k DPH a příjemce při registraci podle § 79 ZDPH je oprávněn až po vyúčtování </w:t>
      </w:r>
      <w:r w:rsidRPr="001474E6">
        <w:rPr>
          <w:rFonts w:ascii="Arial" w:eastAsia="Times New Roman" w:hAnsi="Arial" w:cs="Arial"/>
          <w:sz w:val="24"/>
          <w:szCs w:val="24"/>
          <w:lang w:eastAsia="cs-CZ"/>
        </w:rPr>
        <w:t xml:space="preserve">dotace </w:t>
      </w:r>
      <w:r w:rsidRPr="001474E6">
        <w:rPr>
          <w:rFonts w:ascii="Arial" w:eastAsia="Times New Roman" w:hAnsi="Arial" w:cs="Arial"/>
          <w:iCs/>
          <w:sz w:val="24"/>
          <w:szCs w:val="24"/>
          <w:lang w:eastAsia="cs-CZ"/>
        </w:rPr>
        <w:t xml:space="preserve">uplatnit nárok na odpočet DPH, jež byla uhrazena z </w:t>
      </w:r>
      <w:r w:rsidRPr="001474E6">
        <w:rPr>
          <w:rFonts w:ascii="Arial" w:eastAsia="Times New Roman" w:hAnsi="Arial" w:cs="Arial"/>
          <w:sz w:val="24"/>
          <w:szCs w:val="24"/>
          <w:lang w:eastAsia="cs-CZ"/>
        </w:rPr>
        <w:t>dotace</w:t>
      </w:r>
      <w:r w:rsidRPr="001474E6">
        <w:rPr>
          <w:rFonts w:ascii="Arial" w:eastAsia="Times New Roman" w:hAnsi="Arial" w:cs="Arial"/>
          <w:iCs/>
          <w:sz w:val="24"/>
          <w:szCs w:val="24"/>
          <w:lang w:eastAsia="cs-CZ"/>
        </w:rPr>
        <w:t>, je příjemce povinen vrátit poskytovateli částku ve výši nároku odpočtu DPH, který byl čerpán jako uznatelný výdaj.</w:t>
      </w:r>
    </w:p>
    <w:p w14:paraId="4CC92B4E" w14:textId="77777777" w:rsidR="00194196" w:rsidRPr="001474E6" w:rsidRDefault="00194196" w:rsidP="00194196">
      <w:pPr>
        <w:tabs>
          <w:tab w:val="left" w:pos="8100"/>
        </w:tabs>
        <w:spacing w:after="120"/>
        <w:ind w:left="567" w:firstLine="0"/>
        <w:rPr>
          <w:rFonts w:ascii="Arial" w:eastAsia="Times New Roman" w:hAnsi="Arial" w:cs="Arial"/>
          <w:iCs/>
          <w:sz w:val="24"/>
          <w:szCs w:val="24"/>
          <w:highlight w:val="lightGray"/>
          <w:lang w:eastAsia="cs-CZ"/>
        </w:rPr>
      </w:pPr>
      <w:r w:rsidRPr="001474E6">
        <w:rPr>
          <w:rFonts w:ascii="Arial" w:eastAsia="Times New Roman" w:hAnsi="Arial" w:cs="Arial"/>
          <w:iCs/>
          <w:sz w:val="24"/>
          <w:szCs w:val="24"/>
          <w:lang w:eastAsia="cs-CZ"/>
        </w:rPr>
        <w:t xml:space="preserve">Pokud má příjemce (plátce daně) ve shodě </w:t>
      </w:r>
      <w:r w:rsidRPr="00D70A4E">
        <w:rPr>
          <w:rFonts w:ascii="Arial" w:eastAsia="Times New Roman" w:hAnsi="Arial" w:cs="Arial"/>
          <w:iCs/>
          <w:sz w:val="24"/>
          <w:szCs w:val="24"/>
          <w:lang w:eastAsia="cs-CZ"/>
        </w:rPr>
        <w:t>s opravou odpočtu podle § 75 ZDPH, vypořádáním odpočtu podle § 76 ZDPH</w:t>
      </w:r>
      <w:r w:rsidRPr="001474E6">
        <w:rPr>
          <w:rFonts w:ascii="Arial" w:eastAsia="Times New Roman" w:hAnsi="Arial" w:cs="Arial"/>
          <w:iCs/>
          <w:sz w:val="24"/>
          <w:szCs w:val="24"/>
          <w:lang w:eastAsia="cs-CZ"/>
        </w:rPr>
        <w:t xml:space="preserve"> a úpravou odpočtu podle § 78 až 78c ZDPH právo zvýšit ve lhůtě stanovené ZDPH svůj původně uplatněný nárok na odpočet DPH, který se vztahuje na zdanitelná plnění hrazená včetně příslušné DPH z </w:t>
      </w:r>
      <w:r w:rsidRPr="001474E6">
        <w:rPr>
          <w:rFonts w:ascii="Arial" w:eastAsia="Times New Roman" w:hAnsi="Arial" w:cs="Arial"/>
          <w:sz w:val="24"/>
          <w:szCs w:val="24"/>
          <w:lang w:eastAsia="cs-CZ"/>
        </w:rPr>
        <w:t>dotace</w:t>
      </w:r>
      <w:r w:rsidRPr="001474E6">
        <w:rPr>
          <w:rFonts w:ascii="Arial" w:eastAsia="Times New Roman" w:hAnsi="Arial" w:cs="Arial"/>
          <w:iCs/>
          <w:sz w:val="24"/>
          <w:szCs w:val="24"/>
          <w:lang w:eastAsia="cs-CZ"/>
        </w:rPr>
        <w:t xml:space="preserve">, je příjemce povinen upravit a vrátit poskytovateli část </w:t>
      </w:r>
      <w:r w:rsidRPr="001474E6">
        <w:rPr>
          <w:rFonts w:ascii="Arial" w:eastAsia="Times New Roman" w:hAnsi="Arial" w:cs="Arial"/>
          <w:sz w:val="24"/>
          <w:szCs w:val="24"/>
          <w:lang w:eastAsia="cs-CZ"/>
        </w:rPr>
        <w:t xml:space="preserve">dotace </w:t>
      </w:r>
      <w:r w:rsidRPr="001474E6">
        <w:rPr>
          <w:rFonts w:ascii="Arial" w:eastAsia="Times New Roman" w:hAnsi="Arial" w:cs="Arial"/>
          <w:iCs/>
          <w:sz w:val="24"/>
          <w:szCs w:val="24"/>
          <w:lang w:eastAsia="cs-CZ"/>
        </w:rPr>
        <w:t xml:space="preserve">ve výši uplatněného odpočtu DPH, a to do jednoho měsíce ode dne, kdy příslušný státní orgán vrátil příjemci uhrazenou DPH. </w:t>
      </w:r>
    </w:p>
    <w:p w14:paraId="5C8F1B89" w14:textId="77777777" w:rsidR="00194196" w:rsidRPr="001474E6" w:rsidRDefault="00194196" w:rsidP="00194196">
      <w:pPr>
        <w:spacing w:after="120"/>
        <w:ind w:left="567" w:firstLine="0"/>
        <w:rPr>
          <w:rFonts w:ascii="Arial" w:eastAsia="Times New Roman" w:hAnsi="Arial" w:cs="Arial"/>
          <w:iCs/>
          <w:sz w:val="24"/>
          <w:szCs w:val="24"/>
          <w:lang w:eastAsia="cs-CZ"/>
        </w:rPr>
      </w:pPr>
      <w:r w:rsidRPr="001474E6">
        <w:rPr>
          <w:rFonts w:ascii="Arial" w:eastAsia="Times New Roman" w:hAnsi="Arial" w:cs="Arial"/>
          <w:iCs/>
          <w:sz w:val="24"/>
          <w:szCs w:val="24"/>
          <w:lang w:eastAsia="cs-CZ"/>
        </w:rPr>
        <w:t xml:space="preserve">Nevrátí-li příjemce takovou část </w:t>
      </w:r>
      <w:r w:rsidRPr="001474E6">
        <w:rPr>
          <w:rFonts w:ascii="Arial" w:eastAsia="Times New Roman" w:hAnsi="Arial" w:cs="Arial"/>
          <w:sz w:val="24"/>
          <w:szCs w:val="24"/>
          <w:lang w:eastAsia="cs-CZ"/>
        </w:rPr>
        <w:t xml:space="preserve">dotace </w:t>
      </w:r>
      <w:r w:rsidRPr="001474E6">
        <w:rPr>
          <w:rFonts w:ascii="Arial" w:eastAsia="Times New Roman" w:hAnsi="Arial" w:cs="Arial"/>
          <w:iCs/>
          <w:sz w:val="24"/>
          <w:szCs w:val="24"/>
          <w:lang w:eastAsia="cs-CZ"/>
        </w:rPr>
        <w:t>v této lhůtě, dopustí se porušení rozpočtové kázně ve smyslu ust. § 22 zákona č. 250/2000 Sb., o rozpočtových pravidlech územních rozpočtů, ve znění pozdějších předpisů.</w:t>
      </w:r>
    </w:p>
    <w:p w14:paraId="79204C8E" w14:textId="77777777" w:rsidR="00194196" w:rsidRPr="001474E6" w:rsidRDefault="00194196" w:rsidP="00194196">
      <w:pPr>
        <w:spacing w:after="120"/>
        <w:ind w:left="567" w:firstLine="0"/>
        <w:rPr>
          <w:rFonts w:ascii="Arial" w:eastAsia="Times New Roman" w:hAnsi="Arial" w:cs="Arial"/>
          <w:iCs/>
          <w:sz w:val="24"/>
          <w:szCs w:val="24"/>
          <w:lang w:eastAsia="cs-CZ"/>
        </w:rPr>
      </w:pPr>
      <w:r w:rsidRPr="001474E6">
        <w:rPr>
          <w:rFonts w:ascii="Arial" w:eastAsia="Times New Roman" w:hAnsi="Arial" w:cs="Arial"/>
          <w:sz w:val="24"/>
          <w:szCs w:val="24"/>
          <w:lang w:eastAsia="cs-CZ"/>
        </w:rPr>
        <w:t xml:space="preserve">Dotaci </w:t>
      </w:r>
      <w:r w:rsidRPr="001474E6">
        <w:rPr>
          <w:rFonts w:ascii="Arial" w:eastAsia="Times New Roman" w:hAnsi="Arial" w:cs="Arial"/>
          <w:iCs/>
          <w:sz w:val="24"/>
          <w:szCs w:val="24"/>
          <w:lang w:eastAsia="cs-CZ"/>
        </w:rPr>
        <w:t xml:space="preserve">nelze rovněž použít na úhradu ostatních daní. </w:t>
      </w:r>
    </w:p>
    <w:p w14:paraId="6725D21A" w14:textId="77777777" w:rsidR="00194196" w:rsidRPr="001474E6" w:rsidRDefault="00194196" w:rsidP="00194196">
      <w:pPr>
        <w:spacing w:after="120"/>
        <w:ind w:left="567" w:firstLine="0"/>
        <w:rPr>
          <w:rFonts w:ascii="Arial" w:eastAsia="Times New Roman" w:hAnsi="Arial" w:cs="Arial"/>
          <w:i/>
          <w:iCs/>
          <w:sz w:val="24"/>
          <w:szCs w:val="24"/>
          <w:lang w:eastAsia="cs-CZ"/>
        </w:rPr>
      </w:pPr>
      <w:r w:rsidRPr="001474E6">
        <w:rPr>
          <w:rFonts w:ascii="Arial" w:eastAsia="Times New Roman" w:hAnsi="Arial" w:cs="Arial"/>
          <w:sz w:val="24"/>
          <w:szCs w:val="24"/>
          <w:lang w:eastAsia="cs-CZ"/>
        </w:rPr>
        <w:t xml:space="preserve">Příjemce nesmí dotaci použít zejména </w:t>
      </w:r>
      <w:r w:rsidR="00BC4484" w:rsidRPr="001474E6">
        <w:rPr>
          <w:rFonts w:ascii="Arial" w:eastAsia="Times New Roman" w:hAnsi="Arial" w:cs="Arial"/>
          <w:sz w:val="24"/>
          <w:szCs w:val="24"/>
          <w:lang w:eastAsia="cs-CZ"/>
        </w:rPr>
        <w:t xml:space="preserve">na účely uvedené v bodě 9.3 Pravidel. </w:t>
      </w:r>
    </w:p>
    <w:p w14:paraId="30FA2CA7" w14:textId="77777777" w:rsidR="00194196" w:rsidRPr="001474E6" w:rsidRDefault="00194196" w:rsidP="00194196">
      <w:pPr>
        <w:spacing w:after="120"/>
        <w:ind w:left="567" w:firstLine="0"/>
        <w:rPr>
          <w:rFonts w:ascii="Arial" w:eastAsia="Times New Roman" w:hAnsi="Arial" w:cs="Arial"/>
          <w:sz w:val="24"/>
          <w:szCs w:val="24"/>
          <w:lang w:eastAsia="cs-CZ"/>
        </w:rPr>
      </w:pPr>
      <w:r w:rsidRPr="001474E6">
        <w:rPr>
          <w:rFonts w:ascii="Arial" w:eastAsia="Times New Roman" w:hAnsi="Arial" w:cs="Arial"/>
          <w:sz w:val="24"/>
          <w:szCs w:val="24"/>
          <w:lang w:eastAsia="cs-CZ"/>
        </w:rPr>
        <w:t>Bez předchozího písemného souhlasu poskytovatele nesmí příjemce dotaci nebo její část poskytnout třetí osobě, není-li touto smlouvou stanoveno jinak.</w:t>
      </w:r>
    </w:p>
    <w:p w14:paraId="088FCA27" w14:textId="77777777" w:rsidR="00194196" w:rsidRPr="001474E6" w:rsidRDefault="00194196" w:rsidP="00194196">
      <w:pPr>
        <w:spacing w:after="120"/>
        <w:ind w:left="567" w:firstLine="0"/>
        <w:rPr>
          <w:rFonts w:ascii="Arial" w:eastAsia="Times New Roman" w:hAnsi="Arial" w:cs="Arial"/>
          <w:sz w:val="24"/>
          <w:szCs w:val="24"/>
          <w:lang w:eastAsia="cs-CZ"/>
        </w:rPr>
      </w:pPr>
      <w:r w:rsidRPr="001474E6">
        <w:rPr>
          <w:rFonts w:ascii="Arial" w:eastAsia="Times New Roman" w:hAnsi="Arial" w:cs="Arial"/>
          <w:sz w:val="24"/>
          <w:szCs w:val="24"/>
          <w:lang w:eastAsia="cs-CZ"/>
        </w:rPr>
        <w:t xml:space="preserve">Příjemce je povinen vést dotaci ve svém účetnictví odděleně. </w:t>
      </w:r>
    </w:p>
    <w:p w14:paraId="0F4AF896" w14:textId="77777777" w:rsidR="00194196" w:rsidRPr="001474E6" w:rsidRDefault="00194196" w:rsidP="00194196">
      <w:pPr>
        <w:numPr>
          <w:ilvl w:val="0"/>
          <w:numId w:val="2"/>
        </w:numPr>
        <w:spacing w:after="120"/>
        <w:jc w:val="left"/>
        <w:rPr>
          <w:rFonts w:ascii="Arial" w:eastAsia="Times New Roman" w:hAnsi="Arial" w:cs="Arial"/>
          <w:i/>
          <w:iCs/>
          <w:sz w:val="24"/>
          <w:szCs w:val="24"/>
          <w:lang w:eastAsia="cs-CZ"/>
        </w:rPr>
      </w:pPr>
      <w:r w:rsidRPr="001474E6">
        <w:rPr>
          <w:rFonts w:ascii="Arial" w:eastAsia="Times New Roman" w:hAnsi="Arial" w:cs="Arial"/>
          <w:sz w:val="24"/>
          <w:szCs w:val="24"/>
          <w:lang w:eastAsia="cs-CZ"/>
        </w:rPr>
        <w:t xml:space="preserve">Příjemce je povinen použít poskytnutou dotaci nejpozději do </w:t>
      </w:r>
      <w:r w:rsidR="00077654" w:rsidRPr="001474E6">
        <w:rPr>
          <w:rFonts w:ascii="Arial" w:eastAsia="Times New Roman" w:hAnsi="Arial" w:cs="Arial"/>
          <w:sz w:val="24"/>
          <w:szCs w:val="24"/>
          <w:lang w:eastAsia="cs-CZ"/>
        </w:rPr>
        <w:t>31.</w:t>
      </w:r>
      <w:r w:rsidR="004A29BE" w:rsidRPr="001474E6">
        <w:rPr>
          <w:rFonts w:ascii="Arial" w:eastAsia="Times New Roman" w:hAnsi="Arial" w:cs="Arial"/>
          <w:sz w:val="24"/>
          <w:szCs w:val="24"/>
          <w:lang w:eastAsia="cs-CZ"/>
        </w:rPr>
        <w:t xml:space="preserve"> </w:t>
      </w:r>
      <w:r w:rsidR="00077654" w:rsidRPr="001474E6">
        <w:rPr>
          <w:rFonts w:ascii="Arial" w:eastAsia="Times New Roman" w:hAnsi="Arial" w:cs="Arial"/>
          <w:sz w:val="24"/>
          <w:szCs w:val="24"/>
          <w:lang w:eastAsia="cs-CZ"/>
        </w:rPr>
        <w:t>12.</w:t>
      </w:r>
      <w:r w:rsidR="002D6EBC" w:rsidRPr="001474E6">
        <w:rPr>
          <w:rFonts w:ascii="Arial" w:eastAsia="Times New Roman" w:hAnsi="Arial" w:cs="Arial"/>
          <w:sz w:val="24"/>
          <w:szCs w:val="24"/>
          <w:lang w:eastAsia="cs-CZ"/>
        </w:rPr>
        <w:t xml:space="preserve"> 2016</w:t>
      </w:r>
      <w:r w:rsidR="00D911CD" w:rsidRPr="001474E6">
        <w:rPr>
          <w:rFonts w:ascii="Arial" w:eastAsia="Times New Roman" w:hAnsi="Arial" w:cs="Arial"/>
          <w:sz w:val="24"/>
          <w:szCs w:val="24"/>
          <w:lang w:eastAsia="cs-CZ"/>
        </w:rPr>
        <w:t>.</w:t>
      </w:r>
      <w:r w:rsidR="002D6EBC" w:rsidRPr="001474E6">
        <w:rPr>
          <w:rFonts w:ascii="Arial" w:eastAsia="Times New Roman" w:hAnsi="Arial" w:cs="Arial"/>
          <w:sz w:val="24"/>
          <w:szCs w:val="24"/>
          <w:lang w:eastAsia="cs-CZ"/>
        </w:rPr>
        <w:t xml:space="preserve"> </w:t>
      </w:r>
    </w:p>
    <w:p w14:paraId="4A2F51BB" w14:textId="77777777" w:rsidR="002D6EBC" w:rsidRPr="001474E6" w:rsidRDefault="00194196" w:rsidP="002D6EBC">
      <w:pPr>
        <w:spacing w:after="120"/>
        <w:ind w:left="567" w:firstLine="0"/>
        <w:rPr>
          <w:rFonts w:ascii="Arial" w:eastAsia="Times New Roman" w:hAnsi="Arial" w:cs="Arial"/>
          <w:i/>
          <w:iCs/>
          <w:sz w:val="24"/>
          <w:szCs w:val="24"/>
          <w:lang w:eastAsia="cs-CZ"/>
        </w:rPr>
      </w:pPr>
      <w:r w:rsidRPr="001474E6">
        <w:rPr>
          <w:rFonts w:ascii="Arial" w:eastAsia="Times New Roman" w:hAnsi="Arial" w:cs="Arial"/>
          <w:iCs/>
          <w:sz w:val="24"/>
          <w:szCs w:val="24"/>
          <w:lang w:eastAsia="cs-CZ"/>
        </w:rPr>
        <w:t xml:space="preserve">Příjemce je oprávněn použít </w:t>
      </w:r>
      <w:r w:rsidRPr="001474E6">
        <w:rPr>
          <w:rFonts w:ascii="Arial" w:eastAsia="Times New Roman" w:hAnsi="Arial" w:cs="Arial"/>
          <w:sz w:val="24"/>
          <w:szCs w:val="24"/>
          <w:lang w:eastAsia="cs-CZ"/>
        </w:rPr>
        <w:t xml:space="preserve">dotaci </w:t>
      </w:r>
      <w:r w:rsidRPr="001474E6">
        <w:rPr>
          <w:rFonts w:ascii="Arial" w:eastAsia="Times New Roman" w:hAnsi="Arial" w:cs="Arial"/>
          <w:iCs/>
          <w:sz w:val="24"/>
          <w:szCs w:val="24"/>
          <w:lang w:eastAsia="cs-CZ"/>
        </w:rPr>
        <w:t xml:space="preserve">také na úhradu nákladů vynaložených příjemcem v souladu s účelem poskytnutí </w:t>
      </w:r>
      <w:r w:rsidRPr="001474E6">
        <w:rPr>
          <w:rFonts w:ascii="Arial" w:eastAsia="Times New Roman" w:hAnsi="Arial" w:cs="Arial"/>
          <w:sz w:val="24"/>
          <w:szCs w:val="24"/>
          <w:lang w:eastAsia="cs-CZ"/>
        </w:rPr>
        <w:t xml:space="preserve">dotace </w:t>
      </w:r>
      <w:r w:rsidRPr="001474E6">
        <w:rPr>
          <w:rFonts w:ascii="Arial" w:eastAsia="Times New Roman" w:hAnsi="Arial" w:cs="Arial"/>
          <w:iCs/>
          <w:sz w:val="24"/>
          <w:szCs w:val="24"/>
          <w:lang w:eastAsia="cs-CZ"/>
        </w:rPr>
        <w:t xml:space="preserve">dle čl. I. odst. 2 a 4 této smlouvy a podmínkami užití </w:t>
      </w:r>
      <w:r w:rsidRPr="001474E6">
        <w:rPr>
          <w:rFonts w:ascii="Arial" w:eastAsia="Times New Roman" w:hAnsi="Arial" w:cs="Arial"/>
          <w:sz w:val="24"/>
          <w:szCs w:val="24"/>
          <w:lang w:eastAsia="cs-CZ"/>
        </w:rPr>
        <w:t xml:space="preserve">dotace </w:t>
      </w:r>
      <w:r w:rsidRPr="001474E6">
        <w:rPr>
          <w:rFonts w:ascii="Arial" w:eastAsia="Times New Roman" w:hAnsi="Arial" w:cs="Arial"/>
          <w:iCs/>
          <w:sz w:val="24"/>
          <w:szCs w:val="24"/>
          <w:lang w:eastAsia="cs-CZ"/>
        </w:rPr>
        <w:t xml:space="preserve">dle čl. II. odst. 1 této smlouvy v období od </w:t>
      </w:r>
      <w:r w:rsidR="006D69BD" w:rsidRPr="001474E6">
        <w:rPr>
          <w:rFonts w:ascii="Arial" w:eastAsia="Times New Roman" w:hAnsi="Arial" w:cs="Arial"/>
          <w:iCs/>
          <w:sz w:val="24"/>
          <w:szCs w:val="24"/>
          <w:lang w:eastAsia="cs-CZ"/>
        </w:rPr>
        <w:br/>
      </w:r>
      <w:r w:rsidR="00705564" w:rsidRPr="001474E6">
        <w:rPr>
          <w:rFonts w:ascii="Arial" w:eastAsia="Times New Roman" w:hAnsi="Arial" w:cs="Arial"/>
          <w:iCs/>
          <w:sz w:val="24"/>
          <w:szCs w:val="24"/>
          <w:lang w:eastAsia="cs-CZ"/>
        </w:rPr>
        <w:t xml:space="preserve">1. 1. </w:t>
      </w:r>
      <w:r w:rsidR="002D6EBC" w:rsidRPr="001474E6">
        <w:rPr>
          <w:rFonts w:ascii="Arial" w:eastAsia="Times New Roman" w:hAnsi="Arial" w:cs="Arial"/>
          <w:iCs/>
          <w:sz w:val="24"/>
          <w:szCs w:val="24"/>
          <w:lang w:eastAsia="cs-CZ"/>
        </w:rPr>
        <w:t>2016</w:t>
      </w:r>
      <w:r w:rsidR="00912E56" w:rsidRPr="001474E6">
        <w:rPr>
          <w:rFonts w:ascii="Arial" w:eastAsia="Times New Roman" w:hAnsi="Arial" w:cs="Arial"/>
          <w:iCs/>
          <w:sz w:val="24"/>
          <w:szCs w:val="24"/>
          <w:lang w:eastAsia="cs-CZ"/>
        </w:rPr>
        <w:t xml:space="preserve"> </w:t>
      </w:r>
      <w:r w:rsidR="002D6EBC" w:rsidRPr="001474E6">
        <w:rPr>
          <w:rFonts w:ascii="Arial" w:eastAsia="Times New Roman" w:hAnsi="Arial" w:cs="Arial"/>
          <w:iCs/>
          <w:sz w:val="24"/>
          <w:szCs w:val="24"/>
          <w:lang w:eastAsia="cs-CZ"/>
        </w:rPr>
        <w:t>do uzavření této smlouvy</w:t>
      </w:r>
      <w:r w:rsidR="00D911CD" w:rsidRPr="001474E6">
        <w:rPr>
          <w:rFonts w:ascii="Arial" w:eastAsia="Times New Roman" w:hAnsi="Arial" w:cs="Arial"/>
          <w:iCs/>
          <w:sz w:val="24"/>
          <w:szCs w:val="24"/>
          <w:lang w:eastAsia="cs-CZ"/>
        </w:rPr>
        <w:t>.</w:t>
      </w:r>
      <w:r w:rsidR="002D6EBC" w:rsidRPr="001474E6">
        <w:rPr>
          <w:rFonts w:ascii="Arial" w:eastAsia="Times New Roman" w:hAnsi="Arial" w:cs="Arial"/>
          <w:iCs/>
          <w:sz w:val="24"/>
          <w:szCs w:val="24"/>
          <w:lang w:eastAsia="cs-CZ"/>
        </w:rPr>
        <w:t xml:space="preserve"> </w:t>
      </w:r>
    </w:p>
    <w:p w14:paraId="145F5877" w14:textId="77777777" w:rsidR="0005680E" w:rsidRPr="001474E6" w:rsidRDefault="0005680E" w:rsidP="00194196">
      <w:pPr>
        <w:spacing w:after="120"/>
        <w:ind w:left="567" w:firstLine="0"/>
        <w:rPr>
          <w:rFonts w:ascii="Arial" w:eastAsia="Times New Roman" w:hAnsi="Arial" w:cs="Arial"/>
          <w:sz w:val="24"/>
          <w:szCs w:val="24"/>
          <w:lang w:eastAsia="cs-CZ"/>
        </w:rPr>
      </w:pPr>
      <w:r w:rsidRPr="001474E6">
        <w:rPr>
          <w:rFonts w:ascii="Arial" w:eastAsia="Times New Roman" w:hAnsi="Arial" w:cs="Arial"/>
          <w:sz w:val="24"/>
          <w:szCs w:val="24"/>
          <w:lang w:eastAsia="cs-CZ"/>
        </w:rPr>
        <w:t>.</w:t>
      </w:r>
    </w:p>
    <w:p w14:paraId="28D1856E" w14:textId="77777777" w:rsidR="00194196" w:rsidRPr="001474E6" w:rsidRDefault="00194196" w:rsidP="00194196">
      <w:pPr>
        <w:numPr>
          <w:ilvl w:val="0"/>
          <w:numId w:val="2"/>
        </w:numPr>
        <w:spacing w:after="120"/>
        <w:rPr>
          <w:rFonts w:ascii="Arial" w:eastAsia="Times New Roman" w:hAnsi="Arial" w:cs="Arial"/>
          <w:sz w:val="24"/>
          <w:szCs w:val="24"/>
          <w:lang w:eastAsia="cs-CZ"/>
        </w:rPr>
      </w:pPr>
      <w:r w:rsidRPr="001474E6">
        <w:rPr>
          <w:rFonts w:ascii="Arial" w:eastAsia="Times New Roman" w:hAnsi="Arial" w:cs="Arial"/>
          <w:sz w:val="24"/>
          <w:szCs w:val="24"/>
          <w:lang w:eastAsia="cs-CZ"/>
        </w:rPr>
        <w:lastRenderedPageBreak/>
        <w:t>Příjemce je povinen umožnit poskytovateli provedení kontroly dodržení účelu a podmínek použití poskytnuté dotace. Při této kontrole je příjemce povinen vyvíjet veškerou poskytovatelem požadovanou součinnost.</w:t>
      </w:r>
    </w:p>
    <w:p w14:paraId="08F88948" w14:textId="77777777" w:rsidR="00194196" w:rsidRPr="001474E6" w:rsidRDefault="00194196" w:rsidP="0006090A">
      <w:pPr>
        <w:pStyle w:val="Odstavecseseznamem"/>
        <w:numPr>
          <w:ilvl w:val="0"/>
          <w:numId w:val="2"/>
        </w:numPr>
        <w:tabs>
          <w:tab w:val="left" w:pos="540"/>
        </w:tabs>
        <w:spacing w:after="120"/>
        <w:rPr>
          <w:rFonts w:ascii="Arial" w:eastAsia="Times New Roman" w:hAnsi="Arial" w:cs="Arial"/>
          <w:sz w:val="24"/>
          <w:szCs w:val="24"/>
          <w:lang w:eastAsia="cs-CZ"/>
        </w:rPr>
      </w:pPr>
      <w:r w:rsidRPr="001474E6">
        <w:rPr>
          <w:rFonts w:ascii="Arial" w:eastAsia="Times New Roman" w:hAnsi="Arial" w:cs="Arial"/>
          <w:sz w:val="24"/>
          <w:szCs w:val="24"/>
          <w:lang w:eastAsia="cs-CZ"/>
        </w:rPr>
        <w:t xml:space="preserve">Příjemce je povinen nejpozději do </w:t>
      </w:r>
      <w:r w:rsidR="008637B5" w:rsidRPr="001474E6">
        <w:rPr>
          <w:rFonts w:ascii="Arial" w:eastAsia="Times New Roman" w:hAnsi="Arial" w:cs="Arial"/>
          <w:sz w:val="24"/>
          <w:szCs w:val="24"/>
          <w:lang w:eastAsia="cs-CZ"/>
        </w:rPr>
        <w:t>31. 1. 2017</w:t>
      </w:r>
      <w:r w:rsidRPr="001474E6">
        <w:rPr>
          <w:rFonts w:ascii="Arial" w:eastAsia="Times New Roman" w:hAnsi="Arial" w:cs="Arial"/>
          <w:sz w:val="24"/>
          <w:szCs w:val="24"/>
          <w:lang w:eastAsia="cs-CZ"/>
        </w:rPr>
        <w:t xml:space="preserve"> předložit poskytovateli vyúčtování poskytnuté dotace (dále jen „vyúčtování“).</w:t>
      </w:r>
    </w:p>
    <w:p w14:paraId="41B74B19" w14:textId="77777777" w:rsidR="00194196" w:rsidRPr="001474E6" w:rsidRDefault="00194196" w:rsidP="00194196">
      <w:pPr>
        <w:spacing w:after="120"/>
        <w:ind w:left="567" w:firstLine="0"/>
        <w:rPr>
          <w:rFonts w:ascii="Arial" w:eastAsia="Times New Roman" w:hAnsi="Arial" w:cs="Arial"/>
          <w:sz w:val="24"/>
          <w:szCs w:val="24"/>
          <w:lang w:eastAsia="cs-CZ"/>
        </w:rPr>
      </w:pPr>
      <w:r w:rsidRPr="001474E6">
        <w:rPr>
          <w:rFonts w:ascii="Arial" w:eastAsia="Times New Roman" w:hAnsi="Arial" w:cs="Arial"/>
          <w:sz w:val="24"/>
          <w:szCs w:val="24"/>
          <w:lang w:eastAsia="cs-CZ"/>
        </w:rPr>
        <w:t>Vyúčtování musí obsahovat:</w:t>
      </w:r>
    </w:p>
    <w:p w14:paraId="2FC8E3E9" w14:textId="77777777" w:rsidR="00FE26D0" w:rsidRPr="001474E6" w:rsidRDefault="00194196" w:rsidP="00FE26D0">
      <w:pPr>
        <w:spacing w:after="120"/>
        <w:ind w:left="1287" w:hanging="720"/>
        <w:rPr>
          <w:rFonts w:ascii="Arial" w:eastAsia="Times New Roman" w:hAnsi="Arial" w:cs="Arial"/>
          <w:sz w:val="24"/>
          <w:szCs w:val="24"/>
          <w:lang w:eastAsia="cs-CZ"/>
        </w:rPr>
      </w:pPr>
      <w:r w:rsidRPr="001474E6">
        <w:rPr>
          <w:rFonts w:ascii="Arial" w:eastAsia="Times New Roman" w:hAnsi="Arial" w:cs="Arial"/>
          <w:sz w:val="24"/>
          <w:szCs w:val="24"/>
          <w:lang w:eastAsia="cs-CZ"/>
        </w:rPr>
        <w:t>4.1.</w:t>
      </w:r>
      <w:r w:rsidRPr="001474E6">
        <w:rPr>
          <w:rFonts w:ascii="Arial" w:eastAsia="Times New Roman" w:hAnsi="Arial" w:cs="Arial"/>
          <w:sz w:val="24"/>
          <w:szCs w:val="24"/>
          <w:lang w:eastAsia="cs-CZ"/>
        </w:rPr>
        <w:tab/>
        <w:t xml:space="preserve">soupis výdajů hrazených z poskytnuté dotace v rozsahu uvedeném v příloze </w:t>
      </w:r>
      <w:r w:rsidRPr="001474E6">
        <w:rPr>
          <w:rFonts w:ascii="Arial" w:eastAsia="Times New Roman" w:hAnsi="Arial" w:cs="Arial"/>
          <w:i/>
          <w:sz w:val="24"/>
          <w:szCs w:val="24"/>
          <w:lang w:eastAsia="cs-CZ"/>
        </w:rPr>
        <w:t>č. </w:t>
      </w:r>
      <w:r w:rsidRPr="00D70A4E">
        <w:rPr>
          <w:rFonts w:ascii="Arial" w:eastAsia="Times New Roman" w:hAnsi="Arial" w:cs="Arial"/>
          <w:i/>
          <w:sz w:val="24"/>
          <w:szCs w:val="24"/>
          <w:lang w:eastAsia="cs-CZ"/>
        </w:rPr>
        <w:t xml:space="preserve">1 „Finanční vyúčtování příspěvku“. </w:t>
      </w:r>
      <w:r w:rsidRPr="005636E6">
        <w:rPr>
          <w:rFonts w:ascii="Arial" w:eastAsia="Times New Roman" w:hAnsi="Arial" w:cs="Arial"/>
          <w:i/>
          <w:sz w:val="24"/>
          <w:szCs w:val="24"/>
          <w:lang w:eastAsia="cs-CZ"/>
        </w:rPr>
        <w:t>Příloha č. 1 je pro příjemce k dispozici v elektronické formě na webu O</w:t>
      </w:r>
      <w:r w:rsidR="005636E6">
        <w:rPr>
          <w:rFonts w:ascii="Arial" w:eastAsia="Times New Roman" w:hAnsi="Arial" w:cs="Arial"/>
          <w:i/>
          <w:sz w:val="24"/>
          <w:szCs w:val="24"/>
          <w:lang w:eastAsia="cs-CZ"/>
        </w:rPr>
        <w:t>lomouckého kraje</w:t>
      </w:r>
      <w:r w:rsidRPr="005636E6">
        <w:rPr>
          <w:rFonts w:ascii="Arial" w:eastAsia="Times New Roman" w:hAnsi="Arial" w:cs="Arial"/>
          <w:i/>
          <w:sz w:val="24"/>
          <w:szCs w:val="24"/>
          <w:lang w:eastAsia="cs-CZ"/>
        </w:rPr>
        <w:t xml:space="preserve"> </w:t>
      </w:r>
      <w:r w:rsidR="008A17C3" w:rsidRPr="008A17C3">
        <w:rPr>
          <w:rFonts w:ascii="Arial" w:eastAsia="Times New Roman" w:hAnsi="Arial" w:cs="Arial"/>
          <w:b/>
          <w:i/>
          <w:sz w:val="24"/>
          <w:szCs w:val="24"/>
          <w:lang w:eastAsia="cs-CZ"/>
        </w:rPr>
        <w:t>https://www.kr-olomoucky.cz/vyuctovani-prispevku-dotace-cl-3424.html</w:t>
      </w:r>
    </w:p>
    <w:p w14:paraId="48DC35B7" w14:textId="77777777" w:rsidR="00194196" w:rsidRPr="001474E6" w:rsidRDefault="00194196" w:rsidP="00194196">
      <w:pPr>
        <w:spacing w:after="120"/>
        <w:ind w:left="1270" w:hanging="703"/>
        <w:rPr>
          <w:rFonts w:ascii="Arial" w:eastAsia="Times New Roman" w:hAnsi="Arial" w:cs="Arial"/>
          <w:sz w:val="24"/>
          <w:szCs w:val="24"/>
          <w:lang w:eastAsia="cs-CZ"/>
        </w:rPr>
      </w:pPr>
      <w:r w:rsidRPr="001474E6">
        <w:rPr>
          <w:rFonts w:ascii="Arial" w:eastAsia="Times New Roman" w:hAnsi="Arial" w:cs="Arial"/>
          <w:sz w:val="24"/>
          <w:szCs w:val="24"/>
          <w:lang w:eastAsia="cs-CZ"/>
        </w:rPr>
        <w:t>4.2.</w:t>
      </w:r>
      <w:r w:rsidRPr="001474E6">
        <w:rPr>
          <w:rFonts w:ascii="Arial" w:eastAsia="Times New Roman" w:hAnsi="Arial" w:cs="Arial"/>
          <w:sz w:val="24"/>
          <w:szCs w:val="24"/>
          <w:lang w:eastAsia="cs-CZ"/>
        </w:rPr>
        <w:tab/>
        <w:t>fotokopie všech výpisů z bankovního účtu, které dokládají úhradu jednotlivých dokladů a faktur, s vyznačením dotčených plateb,</w:t>
      </w:r>
    </w:p>
    <w:p w14:paraId="43057FAD" w14:textId="77777777" w:rsidR="00194196" w:rsidRPr="001474E6" w:rsidRDefault="00194196" w:rsidP="00194196">
      <w:pPr>
        <w:spacing w:after="120"/>
        <w:ind w:left="1270" w:hanging="703"/>
        <w:rPr>
          <w:rFonts w:ascii="Arial" w:eastAsia="Times New Roman" w:hAnsi="Arial" w:cs="Arial"/>
          <w:sz w:val="24"/>
          <w:szCs w:val="24"/>
          <w:lang w:eastAsia="cs-CZ"/>
        </w:rPr>
      </w:pPr>
      <w:r w:rsidRPr="001474E6">
        <w:rPr>
          <w:rFonts w:ascii="Arial" w:eastAsia="Times New Roman" w:hAnsi="Arial" w:cs="Arial"/>
          <w:sz w:val="24"/>
          <w:szCs w:val="24"/>
          <w:lang w:eastAsia="cs-CZ"/>
        </w:rPr>
        <w:t>4.3.</w:t>
      </w:r>
      <w:r w:rsidRPr="001474E6">
        <w:rPr>
          <w:rFonts w:ascii="Arial" w:eastAsia="Times New Roman" w:hAnsi="Arial" w:cs="Arial"/>
          <w:sz w:val="24"/>
          <w:szCs w:val="24"/>
          <w:lang w:eastAsia="cs-CZ"/>
        </w:rPr>
        <w:tab/>
        <w:t>čestné prohlášení, že fotokopie předaných dokladů jsou shodné s originály a výdaje uvedené v soupisech jsou shodné se záznamy v účetnictví příjemce.</w:t>
      </w:r>
    </w:p>
    <w:p w14:paraId="44FFF3A7" w14:textId="77777777" w:rsidR="00194196" w:rsidRPr="001474E6" w:rsidRDefault="00194196" w:rsidP="00194196">
      <w:pPr>
        <w:spacing w:after="120"/>
        <w:ind w:left="567" w:firstLine="0"/>
        <w:rPr>
          <w:rFonts w:ascii="Arial" w:eastAsia="Times New Roman" w:hAnsi="Arial" w:cs="Arial"/>
          <w:sz w:val="24"/>
          <w:szCs w:val="24"/>
          <w:lang w:eastAsia="cs-CZ"/>
        </w:rPr>
      </w:pPr>
      <w:r w:rsidRPr="001474E6">
        <w:rPr>
          <w:rFonts w:ascii="Arial" w:eastAsia="Times New Roman" w:hAnsi="Arial" w:cs="Arial"/>
          <w:sz w:val="24"/>
          <w:szCs w:val="24"/>
          <w:lang w:eastAsia="cs-CZ"/>
        </w:rPr>
        <w:t>Společně s vyúčtováním příjemce předloží poskytovateli závěrečnou zprávu.</w:t>
      </w:r>
      <w:r w:rsidR="0006090A" w:rsidRPr="001474E6">
        <w:rPr>
          <w:rFonts w:ascii="Arial" w:eastAsia="Times New Roman" w:hAnsi="Arial" w:cs="Arial"/>
          <w:sz w:val="24"/>
          <w:szCs w:val="24"/>
          <w:lang w:eastAsia="cs-CZ"/>
        </w:rPr>
        <w:t xml:space="preserve"> </w:t>
      </w:r>
      <w:r w:rsidR="0006090A" w:rsidRPr="001474E6">
        <w:rPr>
          <w:rFonts w:ascii="Arial" w:eastAsia="Times New Roman" w:hAnsi="Arial" w:cs="Arial"/>
          <w:i/>
          <w:sz w:val="24"/>
          <w:szCs w:val="24"/>
          <w:lang w:eastAsia="cs-CZ"/>
        </w:rPr>
        <w:t xml:space="preserve"> </w:t>
      </w:r>
    </w:p>
    <w:p w14:paraId="2A332569" w14:textId="77777777" w:rsidR="00194196" w:rsidRPr="001474E6" w:rsidRDefault="00194196" w:rsidP="00194196">
      <w:pPr>
        <w:spacing w:after="120"/>
        <w:ind w:left="567" w:firstLine="0"/>
        <w:rPr>
          <w:rFonts w:ascii="Arial" w:eastAsia="Times New Roman" w:hAnsi="Arial" w:cs="Arial"/>
          <w:i/>
          <w:iCs/>
          <w:sz w:val="24"/>
          <w:szCs w:val="24"/>
          <w:lang w:eastAsia="cs-CZ"/>
        </w:rPr>
      </w:pPr>
      <w:r w:rsidRPr="001474E6">
        <w:rPr>
          <w:rFonts w:ascii="Arial" w:eastAsia="Times New Roman" w:hAnsi="Arial" w:cs="Arial"/>
          <w:sz w:val="24"/>
          <w:szCs w:val="24"/>
          <w:lang w:eastAsia="cs-CZ"/>
        </w:rPr>
        <w:t>Závěrečná zpráva musí obsahovat</w:t>
      </w:r>
      <w:r w:rsidRPr="001474E6">
        <w:rPr>
          <w:rFonts w:ascii="Arial" w:eastAsia="Times New Roman" w:hAnsi="Arial" w:cs="Arial"/>
          <w:i/>
          <w:iCs/>
          <w:sz w:val="24"/>
          <w:szCs w:val="24"/>
          <w:lang w:eastAsia="cs-CZ"/>
        </w:rPr>
        <w:t xml:space="preserve"> </w:t>
      </w:r>
      <w:r w:rsidR="00912E56" w:rsidRPr="001474E6">
        <w:rPr>
          <w:rFonts w:ascii="Arial" w:eastAsia="Times New Roman" w:hAnsi="Arial" w:cs="Arial"/>
          <w:sz w:val="24"/>
          <w:szCs w:val="24"/>
          <w:lang w:eastAsia="cs-CZ"/>
        </w:rPr>
        <w:t xml:space="preserve">stručné zhodnocení </w:t>
      </w:r>
      <w:r w:rsidR="00186FCD" w:rsidRPr="001474E6">
        <w:rPr>
          <w:rFonts w:ascii="Arial" w:eastAsia="Times New Roman" w:hAnsi="Arial" w:cs="Arial"/>
          <w:sz w:val="24"/>
          <w:szCs w:val="24"/>
          <w:lang w:eastAsia="cs-CZ"/>
        </w:rPr>
        <w:t xml:space="preserve">činnosti </w:t>
      </w:r>
      <w:r w:rsidR="00912E56" w:rsidRPr="001474E6">
        <w:rPr>
          <w:rFonts w:ascii="Arial" w:eastAsia="Times New Roman" w:hAnsi="Arial" w:cs="Arial"/>
          <w:sz w:val="24"/>
          <w:szCs w:val="24"/>
          <w:lang w:eastAsia="cs-CZ"/>
        </w:rPr>
        <w:t>včetně přínosu pro Olomoucký kraj</w:t>
      </w:r>
      <w:r w:rsidRPr="001474E6">
        <w:rPr>
          <w:rFonts w:ascii="Arial" w:eastAsia="Times New Roman" w:hAnsi="Arial" w:cs="Arial"/>
          <w:i/>
          <w:iCs/>
          <w:sz w:val="24"/>
          <w:szCs w:val="24"/>
          <w:lang w:eastAsia="cs-CZ"/>
        </w:rPr>
        <w:t xml:space="preserve">. </w:t>
      </w:r>
      <w:r w:rsidRPr="001474E6">
        <w:rPr>
          <w:rFonts w:ascii="Arial" w:eastAsia="Times New Roman" w:hAnsi="Arial" w:cs="Arial"/>
          <w:sz w:val="24"/>
          <w:szCs w:val="24"/>
          <w:lang w:eastAsia="cs-CZ"/>
        </w:rPr>
        <w:t xml:space="preserve">Spolu se závěrečnou zprávou a vyúčtováním je příjemce povinen předložit poskytovateli také </w:t>
      </w:r>
      <w:r w:rsidR="00912E56" w:rsidRPr="001474E6">
        <w:rPr>
          <w:rFonts w:ascii="Arial" w:eastAsia="Times New Roman" w:hAnsi="Arial" w:cs="Arial"/>
          <w:sz w:val="24"/>
          <w:szCs w:val="24"/>
          <w:lang w:eastAsia="cs-CZ"/>
        </w:rPr>
        <w:t xml:space="preserve">fotodokumentaci z průběhu </w:t>
      </w:r>
      <w:r w:rsidR="00186FCD" w:rsidRPr="001474E6">
        <w:rPr>
          <w:rFonts w:ascii="Arial" w:eastAsia="Times New Roman" w:hAnsi="Arial" w:cs="Arial"/>
          <w:sz w:val="24"/>
          <w:szCs w:val="24"/>
          <w:lang w:eastAsia="cs-CZ"/>
        </w:rPr>
        <w:t>podporované činnosti</w:t>
      </w:r>
      <w:r w:rsidR="00912E56" w:rsidRPr="001474E6">
        <w:rPr>
          <w:rFonts w:ascii="Arial" w:eastAsia="Times New Roman" w:hAnsi="Arial" w:cs="Arial"/>
          <w:sz w:val="24"/>
          <w:szCs w:val="24"/>
          <w:lang w:eastAsia="cs-CZ"/>
        </w:rPr>
        <w:t>. Součástí závěrečné zprávy je také fotodokumentace provedené propagace Olomouckého kraje</w:t>
      </w:r>
      <w:r w:rsidR="00D10ECF" w:rsidRPr="001474E6">
        <w:rPr>
          <w:rFonts w:ascii="Arial" w:eastAsia="Times New Roman" w:hAnsi="Arial" w:cs="Arial"/>
          <w:sz w:val="24"/>
          <w:szCs w:val="24"/>
          <w:lang w:eastAsia="cs-CZ"/>
        </w:rPr>
        <w:t>.</w:t>
      </w:r>
    </w:p>
    <w:p w14:paraId="072EFB86" w14:textId="77777777" w:rsidR="00345A6F" w:rsidRDefault="00194196" w:rsidP="00194196">
      <w:pPr>
        <w:numPr>
          <w:ilvl w:val="0"/>
          <w:numId w:val="1"/>
        </w:numPr>
        <w:spacing w:after="120"/>
        <w:rPr>
          <w:rFonts w:ascii="Arial" w:eastAsia="Times New Roman" w:hAnsi="Arial" w:cs="Arial"/>
          <w:sz w:val="24"/>
          <w:szCs w:val="24"/>
          <w:lang w:eastAsia="cs-CZ"/>
        </w:rPr>
      </w:pPr>
      <w:r w:rsidRPr="00212859">
        <w:rPr>
          <w:rFonts w:ascii="Arial" w:eastAsia="Times New Roman" w:hAnsi="Arial" w:cs="Arial"/>
          <w:sz w:val="24"/>
          <w:szCs w:val="24"/>
          <w:lang w:eastAsia="cs-CZ"/>
        </w:rPr>
        <w:t>V případě, že dotace nebyla použita v celé výši ve lhůtě uvedené v čl. II. odst. 2 této smlouvy, je příjemce povinen vrátit nevyčerpanou část dotace na účet poskytovatele nejpozději do 15 dnů ode dne předložení vyúčtování poskytovateli. Nevrátí-li příjemce nevyčerpanou část dotace v této lhůtě, dopustí se porušení rozpočtové kázně ve smyslu ust. § 22 zákona č. 250/2000 Sb., o rozpočtových pravidlech územních rozpočtů, ve znění pozdějších předpisů.</w:t>
      </w:r>
    </w:p>
    <w:p w14:paraId="3073F702" w14:textId="77777777" w:rsidR="00194196" w:rsidRPr="00212859" w:rsidRDefault="00194196" w:rsidP="00194196">
      <w:pPr>
        <w:numPr>
          <w:ilvl w:val="0"/>
          <w:numId w:val="1"/>
        </w:numPr>
        <w:spacing w:after="120"/>
        <w:rPr>
          <w:rFonts w:ascii="Arial" w:eastAsia="Times New Roman" w:hAnsi="Arial" w:cs="Arial"/>
          <w:sz w:val="24"/>
          <w:szCs w:val="24"/>
          <w:lang w:eastAsia="cs-CZ"/>
        </w:rPr>
      </w:pPr>
      <w:r w:rsidRPr="00212859">
        <w:rPr>
          <w:rFonts w:ascii="Arial" w:eastAsia="Times New Roman" w:hAnsi="Arial" w:cs="Arial"/>
          <w:sz w:val="24"/>
          <w:szCs w:val="24"/>
          <w:lang w:eastAsia="cs-CZ"/>
        </w:rPr>
        <w:t>V případě, že příjemce použije dotaci nebo její část na jiný účel než účel sjednaný touto smlouvou v čl. I. odst. 2 a 4, poruší některou z jiných podmínek použití dotace, stanovených v čl. II. odst. 1 této smlouvy, nebo poruší některou z povinností uvedených v této smlouvě, dopustí se porušení rozpočtové kázně ve smyslu ust. § 22 zákona č. 250/2000 Sb., o rozpočtových pravidlech územních rozpočtů, ve znění pozdějších předpisů. Pokud příjemce předloží vyúčtování a závěrečnou zprávu v termínu stanoveném v čl. II. odst. 4 této smlouvy, ale vyúčtování nebo závěrečná zpráva nebudou obsahovat všechny náležitosti stanovené v čl. II. odst. 4 této smlouvy, dopustí se příjemce porušení rozpočtové kázně až v případě, že nedoplní nebo neopraví chybné nebo neúplné vyúčtování nebo závěrečnou zprávu ve lhůtě 15 dnů ode dne doručení výzvy poskytovatele.</w:t>
      </w:r>
    </w:p>
    <w:p w14:paraId="6BD7CB76" w14:textId="77777777" w:rsidR="00194196" w:rsidRPr="001474E6" w:rsidRDefault="00194196" w:rsidP="00194196">
      <w:pPr>
        <w:numPr>
          <w:ilvl w:val="0"/>
          <w:numId w:val="1"/>
        </w:numPr>
        <w:spacing w:after="120"/>
        <w:rPr>
          <w:rFonts w:ascii="Arial" w:eastAsia="Times New Roman" w:hAnsi="Arial" w:cs="Arial"/>
          <w:i/>
          <w:iCs/>
          <w:sz w:val="24"/>
          <w:szCs w:val="24"/>
          <w:lang w:eastAsia="cs-CZ"/>
        </w:rPr>
      </w:pPr>
      <w:r w:rsidRPr="001474E6">
        <w:rPr>
          <w:rFonts w:ascii="Arial" w:eastAsia="Times New Roman" w:hAnsi="Arial" w:cs="Arial"/>
          <w:sz w:val="24"/>
          <w:szCs w:val="24"/>
          <w:lang w:eastAsia="cs-CZ"/>
        </w:rPr>
        <w:t xml:space="preserve">Za porušení rozpočtové kázně uloží poskytovatel příjemci odvod ve výši stanovené platnými právními předpisy. V případech porušení rozpočtové kázně </w:t>
      </w:r>
      <w:r w:rsidRPr="001474E6">
        <w:rPr>
          <w:rFonts w:ascii="Arial" w:eastAsia="Times New Roman" w:hAnsi="Arial" w:cs="Arial"/>
          <w:sz w:val="24"/>
          <w:szCs w:val="24"/>
          <w:lang w:eastAsia="cs-CZ"/>
        </w:rPr>
        <w:lastRenderedPageBreak/>
        <w:t>specifikovaných níže v tabulce uloží poskytovatel příjemci odvod ve výši stanovené v této tabulce:</w:t>
      </w:r>
    </w:p>
    <w:tbl>
      <w:tblPr>
        <w:tblW w:w="8570" w:type="dxa"/>
        <w:tblInd w:w="675" w:type="dxa"/>
        <w:tblCellMar>
          <w:left w:w="0" w:type="dxa"/>
          <w:right w:w="0" w:type="dxa"/>
        </w:tblCellMar>
        <w:tblLook w:val="04A0" w:firstRow="1" w:lastRow="0" w:firstColumn="1" w:lastColumn="0" w:noHBand="0" w:noVBand="1"/>
      </w:tblPr>
      <w:tblGrid>
        <w:gridCol w:w="6379"/>
        <w:gridCol w:w="2191"/>
      </w:tblGrid>
      <w:tr w:rsidR="001474E6" w:rsidRPr="001474E6" w14:paraId="03335F7E" w14:textId="77777777" w:rsidTr="008C7AC3">
        <w:trPr>
          <w:trHeight w:val="300"/>
        </w:trPr>
        <w:tc>
          <w:tcPr>
            <w:tcW w:w="6379" w:type="dxa"/>
            <w:tcBorders>
              <w:top w:val="single" w:sz="8" w:space="0" w:color="auto"/>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0A54F80" w14:textId="77777777" w:rsidR="00194196" w:rsidRPr="001474E6" w:rsidRDefault="00194196" w:rsidP="008C7AC3">
            <w:pPr>
              <w:ind w:left="0" w:firstLine="0"/>
              <w:jc w:val="left"/>
              <w:rPr>
                <w:rFonts w:ascii="Arial" w:eastAsia="Calibri" w:hAnsi="Arial" w:cs="Arial"/>
                <w:b/>
                <w:sz w:val="24"/>
                <w:szCs w:val="24"/>
                <w:lang w:eastAsia="cs-CZ"/>
              </w:rPr>
            </w:pPr>
            <w:r w:rsidRPr="001474E6">
              <w:rPr>
                <w:rFonts w:ascii="Arial" w:eastAsia="Calibri" w:hAnsi="Arial" w:cs="Arial"/>
                <w:b/>
                <w:sz w:val="24"/>
                <w:szCs w:val="24"/>
                <w:lang w:eastAsia="cs-CZ"/>
              </w:rPr>
              <w:t>Typ porušení smluvních ujednání (procentní sazba bude v případě porušení jednotlivých ujednání uplatňována kumulativně)</w:t>
            </w:r>
          </w:p>
        </w:tc>
        <w:tc>
          <w:tcPr>
            <w:tcW w:w="2191" w:type="dxa"/>
            <w:tcBorders>
              <w:top w:val="single" w:sz="8" w:space="0" w:color="auto"/>
              <w:left w:val="nil"/>
              <w:bottom w:val="single" w:sz="8" w:space="0" w:color="auto"/>
              <w:right w:val="single" w:sz="8" w:space="0" w:color="auto"/>
            </w:tcBorders>
            <w:noWrap/>
            <w:tcMar>
              <w:top w:w="0" w:type="dxa"/>
              <w:left w:w="108" w:type="dxa"/>
              <w:bottom w:w="0" w:type="dxa"/>
              <w:right w:w="108" w:type="dxa"/>
            </w:tcMar>
            <w:vAlign w:val="center"/>
            <w:hideMark/>
          </w:tcPr>
          <w:p w14:paraId="70E7AF0C" w14:textId="77777777" w:rsidR="00194196" w:rsidRPr="001474E6" w:rsidRDefault="00194196" w:rsidP="008C7AC3">
            <w:pPr>
              <w:ind w:left="0" w:firstLine="0"/>
              <w:jc w:val="left"/>
              <w:rPr>
                <w:rFonts w:ascii="Arial" w:eastAsia="Calibri" w:hAnsi="Arial" w:cs="Arial"/>
                <w:b/>
                <w:sz w:val="24"/>
                <w:szCs w:val="24"/>
                <w:lang w:eastAsia="cs-CZ"/>
              </w:rPr>
            </w:pPr>
            <w:r w:rsidRPr="001474E6">
              <w:rPr>
                <w:rFonts w:ascii="Arial" w:eastAsia="Calibri" w:hAnsi="Arial" w:cs="Arial"/>
                <w:b/>
                <w:sz w:val="24"/>
                <w:szCs w:val="24"/>
                <w:lang w:eastAsia="cs-CZ"/>
              </w:rPr>
              <w:t>Výše odvodu v % z celkově poskytnuté dotace</w:t>
            </w:r>
          </w:p>
        </w:tc>
      </w:tr>
      <w:tr w:rsidR="001474E6" w:rsidRPr="001474E6" w14:paraId="65C733FE" w14:textId="77777777" w:rsidTr="008C7AC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4E30943" w14:textId="77777777" w:rsidR="00194196" w:rsidRPr="001474E6" w:rsidRDefault="00194196" w:rsidP="008C7AC3">
            <w:pPr>
              <w:ind w:left="0" w:firstLine="0"/>
              <w:rPr>
                <w:rFonts w:ascii="Arial" w:eastAsia="Calibri" w:hAnsi="Arial" w:cs="Arial"/>
                <w:sz w:val="24"/>
                <w:szCs w:val="24"/>
                <w:lang w:eastAsia="cs-CZ"/>
              </w:rPr>
            </w:pPr>
            <w:r w:rsidRPr="001474E6">
              <w:rPr>
                <w:rFonts w:ascii="Arial" w:eastAsia="Calibri" w:hAnsi="Arial" w:cs="Arial"/>
                <w:sz w:val="24"/>
                <w:szCs w:val="24"/>
                <w:lang w:eastAsia="cs-CZ"/>
              </w:rPr>
              <w:t>Nedodržení povinnosti vést dotaci v účetnictví analyticky odděleně nebo na samostatném bankovním účtu,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4E73AC9" w14:textId="77777777" w:rsidR="00194196" w:rsidRPr="001474E6" w:rsidRDefault="00194196" w:rsidP="008C7AC3">
            <w:pPr>
              <w:ind w:left="0" w:firstLine="0"/>
              <w:jc w:val="center"/>
              <w:rPr>
                <w:rFonts w:ascii="Arial" w:eastAsia="Calibri" w:hAnsi="Arial" w:cs="Arial"/>
                <w:sz w:val="24"/>
                <w:szCs w:val="24"/>
                <w:lang w:eastAsia="cs-CZ"/>
              </w:rPr>
            </w:pPr>
            <w:r w:rsidRPr="001474E6">
              <w:rPr>
                <w:rFonts w:ascii="Arial" w:eastAsia="Calibri" w:hAnsi="Arial" w:cs="Arial"/>
                <w:sz w:val="24"/>
                <w:szCs w:val="24"/>
                <w:lang w:eastAsia="cs-CZ"/>
              </w:rPr>
              <w:t>5 %</w:t>
            </w:r>
          </w:p>
        </w:tc>
      </w:tr>
      <w:tr w:rsidR="001474E6" w:rsidRPr="001474E6" w14:paraId="29885138" w14:textId="77777777" w:rsidTr="008C7AC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6228499" w14:textId="77777777" w:rsidR="00194196" w:rsidRPr="001474E6" w:rsidRDefault="00194196" w:rsidP="008C7AC3">
            <w:pPr>
              <w:ind w:left="0" w:firstLine="0"/>
              <w:jc w:val="left"/>
              <w:rPr>
                <w:rFonts w:ascii="Arial" w:eastAsia="Calibri" w:hAnsi="Arial" w:cs="Arial"/>
                <w:sz w:val="24"/>
                <w:szCs w:val="24"/>
                <w:lang w:eastAsia="cs-CZ"/>
              </w:rPr>
            </w:pPr>
            <w:r w:rsidRPr="001474E6">
              <w:rPr>
                <w:rFonts w:ascii="Arial" w:eastAsia="Calibri" w:hAnsi="Arial" w:cs="Arial"/>
                <w:sz w:val="24"/>
                <w:szCs w:val="24"/>
                <w:lang w:eastAsia="cs-CZ"/>
              </w:rPr>
              <w:t>Předložení vyúčtování a závěrečné zprávy o využití dotace s prodlením do 15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15459596" w14:textId="77777777" w:rsidR="00194196" w:rsidRPr="001474E6" w:rsidRDefault="00194196" w:rsidP="008C7AC3">
            <w:pPr>
              <w:ind w:left="0" w:firstLine="0"/>
              <w:jc w:val="center"/>
              <w:rPr>
                <w:rFonts w:ascii="Arial" w:eastAsia="Calibri" w:hAnsi="Arial" w:cs="Arial"/>
                <w:sz w:val="24"/>
                <w:szCs w:val="24"/>
                <w:lang w:eastAsia="cs-CZ"/>
              </w:rPr>
            </w:pPr>
            <w:r w:rsidRPr="001474E6">
              <w:rPr>
                <w:rFonts w:ascii="Arial" w:eastAsia="Calibri" w:hAnsi="Arial" w:cs="Arial"/>
                <w:sz w:val="24"/>
                <w:szCs w:val="24"/>
                <w:lang w:eastAsia="cs-CZ"/>
              </w:rPr>
              <w:t>2%</w:t>
            </w:r>
          </w:p>
        </w:tc>
      </w:tr>
      <w:tr w:rsidR="001474E6" w:rsidRPr="001474E6" w14:paraId="3CE1EC9A" w14:textId="77777777" w:rsidTr="008C7AC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DA08DE2" w14:textId="77777777" w:rsidR="00194196" w:rsidRPr="001474E6" w:rsidRDefault="00194196" w:rsidP="008C7AC3">
            <w:pPr>
              <w:ind w:left="0" w:firstLine="0"/>
              <w:jc w:val="left"/>
              <w:rPr>
                <w:rFonts w:ascii="Arial" w:eastAsia="Calibri" w:hAnsi="Arial" w:cs="Arial"/>
                <w:sz w:val="24"/>
                <w:szCs w:val="24"/>
                <w:lang w:eastAsia="cs-CZ"/>
              </w:rPr>
            </w:pPr>
            <w:r w:rsidRPr="001474E6">
              <w:rPr>
                <w:rFonts w:ascii="Arial" w:eastAsia="Calibri" w:hAnsi="Arial" w:cs="Arial"/>
                <w:sz w:val="24"/>
                <w:szCs w:val="24"/>
                <w:lang w:eastAsia="cs-CZ"/>
              </w:rPr>
              <w:t>Předložení vyúčtování a závěrečné zprávy o využití dotace s prodlením do 30 kalendářních dnů od data uvedeného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3700E50" w14:textId="77777777" w:rsidR="00194196" w:rsidRPr="001474E6" w:rsidRDefault="00194196" w:rsidP="008C7AC3">
            <w:pPr>
              <w:ind w:left="0" w:firstLine="0"/>
              <w:jc w:val="center"/>
              <w:rPr>
                <w:rFonts w:ascii="Arial" w:eastAsia="Calibri" w:hAnsi="Arial" w:cs="Arial"/>
                <w:sz w:val="24"/>
                <w:szCs w:val="24"/>
                <w:lang w:eastAsia="cs-CZ"/>
              </w:rPr>
            </w:pPr>
            <w:r w:rsidRPr="001474E6">
              <w:rPr>
                <w:rFonts w:ascii="Arial" w:eastAsia="Calibri" w:hAnsi="Arial" w:cs="Arial"/>
                <w:sz w:val="24"/>
                <w:szCs w:val="24"/>
                <w:lang w:eastAsia="cs-CZ"/>
              </w:rPr>
              <w:t>5 %</w:t>
            </w:r>
          </w:p>
        </w:tc>
      </w:tr>
      <w:tr w:rsidR="001474E6" w:rsidRPr="001474E6" w14:paraId="10DF134E" w14:textId="77777777" w:rsidTr="008C7AC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23EAC1B" w14:textId="77777777" w:rsidR="00194196" w:rsidRPr="001474E6" w:rsidRDefault="00194196" w:rsidP="008C7AC3">
            <w:pPr>
              <w:ind w:left="0" w:firstLine="0"/>
              <w:jc w:val="left"/>
              <w:rPr>
                <w:rFonts w:ascii="Arial" w:eastAsia="Calibri" w:hAnsi="Arial" w:cs="Arial"/>
                <w:sz w:val="24"/>
                <w:szCs w:val="24"/>
                <w:lang w:eastAsia="cs-CZ"/>
              </w:rPr>
            </w:pPr>
            <w:r w:rsidRPr="001474E6">
              <w:rPr>
                <w:rFonts w:ascii="Arial" w:eastAsia="Calibri" w:hAnsi="Arial" w:cs="Arial"/>
                <w:sz w:val="24"/>
                <w:szCs w:val="24"/>
                <w:lang w:eastAsia="cs-CZ"/>
              </w:rPr>
              <w:t>Předložení doplněného vyúčtování a závěrečné zprávy o využití dotace s prodlením do 15 kalendářních dnů od marného uplynutí náhradní lhůty, uvedené ve výzvě k doplnění vyúčtování</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795D71AE" w14:textId="77777777" w:rsidR="00194196" w:rsidRPr="001474E6" w:rsidRDefault="00194196" w:rsidP="008C7AC3">
            <w:pPr>
              <w:ind w:left="0" w:firstLine="0"/>
              <w:jc w:val="center"/>
              <w:rPr>
                <w:rFonts w:ascii="Arial" w:eastAsia="Calibri" w:hAnsi="Arial" w:cs="Arial"/>
                <w:sz w:val="24"/>
                <w:szCs w:val="24"/>
                <w:lang w:eastAsia="cs-CZ"/>
              </w:rPr>
            </w:pPr>
            <w:r w:rsidRPr="001474E6">
              <w:rPr>
                <w:rFonts w:ascii="Arial" w:eastAsia="Calibri" w:hAnsi="Arial" w:cs="Arial"/>
                <w:sz w:val="24"/>
                <w:szCs w:val="24"/>
                <w:lang w:eastAsia="cs-CZ"/>
              </w:rPr>
              <w:t>5 %</w:t>
            </w:r>
          </w:p>
        </w:tc>
      </w:tr>
      <w:tr w:rsidR="001474E6" w:rsidRPr="001474E6" w14:paraId="6A0EDA2F" w14:textId="77777777" w:rsidTr="008C7AC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58F44ACF" w14:textId="77777777" w:rsidR="00194196" w:rsidRPr="001474E6" w:rsidRDefault="00194196" w:rsidP="008C7AC3">
            <w:pPr>
              <w:ind w:left="0" w:firstLine="0"/>
              <w:rPr>
                <w:rFonts w:ascii="Arial" w:eastAsia="Calibri" w:hAnsi="Arial" w:cs="Arial"/>
                <w:sz w:val="24"/>
                <w:szCs w:val="24"/>
                <w:lang w:eastAsia="cs-CZ"/>
              </w:rPr>
            </w:pPr>
            <w:r w:rsidRPr="001474E6">
              <w:rPr>
                <w:rFonts w:ascii="Arial" w:eastAsia="Calibri" w:hAnsi="Arial" w:cs="Arial"/>
                <w:sz w:val="24"/>
                <w:szCs w:val="24"/>
                <w:lang w:eastAsia="cs-CZ"/>
              </w:rPr>
              <w:t>Nedodržení podmínek povinné propagace uvedených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2EE6DF3C" w14:textId="77777777" w:rsidR="00194196" w:rsidRPr="001474E6" w:rsidRDefault="00194196" w:rsidP="008C7AC3">
            <w:pPr>
              <w:ind w:left="0" w:firstLine="0"/>
              <w:jc w:val="center"/>
              <w:rPr>
                <w:rFonts w:ascii="Arial" w:eastAsia="Calibri" w:hAnsi="Arial" w:cs="Arial"/>
                <w:sz w:val="24"/>
                <w:szCs w:val="24"/>
                <w:lang w:eastAsia="cs-CZ"/>
              </w:rPr>
            </w:pPr>
            <w:r w:rsidRPr="001474E6">
              <w:rPr>
                <w:rFonts w:ascii="Arial" w:eastAsia="Calibri" w:hAnsi="Arial" w:cs="Arial"/>
                <w:sz w:val="24"/>
                <w:szCs w:val="24"/>
                <w:lang w:eastAsia="cs-CZ"/>
              </w:rPr>
              <w:t>5 %</w:t>
            </w:r>
          </w:p>
        </w:tc>
      </w:tr>
      <w:tr w:rsidR="00194196" w:rsidRPr="001474E6" w14:paraId="47D5F791" w14:textId="77777777" w:rsidTr="008C7AC3">
        <w:trPr>
          <w:trHeight w:val="300"/>
        </w:trPr>
        <w:tc>
          <w:tcPr>
            <w:tcW w:w="6379" w:type="dxa"/>
            <w:tcBorders>
              <w:top w:val="nil"/>
              <w:left w:val="single" w:sz="8" w:space="0" w:color="auto"/>
              <w:bottom w:val="single" w:sz="8" w:space="0" w:color="auto"/>
              <w:right w:val="single" w:sz="8" w:space="0" w:color="auto"/>
            </w:tcBorders>
            <w:noWrap/>
            <w:tcMar>
              <w:top w:w="0" w:type="dxa"/>
              <w:left w:w="108" w:type="dxa"/>
              <w:bottom w:w="0" w:type="dxa"/>
              <w:right w:w="108" w:type="dxa"/>
            </w:tcMar>
            <w:hideMark/>
          </w:tcPr>
          <w:p w14:paraId="56D531A9" w14:textId="77777777" w:rsidR="00194196" w:rsidRPr="001474E6" w:rsidRDefault="00194196" w:rsidP="008C7AC3">
            <w:pPr>
              <w:ind w:left="0" w:firstLine="0"/>
              <w:rPr>
                <w:rFonts w:ascii="Arial" w:eastAsia="Calibri" w:hAnsi="Arial" w:cs="Arial"/>
                <w:sz w:val="24"/>
                <w:szCs w:val="24"/>
                <w:lang w:eastAsia="cs-CZ"/>
              </w:rPr>
            </w:pPr>
            <w:r w:rsidRPr="001474E6">
              <w:rPr>
                <w:rFonts w:ascii="Arial" w:eastAsia="Calibri" w:hAnsi="Arial" w:cs="Arial"/>
                <w:sz w:val="24"/>
                <w:szCs w:val="24"/>
                <w:lang w:eastAsia="cs-CZ"/>
              </w:rPr>
              <w:t>Porušení povinnosti informovat poskytovatele o změnách zakladatelské listiny, adresy sídla, bankovního spojení, statutárního zástupce a o jiných změnách, které mohou podstatně ovlivnit způsob finančního hospodaření příjemce a náplň jeho aktivit ve vztahu k dotaci, je-li tato povinnost uvedena ve smlouvě.</w:t>
            </w:r>
          </w:p>
        </w:tc>
        <w:tc>
          <w:tcPr>
            <w:tcW w:w="2191" w:type="dxa"/>
            <w:tcBorders>
              <w:top w:val="nil"/>
              <w:left w:val="nil"/>
              <w:bottom w:val="single" w:sz="8" w:space="0" w:color="auto"/>
              <w:right w:val="single" w:sz="8" w:space="0" w:color="auto"/>
            </w:tcBorders>
            <w:noWrap/>
            <w:tcMar>
              <w:top w:w="0" w:type="dxa"/>
              <w:left w:w="108" w:type="dxa"/>
              <w:bottom w:w="0" w:type="dxa"/>
              <w:right w:w="108" w:type="dxa"/>
            </w:tcMar>
            <w:vAlign w:val="center"/>
            <w:hideMark/>
          </w:tcPr>
          <w:p w14:paraId="4BDF1283" w14:textId="77777777" w:rsidR="00194196" w:rsidRPr="001474E6" w:rsidRDefault="00194196" w:rsidP="008C7AC3">
            <w:pPr>
              <w:ind w:left="0" w:firstLine="0"/>
              <w:jc w:val="center"/>
              <w:rPr>
                <w:rFonts w:ascii="Arial" w:eastAsia="Calibri" w:hAnsi="Arial" w:cs="Arial"/>
                <w:sz w:val="24"/>
                <w:szCs w:val="24"/>
                <w:lang w:eastAsia="cs-CZ"/>
              </w:rPr>
            </w:pPr>
            <w:r w:rsidRPr="001474E6">
              <w:rPr>
                <w:rFonts w:ascii="Arial" w:eastAsia="Calibri" w:hAnsi="Arial" w:cs="Arial"/>
                <w:sz w:val="24"/>
                <w:szCs w:val="24"/>
                <w:lang w:eastAsia="cs-CZ"/>
              </w:rPr>
              <w:t>5 %</w:t>
            </w:r>
          </w:p>
        </w:tc>
      </w:tr>
    </w:tbl>
    <w:p w14:paraId="7687568E" w14:textId="77777777" w:rsidR="00194196" w:rsidRPr="001474E6" w:rsidRDefault="00194196" w:rsidP="00194196">
      <w:pPr>
        <w:spacing w:after="120"/>
        <w:ind w:left="567" w:firstLine="0"/>
        <w:rPr>
          <w:rFonts w:ascii="Arial" w:eastAsia="Times New Roman" w:hAnsi="Arial" w:cs="Arial"/>
          <w:iCs/>
          <w:sz w:val="24"/>
          <w:szCs w:val="24"/>
          <w:lang w:eastAsia="cs-CZ"/>
        </w:rPr>
      </w:pPr>
    </w:p>
    <w:p w14:paraId="41108078" w14:textId="77777777" w:rsidR="00194196" w:rsidRPr="001474E6" w:rsidRDefault="00194196" w:rsidP="00BA653C">
      <w:pPr>
        <w:numPr>
          <w:ilvl w:val="0"/>
          <w:numId w:val="1"/>
        </w:numPr>
        <w:spacing w:after="120"/>
        <w:rPr>
          <w:rFonts w:ascii="Arial" w:eastAsia="Times New Roman" w:hAnsi="Arial" w:cs="Arial"/>
          <w:sz w:val="24"/>
          <w:szCs w:val="24"/>
          <w:lang w:eastAsia="cs-CZ"/>
        </w:rPr>
      </w:pPr>
      <w:r w:rsidRPr="001474E6">
        <w:rPr>
          <w:rFonts w:ascii="Arial" w:eastAsia="Times New Roman" w:hAnsi="Arial" w:cs="Arial"/>
          <w:sz w:val="24"/>
          <w:szCs w:val="24"/>
          <w:lang w:eastAsia="cs-CZ"/>
        </w:rPr>
        <w:t>V případě, že je příjemce dle této smlouvy povinen vrátit dotaci nebo její část nebo uhradit odvod nebo penále, vrátí příjemce dotaci nebo její část, resp. uhradí odvod nebo penále na účet poskytovatele</w:t>
      </w:r>
      <w:r w:rsidR="001F6F0A" w:rsidRPr="001474E6">
        <w:rPr>
          <w:rFonts w:ascii="Arial" w:eastAsia="Times New Roman" w:hAnsi="Arial" w:cs="Arial"/>
          <w:sz w:val="24"/>
          <w:szCs w:val="24"/>
          <w:lang w:eastAsia="cs-CZ"/>
        </w:rPr>
        <w:t>.</w:t>
      </w:r>
      <w:r w:rsidRPr="001474E6">
        <w:rPr>
          <w:rFonts w:ascii="Arial" w:eastAsia="Times New Roman" w:hAnsi="Arial" w:cs="Arial"/>
          <w:sz w:val="24"/>
          <w:szCs w:val="24"/>
          <w:lang w:eastAsia="cs-CZ"/>
        </w:rPr>
        <w:t xml:space="preserve"> </w:t>
      </w:r>
      <w:r w:rsidR="001F6F0A" w:rsidRPr="001474E6">
        <w:rPr>
          <w:rFonts w:ascii="Arial" w:eastAsia="Times New Roman" w:hAnsi="Arial" w:cs="Arial"/>
          <w:sz w:val="24"/>
          <w:szCs w:val="24"/>
          <w:lang w:eastAsia="cs-CZ"/>
        </w:rPr>
        <w:t>V případě, že je vratka realizována v</w:t>
      </w:r>
      <w:r w:rsidR="00F548CB" w:rsidRPr="001474E6">
        <w:rPr>
          <w:rFonts w:ascii="Arial" w:eastAsia="Times New Roman" w:hAnsi="Arial" w:cs="Arial"/>
          <w:sz w:val="24"/>
          <w:szCs w:val="24"/>
          <w:lang w:eastAsia="cs-CZ"/>
        </w:rPr>
        <w:t> </w:t>
      </w:r>
      <w:r w:rsidR="001F6F0A" w:rsidRPr="001474E6">
        <w:rPr>
          <w:rFonts w:ascii="Arial" w:eastAsia="Times New Roman" w:hAnsi="Arial" w:cs="Arial"/>
          <w:sz w:val="24"/>
          <w:szCs w:val="24"/>
          <w:lang w:eastAsia="cs-CZ"/>
        </w:rPr>
        <w:t>roce</w:t>
      </w:r>
      <w:r w:rsidR="00F548CB" w:rsidRPr="001474E6">
        <w:rPr>
          <w:rFonts w:ascii="Arial" w:eastAsia="Times New Roman" w:hAnsi="Arial" w:cs="Arial"/>
          <w:sz w:val="24"/>
          <w:szCs w:val="24"/>
          <w:lang w:eastAsia="cs-CZ"/>
        </w:rPr>
        <w:t xml:space="preserve"> 2016,</w:t>
      </w:r>
      <w:r w:rsidR="001F6F0A" w:rsidRPr="001474E6">
        <w:rPr>
          <w:rFonts w:ascii="Arial" w:eastAsia="Times New Roman" w:hAnsi="Arial" w:cs="Arial"/>
          <w:sz w:val="24"/>
          <w:szCs w:val="24"/>
          <w:lang w:eastAsia="cs-CZ"/>
        </w:rPr>
        <w:t xml:space="preserve"> použije</w:t>
      </w:r>
      <w:r w:rsidR="00F548CB" w:rsidRPr="001474E6">
        <w:rPr>
          <w:rFonts w:ascii="Arial" w:eastAsia="Times New Roman" w:hAnsi="Arial" w:cs="Arial"/>
          <w:sz w:val="24"/>
          <w:szCs w:val="24"/>
          <w:lang w:eastAsia="cs-CZ"/>
        </w:rPr>
        <w:t xml:space="preserve"> se</w:t>
      </w:r>
      <w:r w:rsidR="001F6F0A" w:rsidRPr="001474E6">
        <w:rPr>
          <w:rFonts w:ascii="Arial" w:eastAsia="Times New Roman" w:hAnsi="Arial" w:cs="Arial"/>
          <w:sz w:val="24"/>
          <w:szCs w:val="24"/>
          <w:lang w:eastAsia="cs-CZ"/>
        </w:rPr>
        <w:t xml:space="preserve"> účet </w:t>
      </w:r>
      <w:r w:rsidR="00F548CB" w:rsidRPr="001474E6">
        <w:rPr>
          <w:rFonts w:ascii="Arial" w:eastAsia="Times New Roman" w:hAnsi="Arial" w:cs="Arial"/>
          <w:sz w:val="24"/>
          <w:szCs w:val="24"/>
          <w:lang w:eastAsia="cs-CZ"/>
        </w:rPr>
        <w:t xml:space="preserve">č. </w:t>
      </w:r>
      <w:r w:rsidR="001F6F0A" w:rsidRPr="001474E6">
        <w:rPr>
          <w:rFonts w:ascii="Arial" w:eastAsia="Times New Roman" w:hAnsi="Arial" w:cs="Arial"/>
          <w:sz w:val="24"/>
          <w:szCs w:val="24"/>
          <w:lang w:eastAsia="cs-CZ"/>
        </w:rPr>
        <w:t xml:space="preserve">27-4228330207/0100, </w:t>
      </w:r>
      <w:r w:rsidR="00F548CB" w:rsidRPr="001474E6">
        <w:rPr>
          <w:rFonts w:ascii="Arial" w:eastAsia="Times New Roman" w:hAnsi="Arial" w:cs="Arial"/>
          <w:sz w:val="24"/>
          <w:szCs w:val="24"/>
          <w:lang w:eastAsia="cs-CZ"/>
        </w:rPr>
        <w:t>pokud</w:t>
      </w:r>
      <w:r w:rsidR="001F6F0A" w:rsidRPr="001474E6">
        <w:rPr>
          <w:rFonts w:ascii="Arial" w:eastAsia="Times New Roman" w:hAnsi="Arial" w:cs="Arial"/>
          <w:sz w:val="24"/>
          <w:szCs w:val="24"/>
          <w:lang w:eastAsia="cs-CZ"/>
        </w:rPr>
        <w:t xml:space="preserve"> je vratka realizována </w:t>
      </w:r>
      <w:r w:rsidR="00F548CB" w:rsidRPr="001474E6">
        <w:rPr>
          <w:rFonts w:ascii="Arial" w:eastAsia="Times New Roman" w:hAnsi="Arial" w:cs="Arial"/>
          <w:sz w:val="24"/>
          <w:szCs w:val="24"/>
          <w:lang w:eastAsia="cs-CZ"/>
        </w:rPr>
        <w:t>v roce 2017,</w:t>
      </w:r>
      <w:r w:rsidR="001F6F0A" w:rsidRPr="001474E6">
        <w:rPr>
          <w:rFonts w:ascii="Arial" w:eastAsia="Times New Roman" w:hAnsi="Arial" w:cs="Arial"/>
          <w:sz w:val="24"/>
          <w:szCs w:val="24"/>
          <w:lang w:eastAsia="cs-CZ"/>
        </w:rPr>
        <w:t xml:space="preserve"> použije </w:t>
      </w:r>
      <w:r w:rsidR="00F548CB" w:rsidRPr="001474E6">
        <w:rPr>
          <w:rFonts w:ascii="Arial" w:eastAsia="Times New Roman" w:hAnsi="Arial" w:cs="Arial"/>
          <w:sz w:val="24"/>
          <w:szCs w:val="24"/>
          <w:lang w:eastAsia="cs-CZ"/>
        </w:rPr>
        <w:t xml:space="preserve">se </w:t>
      </w:r>
      <w:r w:rsidR="001F6F0A" w:rsidRPr="001474E6">
        <w:rPr>
          <w:rFonts w:ascii="Arial" w:eastAsia="Times New Roman" w:hAnsi="Arial" w:cs="Arial"/>
          <w:sz w:val="24"/>
          <w:szCs w:val="24"/>
          <w:lang w:eastAsia="cs-CZ"/>
        </w:rPr>
        <w:t xml:space="preserve">účet </w:t>
      </w:r>
      <w:r w:rsidR="00F548CB" w:rsidRPr="001474E6">
        <w:rPr>
          <w:rFonts w:ascii="Arial" w:eastAsia="Times New Roman" w:hAnsi="Arial" w:cs="Arial"/>
          <w:sz w:val="24"/>
          <w:szCs w:val="24"/>
          <w:lang w:eastAsia="cs-CZ"/>
        </w:rPr>
        <w:t xml:space="preserve">č. </w:t>
      </w:r>
      <w:r w:rsidR="001F6F0A" w:rsidRPr="001474E6">
        <w:rPr>
          <w:rFonts w:ascii="Arial" w:eastAsia="Times New Roman" w:hAnsi="Arial" w:cs="Arial"/>
          <w:sz w:val="24"/>
          <w:szCs w:val="24"/>
          <w:lang w:eastAsia="cs-CZ"/>
        </w:rPr>
        <w:t>27-4228320287/0100</w:t>
      </w:r>
      <w:r w:rsidR="00F548CB" w:rsidRPr="001474E6">
        <w:rPr>
          <w:rFonts w:ascii="Arial" w:eastAsia="Times New Roman" w:hAnsi="Arial" w:cs="Arial"/>
          <w:sz w:val="24"/>
          <w:szCs w:val="24"/>
          <w:lang w:eastAsia="cs-CZ"/>
        </w:rPr>
        <w:t>.</w:t>
      </w:r>
      <w:r w:rsidR="00BA653C" w:rsidRPr="00BA653C">
        <w:t xml:space="preserve"> </w:t>
      </w:r>
      <w:r w:rsidR="00BA653C">
        <w:rPr>
          <w:rFonts w:ascii="Arial" w:eastAsia="Times New Roman" w:hAnsi="Arial" w:cs="Arial"/>
          <w:sz w:val="24"/>
          <w:szCs w:val="24"/>
          <w:lang w:eastAsia="cs-CZ"/>
        </w:rPr>
        <w:t>P</w:t>
      </w:r>
      <w:r w:rsidR="00BA653C" w:rsidRPr="00BA653C">
        <w:rPr>
          <w:rFonts w:ascii="Arial" w:eastAsia="Times New Roman" w:hAnsi="Arial" w:cs="Arial"/>
          <w:sz w:val="24"/>
          <w:szCs w:val="24"/>
          <w:lang w:eastAsia="cs-CZ"/>
        </w:rPr>
        <w:t xml:space="preserve">enále </w:t>
      </w:r>
      <w:r w:rsidR="00BA653C">
        <w:rPr>
          <w:rFonts w:ascii="Arial" w:eastAsia="Times New Roman" w:hAnsi="Arial" w:cs="Arial"/>
          <w:sz w:val="24"/>
          <w:szCs w:val="24"/>
          <w:lang w:eastAsia="cs-CZ"/>
        </w:rPr>
        <w:t xml:space="preserve">je </w:t>
      </w:r>
      <w:r w:rsidR="00BA653C" w:rsidRPr="00BA653C">
        <w:rPr>
          <w:rFonts w:ascii="Arial" w:eastAsia="Times New Roman" w:hAnsi="Arial" w:cs="Arial"/>
          <w:sz w:val="24"/>
          <w:szCs w:val="24"/>
          <w:lang w:eastAsia="cs-CZ"/>
        </w:rPr>
        <w:t>hrazeno vždy na účet 27-4228320287/0100</w:t>
      </w:r>
      <w:r w:rsidR="00BA653C">
        <w:rPr>
          <w:rFonts w:ascii="Arial" w:eastAsia="Times New Roman" w:hAnsi="Arial" w:cs="Arial"/>
          <w:sz w:val="24"/>
          <w:szCs w:val="24"/>
          <w:lang w:eastAsia="cs-CZ"/>
        </w:rPr>
        <w:t>.</w:t>
      </w:r>
    </w:p>
    <w:p w14:paraId="311D513D" w14:textId="77777777" w:rsidR="00191671" w:rsidRPr="003B6598" w:rsidRDefault="00194196" w:rsidP="00191671">
      <w:pPr>
        <w:numPr>
          <w:ilvl w:val="0"/>
          <w:numId w:val="1"/>
        </w:numPr>
        <w:tabs>
          <w:tab w:val="num" w:pos="747"/>
        </w:tabs>
        <w:spacing w:after="120"/>
        <w:rPr>
          <w:rFonts w:ascii="Arial" w:eastAsia="Times New Roman" w:hAnsi="Arial" w:cs="Arial"/>
          <w:i/>
          <w:iCs/>
          <w:sz w:val="24"/>
          <w:szCs w:val="24"/>
          <w:lang w:eastAsia="cs-CZ"/>
        </w:rPr>
      </w:pPr>
      <w:r w:rsidRPr="001474E6">
        <w:rPr>
          <w:rFonts w:ascii="Arial" w:eastAsia="Times New Roman" w:hAnsi="Arial" w:cs="Arial"/>
          <w:sz w:val="24"/>
          <w:szCs w:val="24"/>
          <w:lang w:eastAsia="cs-CZ"/>
        </w:rPr>
        <w:t>Příjemce se zavazuje seznámit poskytovatele, do 15 dnů od jejich vzniku, s těmito skutečnostmi: se změnami zakladatelské listiny, adresy sídla, bankovního spojení, statutárního zástupce, jakož i jinými změnami, které mohou podstatně ovlivnit způsob jeho finančního hospodaření a náplň jeho aktivit ve vztahu k poskytnuté dotaci. V případě přeměny příjemce, který je právnickou osobou, nebo jeho zrušení s likvidací, je příjemce povinen o této skutečnosti poskytovatele předem informovat.</w:t>
      </w:r>
    </w:p>
    <w:p w14:paraId="4CC25C3D" w14:textId="77777777" w:rsidR="003B6598" w:rsidRPr="003B6598" w:rsidRDefault="003B6598" w:rsidP="003B6598">
      <w:pPr>
        <w:tabs>
          <w:tab w:val="num" w:pos="747"/>
        </w:tabs>
        <w:spacing w:after="120"/>
        <w:ind w:left="567" w:firstLine="0"/>
        <w:rPr>
          <w:rFonts w:ascii="Arial" w:eastAsia="Times New Roman" w:hAnsi="Arial" w:cs="Arial"/>
          <w:iCs/>
          <w:sz w:val="24"/>
          <w:szCs w:val="24"/>
          <w:lang w:eastAsia="cs-CZ"/>
        </w:rPr>
      </w:pPr>
      <w:r w:rsidRPr="00602ECF">
        <w:rPr>
          <w:rFonts w:ascii="Arial" w:hAnsi="Arial" w:cs="Arial"/>
          <w:bCs/>
          <w:sz w:val="24"/>
          <w:szCs w:val="24"/>
        </w:rPr>
        <w:t xml:space="preserve">Příjemce je povinen po dobu minimálně 2 let ode dne platnosti a účinnosti této smlouvy </w:t>
      </w:r>
      <w:r w:rsidR="00BA653C">
        <w:rPr>
          <w:rFonts w:ascii="Arial" w:hAnsi="Arial" w:cs="Arial"/>
          <w:bCs/>
          <w:sz w:val="24"/>
          <w:szCs w:val="24"/>
        </w:rPr>
        <w:t>realizovat projekt……</w:t>
      </w:r>
      <w:r w:rsidRPr="00602ECF">
        <w:rPr>
          <w:rFonts w:ascii="Arial" w:hAnsi="Arial" w:cs="Arial"/>
          <w:bCs/>
          <w:sz w:val="24"/>
          <w:szCs w:val="24"/>
        </w:rPr>
        <w:t xml:space="preserve"> a neukonč</w:t>
      </w:r>
      <w:r w:rsidR="00F2360A" w:rsidRPr="00602ECF">
        <w:rPr>
          <w:rFonts w:ascii="Arial" w:hAnsi="Arial" w:cs="Arial"/>
          <w:bCs/>
          <w:sz w:val="24"/>
          <w:szCs w:val="24"/>
        </w:rPr>
        <w:t>it</w:t>
      </w:r>
      <w:r w:rsidRPr="00602ECF">
        <w:rPr>
          <w:rFonts w:ascii="Arial" w:hAnsi="Arial" w:cs="Arial"/>
          <w:bCs/>
          <w:sz w:val="24"/>
          <w:szCs w:val="24"/>
        </w:rPr>
        <w:t xml:space="preserve"> jej ani nepřeruš</w:t>
      </w:r>
      <w:r w:rsidR="00F2360A" w:rsidRPr="00602ECF">
        <w:rPr>
          <w:rFonts w:ascii="Arial" w:hAnsi="Arial" w:cs="Arial"/>
          <w:bCs/>
          <w:sz w:val="24"/>
          <w:szCs w:val="24"/>
        </w:rPr>
        <w:t>it</w:t>
      </w:r>
      <w:r w:rsidRPr="00602ECF">
        <w:rPr>
          <w:rFonts w:ascii="Arial" w:hAnsi="Arial" w:cs="Arial"/>
          <w:bCs/>
          <w:sz w:val="24"/>
          <w:szCs w:val="24"/>
        </w:rPr>
        <w:t xml:space="preserve"> bez vědomí a písemného souhlasu </w:t>
      </w:r>
      <w:r w:rsidR="00F2360A" w:rsidRPr="00602ECF">
        <w:rPr>
          <w:rFonts w:ascii="Arial" w:hAnsi="Arial" w:cs="Arial"/>
          <w:bCs/>
          <w:sz w:val="24"/>
          <w:szCs w:val="24"/>
        </w:rPr>
        <w:t>poskytovatele. Současně je povinen</w:t>
      </w:r>
      <w:r w:rsidRPr="00602ECF">
        <w:rPr>
          <w:rFonts w:ascii="Arial" w:hAnsi="Arial" w:cs="Arial"/>
          <w:bCs/>
          <w:sz w:val="24"/>
          <w:szCs w:val="24"/>
        </w:rPr>
        <w:t xml:space="preserve"> nakládat s veškerým </w:t>
      </w:r>
      <w:r w:rsidRPr="00602ECF">
        <w:rPr>
          <w:rFonts w:ascii="Arial" w:hAnsi="Arial" w:cs="Arial"/>
          <w:bCs/>
          <w:sz w:val="24"/>
          <w:szCs w:val="24"/>
        </w:rPr>
        <w:lastRenderedPageBreak/>
        <w:t xml:space="preserve">majetkem získaným nebo zhodnoceným, byť i jen částečně, z dotace s péčí řádného hospodáře a nezatěžovat bez vědomí a písemného souhlasu </w:t>
      </w:r>
      <w:r w:rsidR="00F2360A" w:rsidRPr="00602ECF">
        <w:rPr>
          <w:rFonts w:ascii="Arial" w:hAnsi="Arial" w:cs="Arial"/>
          <w:bCs/>
          <w:sz w:val="24"/>
          <w:szCs w:val="24"/>
        </w:rPr>
        <w:t>poskyt</w:t>
      </w:r>
      <w:r w:rsidRPr="00602ECF">
        <w:rPr>
          <w:rFonts w:ascii="Arial" w:hAnsi="Arial" w:cs="Arial"/>
          <w:bCs/>
          <w:sz w:val="24"/>
          <w:szCs w:val="24"/>
        </w:rPr>
        <w:t xml:space="preserve">ovatele tento majetek ani jeho části žádnými věcnými právy třetích osob, včetně zástavního práva (s výjimkou zástavního práva zřízeného k zajištění úvěru příjemce ve vztahu k financování akce podle </w:t>
      </w:r>
      <w:r w:rsidR="00F2360A" w:rsidRPr="00602ECF">
        <w:rPr>
          <w:rFonts w:ascii="Arial" w:hAnsi="Arial" w:cs="Arial"/>
          <w:bCs/>
          <w:sz w:val="24"/>
          <w:szCs w:val="24"/>
        </w:rPr>
        <w:t>této s</w:t>
      </w:r>
      <w:r w:rsidRPr="00602ECF">
        <w:rPr>
          <w:rFonts w:ascii="Arial" w:hAnsi="Arial" w:cs="Arial"/>
          <w:bCs/>
          <w:sz w:val="24"/>
          <w:szCs w:val="24"/>
        </w:rPr>
        <w:t>mlouvy).</w:t>
      </w:r>
    </w:p>
    <w:p w14:paraId="57596A26" w14:textId="77777777" w:rsidR="00362E95" w:rsidRPr="001474E6" w:rsidRDefault="00194196" w:rsidP="00191671">
      <w:pPr>
        <w:numPr>
          <w:ilvl w:val="0"/>
          <w:numId w:val="1"/>
        </w:numPr>
        <w:tabs>
          <w:tab w:val="num" w:pos="747"/>
        </w:tabs>
        <w:spacing w:after="120"/>
        <w:rPr>
          <w:rFonts w:ascii="Arial" w:eastAsia="Times New Roman" w:hAnsi="Arial" w:cs="Arial"/>
          <w:i/>
          <w:iCs/>
          <w:sz w:val="24"/>
          <w:szCs w:val="24"/>
          <w:lang w:eastAsia="cs-CZ"/>
        </w:rPr>
      </w:pPr>
      <w:r w:rsidRPr="001474E6">
        <w:rPr>
          <w:rFonts w:ascii="Arial" w:eastAsia="Times New Roman" w:hAnsi="Arial" w:cs="Arial"/>
          <w:sz w:val="24"/>
          <w:szCs w:val="24"/>
          <w:lang w:eastAsia="cs-CZ"/>
        </w:rPr>
        <w:t>Příjemce je povinen označit</w:t>
      </w:r>
      <w:r w:rsidR="00F14BF0" w:rsidRPr="001474E6">
        <w:rPr>
          <w:rFonts w:ascii="Arial" w:eastAsia="Times New Roman" w:hAnsi="Arial" w:cs="Arial"/>
          <w:sz w:val="24"/>
          <w:szCs w:val="24"/>
          <w:lang w:eastAsia="cs-CZ"/>
        </w:rPr>
        <w:t xml:space="preserve"> propagační materiály vydávané v souvislosti s </w:t>
      </w:r>
      <w:r w:rsidR="00191671" w:rsidRPr="001474E6">
        <w:rPr>
          <w:rFonts w:ascii="Arial" w:eastAsia="Times New Roman" w:hAnsi="Arial" w:cs="Arial"/>
          <w:sz w:val="24"/>
          <w:szCs w:val="24"/>
          <w:lang w:eastAsia="cs-CZ"/>
        </w:rPr>
        <w:t xml:space="preserve">realizací </w:t>
      </w:r>
      <w:r w:rsidR="00186FCD" w:rsidRPr="001474E6">
        <w:rPr>
          <w:rFonts w:ascii="Arial" w:eastAsia="Times New Roman" w:hAnsi="Arial" w:cs="Arial"/>
          <w:iCs/>
          <w:sz w:val="24"/>
          <w:szCs w:val="24"/>
          <w:lang w:eastAsia="cs-CZ"/>
        </w:rPr>
        <w:t>podporované</w:t>
      </w:r>
      <w:r w:rsidR="00186FCD" w:rsidRPr="001474E6">
        <w:rPr>
          <w:rFonts w:ascii="Arial" w:eastAsia="Times New Roman" w:hAnsi="Arial" w:cs="Arial"/>
          <w:i/>
          <w:iCs/>
          <w:sz w:val="24"/>
          <w:szCs w:val="24"/>
          <w:lang w:eastAsia="cs-CZ"/>
        </w:rPr>
        <w:t xml:space="preserve"> </w:t>
      </w:r>
      <w:r w:rsidR="00186FCD" w:rsidRPr="001474E6">
        <w:rPr>
          <w:rFonts w:ascii="Arial" w:eastAsia="Times New Roman" w:hAnsi="Arial" w:cs="Arial"/>
          <w:sz w:val="24"/>
          <w:szCs w:val="24"/>
          <w:lang w:eastAsia="cs-CZ"/>
        </w:rPr>
        <w:t>činnosti</w:t>
      </w:r>
      <w:r w:rsidR="00186FCD" w:rsidRPr="001474E6">
        <w:rPr>
          <w:rFonts w:ascii="Arial" w:eastAsia="Times New Roman" w:hAnsi="Arial" w:cs="Arial"/>
          <w:i/>
          <w:iCs/>
          <w:sz w:val="24"/>
          <w:szCs w:val="24"/>
          <w:lang w:eastAsia="cs-CZ"/>
        </w:rPr>
        <w:t xml:space="preserve"> </w:t>
      </w:r>
      <w:r w:rsidRPr="001474E6">
        <w:rPr>
          <w:rFonts w:ascii="Arial" w:eastAsia="Times New Roman" w:hAnsi="Arial" w:cs="Arial"/>
          <w:sz w:val="24"/>
          <w:szCs w:val="24"/>
          <w:lang w:eastAsia="cs-CZ"/>
        </w:rPr>
        <w:t>logem Olomouckého kraje</w:t>
      </w:r>
      <w:r w:rsidR="00B55114" w:rsidRPr="001474E6">
        <w:rPr>
          <w:rFonts w:ascii="Arial" w:eastAsia="Times New Roman" w:hAnsi="Arial" w:cs="Arial"/>
          <w:sz w:val="24"/>
          <w:szCs w:val="24"/>
          <w:lang w:eastAsia="cs-CZ"/>
        </w:rPr>
        <w:t xml:space="preserve">. Příjemce je dále povinen </w:t>
      </w:r>
      <w:r w:rsidR="00362E95" w:rsidRPr="001474E6">
        <w:rPr>
          <w:rFonts w:ascii="Arial" w:eastAsia="Times New Roman" w:hAnsi="Arial" w:cs="Arial"/>
          <w:sz w:val="24"/>
          <w:szCs w:val="24"/>
          <w:lang w:eastAsia="cs-CZ"/>
        </w:rPr>
        <w:t xml:space="preserve">po dobu </w:t>
      </w:r>
      <w:r w:rsidR="00186FCD" w:rsidRPr="001474E6">
        <w:rPr>
          <w:rFonts w:ascii="Arial" w:eastAsia="Times New Roman" w:hAnsi="Arial" w:cs="Arial"/>
          <w:sz w:val="24"/>
          <w:szCs w:val="24"/>
          <w:lang w:eastAsia="cs-CZ"/>
        </w:rPr>
        <w:t xml:space="preserve">trvání podporované činnosti </w:t>
      </w:r>
      <w:r w:rsidRPr="001474E6">
        <w:rPr>
          <w:rFonts w:ascii="Arial" w:eastAsia="Times New Roman" w:hAnsi="Arial" w:cs="Arial"/>
          <w:sz w:val="24"/>
          <w:szCs w:val="24"/>
          <w:lang w:eastAsia="cs-CZ"/>
        </w:rPr>
        <w:t xml:space="preserve">umístit </w:t>
      </w:r>
      <w:r w:rsidR="00362E95" w:rsidRPr="001474E6">
        <w:rPr>
          <w:rFonts w:ascii="Arial" w:eastAsia="Times New Roman" w:hAnsi="Arial" w:cs="Arial"/>
          <w:sz w:val="24"/>
          <w:szCs w:val="24"/>
          <w:lang w:eastAsia="cs-CZ"/>
        </w:rPr>
        <w:t>v</w:t>
      </w:r>
      <w:r w:rsidR="000C0A69">
        <w:rPr>
          <w:rFonts w:ascii="Arial" w:eastAsia="Times New Roman" w:hAnsi="Arial" w:cs="Arial"/>
          <w:sz w:val="24"/>
          <w:szCs w:val="24"/>
          <w:lang w:eastAsia="cs-CZ"/>
        </w:rPr>
        <w:t> </w:t>
      </w:r>
      <w:r w:rsidR="00362E95" w:rsidRPr="001474E6">
        <w:rPr>
          <w:rFonts w:ascii="Arial" w:eastAsia="Times New Roman" w:hAnsi="Arial" w:cs="Arial"/>
          <w:sz w:val="24"/>
          <w:szCs w:val="24"/>
          <w:lang w:eastAsia="cs-CZ"/>
        </w:rPr>
        <w:t>prostorách</w:t>
      </w:r>
      <w:r w:rsidR="000C0A69">
        <w:rPr>
          <w:rFonts w:ascii="Arial" w:eastAsia="Times New Roman" w:hAnsi="Arial" w:cs="Arial"/>
          <w:sz w:val="24"/>
          <w:szCs w:val="24"/>
          <w:lang w:eastAsia="cs-CZ"/>
        </w:rPr>
        <w:t>,</w:t>
      </w:r>
      <w:r w:rsidR="00362E95" w:rsidRPr="001474E6">
        <w:rPr>
          <w:rFonts w:ascii="Arial" w:eastAsia="Times New Roman" w:hAnsi="Arial" w:cs="Arial"/>
          <w:sz w:val="24"/>
          <w:szCs w:val="24"/>
          <w:lang w:eastAsia="cs-CZ"/>
        </w:rPr>
        <w:t xml:space="preserve"> </w:t>
      </w:r>
      <w:r w:rsidR="00186FCD" w:rsidRPr="001474E6">
        <w:rPr>
          <w:rFonts w:ascii="Arial" w:eastAsia="Times New Roman" w:hAnsi="Arial" w:cs="Arial"/>
          <w:sz w:val="24"/>
          <w:szCs w:val="24"/>
          <w:lang w:eastAsia="cs-CZ"/>
        </w:rPr>
        <w:t>kde bude podporovanou činnost provozovat</w:t>
      </w:r>
      <w:r w:rsidR="000C0A69">
        <w:rPr>
          <w:rFonts w:ascii="Arial" w:eastAsia="Times New Roman" w:hAnsi="Arial" w:cs="Arial"/>
          <w:sz w:val="24"/>
          <w:szCs w:val="24"/>
          <w:lang w:eastAsia="cs-CZ"/>
        </w:rPr>
        <w:t>,</w:t>
      </w:r>
      <w:r w:rsidR="00362E95" w:rsidRPr="001474E6">
        <w:rPr>
          <w:rFonts w:ascii="Arial" w:eastAsia="Times New Roman" w:hAnsi="Arial" w:cs="Arial"/>
          <w:sz w:val="24"/>
          <w:szCs w:val="24"/>
          <w:lang w:eastAsia="cs-CZ"/>
        </w:rPr>
        <w:t xml:space="preserve"> reklamní panel s</w:t>
      </w:r>
      <w:r w:rsidR="00B55114" w:rsidRPr="001474E6">
        <w:rPr>
          <w:rFonts w:ascii="Arial" w:eastAsia="Times New Roman" w:hAnsi="Arial" w:cs="Arial"/>
          <w:sz w:val="24"/>
          <w:szCs w:val="24"/>
          <w:lang w:eastAsia="cs-CZ"/>
        </w:rPr>
        <w:t xml:space="preserve"> </w:t>
      </w:r>
      <w:r w:rsidR="00362E95" w:rsidRPr="001474E6">
        <w:rPr>
          <w:rFonts w:ascii="Arial" w:eastAsia="Times New Roman" w:hAnsi="Arial" w:cs="Arial"/>
          <w:sz w:val="24"/>
          <w:szCs w:val="24"/>
          <w:lang w:eastAsia="cs-CZ"/>
        </w:rPr>
        <w:t>logem</w:t>
      </w:r>
      <w:r w:rsidR="00B55114" w:rsidRPr="001474E6">
        <w:rPr>
          <w:rFonts w:ascii="Arial" w:eastAsia="Times New Roman" w:hAnsi="Arial" w:cs="Arial"/>
          <w:sz w:val="24"/>
          <w:szCs w:val="24"/>
          <w:lang w:eastAsia="cs-CZ"/>
        </w:rPr>
        <w:t xml:space="preserve"> Olomouckého kraje a uvést, že Olomoucký kraj finančně přispěl na realizaci </w:t>
      </w:r>
      <w:r w:rsidR="00186FCD" w:rsidRPr="001474E6">
        <w:rPr>
          <w:rFonts w:ascii="Arial" w:eastAsia="Times New Roman" w:hAnsi="Arial" w:cs="Arial"/>
          <w:sz w:val="24"/>
          <w:szCs w:val="24"/>
          <w:lang w:eastAsia="cs-CZ"/>
        </w:rPr>
        <w:t xml:space="preserve">činnosti </w:t>
      </w:r>
      <w:r w:rsidR="00B55114" w:rsidRPr="001474E6">
        <w:rPr>
          <w:rFonts w:ascii="Arial" w:eastAsia="Times New Roman" w:hAnsi="Arial" w:cs="Arial"/>
          <w:sz w:val="24"/>
          <w:szCs w:val="24"/>
          <w:lang w:eastAsia="cs-CZ"/>
        </w:rPr>
        <w:t xml:space="preserve">včetně informace o názvu této </w:t>
      </w:r>
      <w:r w:rsidR="00186FCD" w:rsidRPr="001474E6">
        <w:rPr>
          <w:rFonts w:ascii="Arial" w:eastAsia="Times New Roman" w:hAnsi="Arial" w:cs="Arial"/>
          <w:sz w:val="24"/>
          <w:szCs w:val="24"/>
          <w:lang w:eastAsia="cs-CZ"/>
        </w:rPr>
        <w:t>činnosti</w:t>
      </w:r>
      <w:r w:rsidR="00362E95" w:rsidRPr="001474E6">
        <w:rPr>
          <w:rFonts w:ascii="Arial" w:eastAsia="Times New Roman" w:hAnsi="Arial" w:cs="Arial"/>
          <w:sz w:val="24"/>
          <w:szCs w:val="24"/>
          <w:lang w:eastAsia="cs-CZ"/>
        </w:rPr>
        <w:t>.</w:t>
      </w:r>
    </w:p>
    <w:p w14:paraId="1C4A136A" w14:textId="77777777" w:rsidR="00B55114" w:rsidRPr="001474E6" w:rsidRDefault="00194196" w:rsidP="00191671">
      <w:pPr>
        <w:spacing w:after="120"/>
        <w:ind w:left="567" w:firstLine="0"/>
        <w:rPr>
          <w:rFonts w:ascii="Arial" w:eastAsia="Times New Roman" w:hAnsi="Arial" w:cs="Arial"/>
          <w:sz w:val="24"/>
          <w:szCs w:val="24"/>
          <w:lang w:eastAsia="cs-CZ"/>
        </w:rPr>
      </w:pPr>
      <w:r w:rsidRPr="001474E6">
        <w:rPr>
          <w:rFonts w:ascii="Arial" w:eastAsia="Times New Roman" w:hAnsi="Arial" w:cs="Arial"/>
          <w:sz w:val="24"/>
          <w:szCs w:val="24"/>
          <w:lang w:eastAsia="cs-CZ"/>
        </w:rPr>
        <w:t xml:space="preserve">Současně je příjemce povinen na </w:t>
      </w:r>
      <w:r w:rsidR="00362E95" w:rsidRPr="001474E6">
        <w:rPr>
          <w:rFonts w:ascii="Arial" w:eastAsia="Times New Roman" w:hAnsi="Arial" w:cs="Arial"/>
          <w:sz w:val="24"/>
          <w:szCs w:val="24"/>
          <w:lang w:eastAsia="cs-CZ"/>
        </w:rPr>
        <w:t>všech</w:t>
      </w:r>
      <w:r w:rsidR="00362E95" w:rsidRPr="001474E6">
        <w:rPr>
          <w:rFonts w:ascii="Arial" w:eastAsia="Times New Roman" w:hAnsi="Arial" w:cs="Arial"/>
          <w:i/>
          <w:sz w:val="24"/>
          <w:szCs w:val="24"/>
          <w:lang w:eastAsia="cs-CZ"/>
        </w:rPr>
        <w:t xml:space="preserve"> </w:t>
      </w:r>
      <w:r w:rsidR="00362E95" w:rsidRPr="001474E6">
        <w:rPr>
          <w:rFonts w:ascii="Arial" w:eastAsia="Times New Roman" w:hAnsi="Arial" w:cs="Arial"/>
          <w:sz w:val="24"/>
          <w:szCs w:val="24"/>
          <w:lang w:eastAsia="cs-CZ"/>
        </w:rPr>
        <w:t>propagačních materiálech</w:t>
      </w:r>
      <w:r w:rsidRPr="001474E6">
        <w:rPr>
          <w:rFonts w:ascii="Arial" w:eastAsia="Times New Roman" w:hAnsi="Arial" w:cs="Arial"/>
          <w:i/>
          <w:sz w:val="24"/>
          <w:szCs w:val="24"/>
          <w:lang w:eastAsia="cs-CZ"/>
        </w:rPr>
        <w:t xml:space="preserve"> </w:t>
      </w:r>
      <w:r w:rsidRPr="001474E6">
        <w:rPr>
          <w:rFonts w:ascii="Arial" w:eastAsia="Times New Roman" w:hAnsi="Arial" w:cs="Arial"/>
          <w:sz w:val="24"/>
          <w:szCs w:val="24"/>
          <w:lang w:eastAsia="cs-CZ"/>
        </w:rPr>
        <w:t xml:space="preserve">uvést, že </w:t>
      </w:r>
      <w:r w:rsidR="001C621A">
        <w:rPr>
          <w:rFonts w:ascii="Arial" w:eastAsia="Times New Roman" w:hAnsi="Arial" w:cs="Arial"/>
          <w:sz w:val="24"/>
          <w:szCs w:val="24"/>
          <w:lang w:eastAsia="cs-CZ"/>
        </w:rPr>
        <w:t>podporovanou</w:t>
      </w:r>
      <w:r w:rsidR="00020B78">
        <w:rPr>
          <w:rFonts w:ascii="Arial" w:eastAsia="Times New Roman" w:hAnsi="Arial" w:cs="Arial"/>
          <w:sz w:val="24"/>
          <w:szCs w:val="24"/>
          <w:lang w:eastAsia="cs-CZ"/>
        </w:rPr>
        <w:t xml:space="preserve"> činnost příjemce vykonává </w:t>
      </w:r>
      <w:r w:rsidRPr="001474E6">
        <w:rPr>
          <w:rFonts w:ascii="Arial" w:eastAsia="Times New Roman" w:hAnsi="Arial" w:cs="Arial"/>
          <w:sz w:val="24"/>
          <w:szCs w:val="24"/>
          <w:lang w:eastAsia="cs-CZ"/>
        </w:rPr>
        <w:t>za finanční spoluúčasti poskytovatele</w:t>
      </w:r>
      <w:r w:rsidRPr="001474E6">
        <w:rPr>
          <w:rFonts w:ascii="Arial" w:eastAsia="Times New Roman" w:hAnsi="Arial" w:cs="Arial"/>
          <w:i/>
          <w:iCs/>
          <w:sz w:val="24"/>
          <w:szCs w:val="24"/>
          <w:lang w:eastAsia="cs-CZ"/>
        </w:rPr>
        <w:t xml:space="preserve">. </w:t>
      </w:r>
      <w:r w:rsidRPr="001474E6">
        <w:rPr>
          <w:rFonts w:ascii="Arial" w:eastAsia="Times New Roman" w:hAnsi="Arial" w:cs="Arial"/>
          <w:iCs/>
          <w:sz w:val="24"/>
          <w:szCs w:val="24"/>
          <w:lang w:eastAsia="cs-CZ"/>
        </w:rPr>
        <w:t xml:space="preserve">Totéž je příjemce povinen uvádět po dobu </w:t>
      </w:r>
      <w:r w:rsidR="00191671" w:rsidRPr="001474E6">
        <w:rPr>
          <w:rFonts w:ascii="Arial" w:eastAsia="Times New Roman" w:hAnsi="Arial" w:cs="Arial"/>
          <w:iCs/>
          <w:sz w:val="24"/>
          <w:szCs w:val="24"/>
          <w:lang w:eastAsia="cs-CZ"/>
        </w:rPr>
        <w:t xml:space="preserve">realizace </w:t>
      </w:r>
      <w:r w:rsidR="00186FCD" w:rsidRPr="001474E6">
        <w:rPr>
          <w:rFonts w:ascii="Arial" w:eastAsia="Times New Roman" w:hAnsi="Arial" w:cs="Arial"/>
          <w:iCs/>
          <w:sz w:val="24"/>
          <w:szCs w:val="24"/>
          <w:lang w:eastAsia="cs-CZ"/>
        </w:rPr>
        <w:t xml:space="preserve">podporované činnosti </w:t>
      </w:r>
      <w:r w:rsidRPr="001474E6">
        <w:rPr>
          <w:rFonts w:ascii="Arial" w:eastAsia="Times New Roman" w:hAnsi="Arial" w:cs="Arial"/>
          <w:sz w:val="24"/>
          <w:szCs w:val="24"/>
          <w:lang w:eastAsia="cs-CZ"/>
        </w:rPr>
        <w:t>při kontaktu s médii, na svých případných webových stránkách a při propagaci svých aktivit.</w:t>
      </w:r>
    </w:p>
    <w:p w14:paraId="60D79AA7" w14:textId="77777777" w:rsidR="00194196" w:rsidRPr="001474E6" w:rsidRDefault="00194196" w:rsidP="00194196">
      <w:pPr>
        <w:numPr>
          <w:ilvl w:val="0"/>
          <w:numId w:val="1"/>
        </w:numPr>
        <w:spacing w:after="120"/>
        <w:rPr>
          <w:rFonts w:ascii="Arial" w:eastAsia="Times New Roman" w:hAnsi="Arial" w:cs="Arial"/>
          <w:sz w:val="24"/>
          <w:szCs w:val="24"/>
          <w:lang w:eastAsia="cs-CZ"/>
        </w:rPr>
      </w:pPr>
      <w:r w:rsidRPr="001474E6">
        <w:rPr>
          <w:rFonts w:ascii="Arial" w:eastAsia="Times New Roman" w:hAnsi="Arial" w:cs="Arial"/>
          <w:sz w:val="24"/>
          <w:szCs w:val="24"/>
          <w:lang w:eastAsia="cs-CZ"/>
        </w:rPr>
        <w:t>Poskytovatel uděluje příjemci souhlas s bezúplatným užitím loga Olomouckého kraje způsobem a v rozsahu uvedeném v čl. II. odst. 10 této smlouvy.</w:t>
      </w:r>
    </w:p>
    <w:p w14:paraId="4A54EE01" w14:textId="77777777" w:rsidR="00194196" w:rsidRPr="00602ECF" w:rsidRDefault="00194196" w:rsidP="00194196">
      <w:pPr>
        <w:numPr>
          <w:ilvl w:val="0"/>
          <w:numId w:val="1"/>
        </w:numPr>
        <w:spacing w:after="120"/>
        <w:rPr>
          <w:rFonts w:ascii="Arial" w:eastAsia="Times New Roman" w:hAnsi="Arial" w:cs="Arial"/>
          <w:i/>
          <w:iCs/>
          <w:sz w:val="24"/>
          <w:szCs w:val="24"/>
          <w:lang w:eastAsia="cs-CZ"/>
        </w:rPr>
      </w:pPr>
      <w:r w:rsidRPr="001474E6">
        <w:rPr>
          <w:rFonts w:ascii="Arial" w:eastAsia="Times New Roman" w:hAnsi="Arial" w:cs="Arial"/>
          <w:sz w:val="24"/>
          <w:szCs w:val="24"/>
          <w:lang w:eastAsia="cs-CZ"/>
        </w:rPr>
        <w:t xml:space="preserve">Pokud bude příjemce při realizaci činnosti, na niž je poskytována dotace dle této smlouvy, </w:t>
      </w:r>
      <w:r w:rsidRPr="00602ECF">
        <w:rPr>
          <w:rFonts w:ascii="Arial" w:eastAsia="Times New Roman" w:hAnsi="Arial" w:cs="Arial"/>
          <w:sz w:val="24"/>
          <w:szCs w:val="24"/>
          <w:lang w:eastAsia="cs-CZ"/>
        </w:rPr>
        <w:t>zadavatelem veřejné zakázky dle příslušných ustanovení zákona o veřejných zakázkách, je povinen při její realizaci postupovat dle tohoto zákona.</w:t>
      </w:r>
    </w:p>
    <w:p w14:paraId="373B8770" w14:textId="77777777" w:rsidR="00B9639C" w:rsidRPr="00602ECF" w:rsidRDefault="00DE7810" w:rsidP="00194196">
      <w:pPr>
        <w:numPr>
          <w:ilvl w:val="0"/>
          <w:numId w:val="1"/>
        </w:numPr>
        <w:spacing w:after="120"/>
        <w:rPr>
          <w:rFonts w:ascii="Arial" w:eastAsia="Times New Roman" w:hAnsi="Arial" w:cs="Arial"/>
          <w:iCs/>
          <w:sz w:val="24"/>
          <w:szCs w:val="24"/>
          <w:lang w:eastAsia="cs-CZ"/>
        </w:rPr>
      </w:pPr>
      <w:r w:rsidRPr="00602ECF">
        <w:rPr>
          <w:rFonts w:ascii="Arial" w:eastAsia="Times New Roman" w:hAnsi="Arial" w:cs="Arial"/>
          <w:iCs/>
          <w:sz w:val="24"/>
          <w:szCs w:val="24"/>
          <w:lang w:eastAsia="cs-CZ"/>
        </w:rPr>
        <w:t>Příjemce prohlašuje, že ke dni podpisu této smlouvy nemá neuhrazené závazky po lhůtě splatnosti vůči orgánům veřejné správy České republiky (finanční úřady, orgány sociálního zabezpečení), Evropské unie nebo některého z jejích členských států, vůči zdravotním pojišťovnám a vůči orgánům poskytujícím finanční prostředky na projekty spolufinancované Evropskou unií. Za neuhrazený závazek po lhůtě splatnosti vůči výše uvedeným subjektům  je považován i závazek, na který má žadatel uzavřený splátkový kalendář nebo jiný odklad původní lhůty splatnosti. V případě nepravdivosti tohoto prohlášení se jedná o porušení rozpočtové kázně ve smyslu ust. § 22 zákona č. 250/2000 Sb., o rozpočtových pravidlech územních rozpočtů, ve znění pozdějších předpisů.</w:t>
      </w:r>
    </w:p>
    <w:p w14:paraId="01C79CD2" w14:textId="77777777" w:rsidR="00194196" w:rsidRPr="001474E6" w:rsidRDefault="00194196" w:rsidP="00194196">
      <w:pPr>
        <w:spacing w:before="360" w:after="360"/>
        <w:ind w:left="0" w:firstLine="0"/>
        <w:jc w:val="center"/>
        <w:outlineLvl w:val="0"/>
        <w:rPr>
          <w:rFonts w:ascii="Arial" w:eastAsia="Times New Roman" w:hAnsi="Arial" w:cs="Arial"/>
          <w:b/>
          <w:bCs/>
          <w:sz w:val="24"/>
          <w:szCs w:val="24"/>
          <w:lang w:eastAsia="cs-CZ"/>
        </w:rPr>
      </w:pPr>
      <w:r w:rsidRPr="001474E6">
        <w:rPr>
          <w:rFonts w:ascii="Arial" w:eastAsia="Times New Roman" w:hAnsi="Arial" w:cs="Arial"/>
          <w:b/>
          <w:bCs/>
          <w:sz w:val="24"/>
          <w:szCs w:val="24"/>
          <w:lang w:eastAsia="cs-CZ"/>
        </w:rPr>
        <w:t>III.</w:t>
      </w:r>
    </w:p>
    <w:p w14:paraId="61D7E28E" w14:textId="77777777" w:rsidR="00194196" w:rsidRPr="001474E6" w:rsidRDefault="00194196" w:rsidP="00194196">
      <w:pPr>
        <w:numPr>
          <w:ilvl w:val="0"/>
          <w:numId w:val="3"/>
        </w:numPr>
        <w:spacing w:after="120"/>
        <w:rPr>
          <w:rFonts w:ascii="Arial" w:eastAsia="Times New Roman" w:hAnsi="Arial" w:cs="Arial"/>
          <w:sz w:val="24"/>
          <w:szCs w:val="24"/>
          <w:lang w:eastAsia="cs-CZ"/>
        </w:rPr>
      </w:pPr>
      <w:r w:rsidRPr="001474E6">
        <w:rPr>
          <w:rFonts w:ascii="Arial" w:eastAsia="Times New Roman" w:hAnsi="Arial" w:cs="Arial"/>
          <w:sz w:val="24"/>
          <w:szCs w:val="24"/>
          <w:lang w:eastAsia="cs-CZ"/>
        </w:rPr>
        <w:t>Smlouva se uzavírá v souladu s §159 a násl. zákona č. 500/2004 Sb., správní řád, ve znění pozdějších právních předpisů, a se zákonem č. 250/2000 Sb., o rozpočtových pravidlech územních rozpočtů, ve znění pozdějších právních předpisů.</w:t>
      </w:r>
    </w:p>
    <w:p w14:paraId="321B3941" w14:textId="77777777" w:rsidR="001474E6" w:rsidRDefault="00194196" w:rsidP="004A29BE">
      <w:pPr>
        <w:numPr>
          <w:ilvl w:val="0"/>
          <w:numId w:val="3"/>
        </w:numPr>
        <w:spacing w:after="120"/>
        <w:rPr>
          <w:rFonts w:ascii="Arial" w:eastAsia="Times New Roman" w:hAnsi="Arial" w:cs="Arial"/>
          <w:sz w:val="24"/>
          <w:szCs w:val="24"/>
          <w:lang w:eastAsia="cs-CZ"/>
        </w:rPr>
      </w:pPr>
      <w:r w:rsidRPr="001474E6">
        <w:rPr>
          <w:rFonts w:ascii="Arial" w:eastAsia="Times New Roman" w:hAnsi="Arial" w:cs="Arial"/>
          <w:sz w:val="24"/>
          <w:szCs w:val="24"/>
          <w:lang w:eastAsia="cs-CZ"/>
        </w:rPr>
        <w:t xml:space="preserve">Příjemce bere na vědomí, že dotace je na základě této smlouvy poskytována za splnění podmínek Nařízení Komise (EU) č. 1407/2013 ze dne 18. prosince  2013 o použití článků 107 a 108 Smlouvy o fungování Evropské </w:t>
      </w:r>
      <w:r w:rsidRPr="001474E6">
        <w:rPr>
          <w:rFonts w:ascii="Arial" w:eastAsia="Times New Roman" w:hAnsi="Arial" w:cs="Arial"/>
          <w:sz w:val="24"/>
          <w:szCs w:val="24"/>
          <w:lang w:eastAsia="cs-CZ"/>
        </w:rPr>
        <w:lastRenderedPageBreak/>
        <w:t xml:space="preserve">unie na podporu de minimis, které bylo zveřejněno v Úředním věstníku Evropské unie č. L 352/1 dne 24. prosince 2013. </w:t>
      </w:r>
    </w:p>
    <w:p w14:paraId="44E127EC" w14:textId="31C3EE6F" w:rsidR="00194196" w:rsidRPr="001474E6" w:rsidRDefault="00194196" w:rsidP="004A29BE">
      <w:pPr>
        <w:numPr>
          <w:ilvl w:val="0"/>
          <w:numId w:val="3"/>
        </w:numPr>
        <w:spacing w:after="120"/>
        <w:rPr>
          <w:rFonts w:ascii="Arial" w:eastAsia="Times New Roman" w:hAnsi="Arial" w:cs="Arial"/>
          <w:sz w:val="24"/>
          <w:szCs w:val="24"/>
          <w:lang w:eastAsia="cs-CZ"/>
        </w:rPr>
      </w:pPr>
      <w:r w:rsidRPr="001474E6">
        <w:rPr>
          <w:rFonts w:ascii="Arial" w:eastAsia="Times New Roman" w:hAnsi="Arial" w:cs="Arial"/>
          <w:sz w:val="24"/>
          <w:szCs w:val="24"/>
          <w:lang w:eastAsia="cs-CZ"/>
        </w:rPr>
        <w:t>Příjemce prohlašuje, že před uzavřením této smlouvy sdělil poskytovateli pravdivé a úplné informace o tom, zda v období účetního roku, ve kterém je uzavírána tato smlouva, a dvou bezprostředně předcházejících účetních roků vznikl spojením podniků, nabytím podniku nebo rozdělením (rozštěpením nebo odštěpením) podniku, a tyto poskytnuté informace se ke dni uzavření této smlouvy nezměnily.</w:t>
      </w:r>
    </w:p>
    <w:p w14:paraId="0CC57349" w14:textId="77777777" w:rsidR="00194196" w:rsidRPr="001474E6" w:rsidRDefault="00194196" w:rsidP="00194196">
      <w:pPr>
        <w:numPr>
          <w:ilvl w:val="0"/>
          <w:numId w:val="3"/>
        </w:numPr>
        <w:spacing w:after="120"/>
        <w:rPr>
          <w:rFonts w:ascii="Arial" w:eastAsia="Times New Roman" w:hAnsi="Arial" w:cs="Arial"/>
          <w:sz w:val="24"/>
          <w:szCs w:val="24"/>
          <w:lang w:eastAsia="cs-CZ"/>
        </w:rPr>
      </w:pPr>
      <w:r w:rsidRPr="001474E6">
        <w:rPr>
          <w:rFonts w:ascii="Arial" w:eastAsia="Times New Roman" w:hAnsi="Arial" w:cs="Arial"/>
          <w:sz w:val="24"/>
          <w:szCs w:val="24"/>
          <w:lang w:eastAsia="cs-CZ"/>
        </w:rPr>
        <w:t xml:space="preserve">Příjemce dále prohlašuje, že sdělil poskytovateli před uzavřením této smlouvy, zda naplňuje kritéria jednoho podniku definovaná v čl. 2 nařízení </w:t>
      </w:r>
      <w:r w:rsidRPr="001474E6">
        <w:rPr>
          <w:rFonts w:ascii="Arial" w:eastAsia="Times New Roman" w:hAnsi="Arial" w:cs="Arial"/>
          <w:iCs/>
          <w:sz w:val="24"/>
          <w:szCs w:val="24"/>
          <w:lang w:eastAsia="cs-CZ"/>
        </w:rPr>
        <w:t>Komise (EU) č. 1407/2013 ze dne 18. prosince 2013 o použití článků 107 a 108 Smlouvy o fungování Evropské unie na podporu de minimis (uveřejněno v úředním věštníku EU dne 24. 12. 2013 č. L 352/1)</w:t>
      </w:r>
      <w:r w:rsidRPr="001474E6">
        <w:rPr>
          <w:rFonts w:ascii="Arial" w:eastAsia="Times New Roman" w:hAnsi="Arial" w:cs="Arial"/>
          <w:sz w:val="24"/>
          <w:szCs w:val="24"/>
          <w:lang w:eastAsia="cs-CZ"/>
        </w:rPr>
        <w:t>, včetně uvedení identifikace subjektů, s nimiž jeden podnik tvoří, a ke dni uzavření této smlouvy nedošlo ke změně těchto sdělených údajů.</w:t>
      </w:r>
    </w:p>
    <w:p w14:paraId="0DE4763D" w14:textId="77777777" w:rsidR="00194196" w:rsidRPr="001474E6" w:rsidRDefault="00194196" w:rsidP="00194196">
      <w:pPr>
        <w:numPr>
          <w:ilvl w:val="0"/>
          <w:numId w:val="3"/>
        </w:numPr>
        <w:spacing w:after="120"/>
        <w:rPr>
          <w:rFonts w:ascii="Arial" w:eastAsia="Times New Roman" w:hAnsi="Arial" w:cs="Arial"/>
          <w:b/>
          <w:sz w:val="24"/>
          <w:szCs w:val="24"/>
          <w:lang w:eastAsia="cs-CZ"/>
        </w:rPr>
      </w:pPr>
      <w:r w:rsidRPr="001474E6">
        <w:rPr>
          <w:rFonts w:ascii="Arial" w:eastAsia="Times New Roman" w:hAnsi="Arial" w:cs="Arial"/>
          <w:iCs/>
          <w:sz w:val="24"/>
          <w:szCs w:val="24"/>
          <w:lang w:eastAsia="cs-CZ"/>
        </w:rPr>
        <w:t xml:space="preserve">V případě rozdělení příjemce </w:t>
      </w:r>
      <w:r w:rsidRPr="001474E6">
        <w:rPr>
          <w:rFonts w:ascii="Arial" w:eastAsia="Times New Roman" w:hAnsi="Arial" w:cs="Arial"/>
          <w:sz w:val="24"/>
          <w:szCs w:val="24"/>
          <w:lang w:eastAsia="cs-CZ"/>
        </w:rPr>
        <w:t xml:space="preserve">dotace </w:t>
      </w:r>
      <w:r w:rsidRPr="001474E6">
        <w:rPr>
          <w:rFonts w:ascii="Arial" w:eastAsia="Times New Roman" w:hAnsi="Arial" w:cs="Arial"/>
          <w:iCs/>
          <w:sz w:val="24"/>
          <w:szCs w:val="24"/>
          <w:lang w:eastAsia="cs-CZ"/>
        </w:rPr>
        <w:t xml:space="preserve">na dva či více samostatné podniky v období 3 let od nabytí účinnosti této smlouvy je příjemce </w:t>
      </w:r>
      <w:r w:rsidRPr="001474E6">
        <w:rPr>
          <w:rFonts w:ascii="Arial" w:eastAsia="Times New Roman" w:hAnsi="Arial" w:cs="Arial"/>
          <w:sz w:val="24"/>
          <w:szCs w:val="24"/>
          <w:lang w:eastAsia="cs-CZ"/>
        </w:rPr>
        <w:t xml:space="preserve">dotace </w:t>
      </w:r>
      <w:r w:rsidRPr="001474E6">
        <w:rPr>
          <w:rFonts w:ascii="Arial" w:eastAsia="Times New Roman" w:hAnsi="Arial" w:cs="Arial"/>
          <w:iCs/>
          <w:sz w:val="24"/>
          <w:szCs w:val="24"/>
          <w:lang w:eastAsia="cs-CZ"/>
        </w:rPr>
        <w:t>povinen neprodleně po rozdělení kontaktovat poskytovatele za účelem sdělení informace, jak podporu de minimis poskytnutou dle této smlouvy rozdělit v Centrálním registru podpor malého rozsahu.</w:t>
      </w:r>
    </w:p>
    <w:p w14:paraId="1098B6EA" w14:textId="77777777" w:rsidR="00FC4898" w:rsidRPr="00E7789E" w:rsidRDefault="00FC4898" w:rsidP="00FC4898">
      <w:pPr>
        <w:numPr>
          <w:ilvl w:val="0"/>
          <w:numId w:val="3"/>
        </w:numPr>
        <w:spacing w:after="120"/>
        <w:rPr>
          <w:rFonts w:ascii="Arial" w:eastAsia="Times New Roman" w:hAnsi="Arial" w:cs="Arial"/>
          <w:sz w:val="24"/>
          <w:szCs w:val="24"/>
          <w:lang w:eastAsia="cs-CZ"/>
        </w:rPr>
      </w:pPr>
      <w:r w:rsidRPr="00E7789E">
        <w:rPr>
          <w:rFonts w:ascii="Arial" w:eastAsia="Times New Roman" w:hAnsi="Arial" w:cs="Arial"/>
          <w:sz w:val="24"/>
          <w:szCs w:val="24"/>
          <w:lang w:eastAsia="cs-CZ"/>
        </w:rPr>
        <w:t xml:space="preserve">V případě, že dotace bude použita ke spolufinancování běžných výdajů souvisejících s poskytováním základních druhů a forem sociálních služeb v rozsahu stanoveném základními činnostmi u jednotlivých druhů sociálních služeb zapsaných v registru podle § 85 odst. 1 zákona č. 108/2006 Sb., o sociálních službách, ve znění pozdějších předpisů, kterým bylo vydáno poskytovatelem pověření k poskytování služby obecného hospodářského zájmu v souladu s Rozhodnutím Evropské komise ze dne 20. prosince 2011, č. 2012/21/EU, o použití čl. 106 odst. 2 Smlouvy o fungování Evropské unie na státní podporu ve formě vyrovnávací platby za závazek veřejné služby udělené určitým podnikům pověřeným poskytováním služeb obecného hospodářského zájmu (dále též „Rozhodnutí EK“), je část dotace využitá k účelu uvedeném v tomto ustanovení součástí vyrovnávací platby v souladu s pověřením k poskytování služby obecného hospodářského zájmu. </w:t>
      </w:r>
    </w:p>
    <w:p w14:paraId="4DADDDB0" w14:textId="77777777" w:rsidR="00194196" w:rsidRPr="001474E6" w:rsidRDefault="00194196" w:rsidP="00194196">
      <w:pPr>
        <w:numPr>
          <w:ilvl w:val="0"/>
          <w:numId w:val="3"/>
        </w:numPr>
        <w:spacing w:after="120"/>
        <w:rPr>
          <w:rFonts w:ascii="Arial" w:eastAsia="Times New Roman" w:hAnsi="Arial" w:cs="Arial"/>
          <w:sz w:val="24"/>
          <w:szCs w:val="24"/>
          <w:lang w:eastAsia="cs-CZ"/>
        </w:rPr>
      </w:pPr>
      <w:r w:rsidRPr="001474E6">
        <w:rPr>
          <w:rFonts w:ascii="Arial" w:eastAsia="Times New Roman" w:hAnsi="Arial" w:cs="Arial"/>
          <w:sz w:val="24"/>
          <w:szCs w:val="24"/>
          <w:lang w:eastAsia="cs-CZ"/>
        </w:rPr>
        <w:t>Tato smlouva nabývá platnosti a účinnosti dnem jejího uzavření.</w:t>
      </w:r>
    </w:p>
    <w:p w14:paraId="221E88FF" w14:textId="77777777" w:rsidR="00194196" w:rsidRPr="001474E6" w:rsidRDefault="00194196" w:rsidP="00194196">
      <w:pPr>
        <w:numPr>
          <w:ilvl w:val="0"/>
          <w:numId w:val="3"/>
        </w:numPr>
        <w:spacing w:after="120"/>
        <w:rPr>
          <w:rFonts w:ascii="Arial" w:eastAsia="Times New Roman" w:hAnsi="Arial" w:cs="Arial"/>
          <w:sz w:val="24"/>
          <w:szCs w:val="24"/>
          <w:lang w:eastAsia="cs-CZ"/>
        </w:rPr>
      </w:pPr>
      <w:r w:rsidRPr="001474E6">
        <w:rPr>
          <w:rFonts w:ascii="Arial" w:eastAsia="Times New Roman" w:hAnsi="Arial" w:cs="Arial"/>
          <w:sz w:val="24"/>
          <w:szCs w:val="24"/>
          <w:lang w:eastAsia="cs-CZ"/>
        </w:rPr>
        <w:t>Tuto smlouvu lze měnit pouze písemnými vzestupně číslovanými dodatky.</w:t>
      </w:r>
    </w:p>
    <w:p w14:paraId="087A733C" w14:textId="77777777" w:rsidR="00194196" w:rsidRPr="001474E6" w:rsidRDefault="00194196" w:rsidP="00194196">
      <w:pPr>
        <w:numPr>
          <w:ilvl w:val="0"/>
          <w:numId w:val="3"/>
        </w:numPr>
        <w:spacing w:after="120"/>
        <w:rPr>
          <w:rFonts w:ascii="Arial" w:eastAsia="Times New Roman" w:hAnsi="Arial" w:cs="Arial"/>
          <w:sz w:val="24"/>
          <w:szCs w:val="24"/>
          <w:lang w:eastAsia="cs-CZ"/>
        </w:rPr>
      </w:pPr>
      <w:r w:rsidRPr="001474E6">
        <w:rPr>
          <w:rFonts w:ascii="Arial" w:eastAsia="Times New Roman" w:hAnsi="Arial" w:cs="Arial"/>
          <w:sz w:val="24"/>
          <w:szCs w:val="24"/>
          <w:lang w:eastAsia="cs-CZ"/>
        </w:rPr>
        <w:t>Smluvní strany prohlašují, že souhlasí s případným zveřejněním textu této smlouvy v souladu se zákonem č. 106/1999 Sb., o svobodném přístupu k informacím, ve znění pozdějších předpisů.</w:t>
      </w:r>
    </w:p>
    <w:p w14:paraId="5CA37B0B" w14:textId="77777777" w:rsidR="00194196" w:rsidRDefault="00194196" w:rsidP="00194196">
      <w:pPr>
        <w:numPr>
          <w:ilvl w:val="0"/>
          <w:numId w:val="3"/>
        </w:numPr>
        <w:spacing w:after="120"/>
        <w:rPr>
          <w:rFonts w:ascii="Arial" w:eastAsia="Times New Roman" w:hAnsi="Arial" w:cs="Arial"/>
          <w:sz w:val="24"/>
          <w:szCs w:val="24"/>
          <w:lang w:eastAsia="cs-CZ"/>
        </w:rPr>
      </w:pPr>
      <w:r w:rsidRPr="001474E6">
        <w:rPr>
          <w:rFonts w:ascii="Arial" w:eastAsia="Times New Roman" w:hAnsi="Arial" w:cs="Arial"/>
          <w:sz w:val="24"/>
          <w:szCs w:val="24"/>
          <w:lang w:eastAsia="cs-CZ"/>
        </w:rPr>
        <w:t>Poskytnutí dotace a uzavření této smlouvy bylo schváleno usnesením Zastupitelstva Olomouckého kraje č</w:t>
      </w:r>
      <w:r w:rsidR="008637B5" w:rsidRPr="001474E6">
        <w:rPr>
          <w:rFonts w:ascii="Arial" w:eastAsia="Times New Roman" w:hAnsi="Arial" w:cs="Arial"/>
          <w:sz w:val="24"/>
          <w:szCs w:val="24"/>
          <w:lang w:eastAsia="cs-CZ"/>
        </w:rPr>
        <w:t>.</w:t>
      </w:r>
      <w:r w:rsidRPr="001474E6">
        <w:rPr>
          <w:rFonts w:ascii="Arial" w:eastAsia="Times New Roman" w:hAnsi="Arial" w:cs="Arial"/>
          <w:sz w:val="24"/>
          <w:szCs w:val="24"/>
          <w:lang w:eastAsia="cs-CZ"/>
        </w:rPr>
        <w:t xml:space="preserve"> ......... ze dne .........</w:t>
      </w:r>
    </w:p>
    <w:p w14:paraId="06B44252" w14:textId="77777777" w:rsidR="009055DF" w:rsidRPr="00DD3AC1" w:rsidRDefault="00F14BF0" w:rsidP="00DD3AC1">
      <w:pPr>
        <w:numPr>
          <w:ilvl w:val="0"/>
          <w:numId w:val="3"/>
        </w:numPr>
        <w:spacing w:after="120"/>
        <w:rPr>
          <w:rFonts w:ascii="Arial" w:eastAsia="Times New Roman" w:hAnsi="Arial" w:cs="Arial"/>
          <w:sz w:val="24"/>
          <w:szCs w:val="24"/>
          <w:lang w:eastAsia="cs-CZ"/>
        </w:rPr>
      </w:pPr>
      <w:r w:rsidRPr="00DD3AC1">
        <w:rPr>
          <w:rFonts w:ascii="Arial" w:eastAsia="Times New Roman" w:hAnsi="Arial" w:cs="Arial"/>
          <w:sz w:val="24"/>
          <w:szCs w:val="24"/>
          <w:lang w:eastAsia="cs-CZ"/>
        </w:rPr>
        <w:t xml:space="preserve">Tato smlouva je sepsána ve </w:t>
      </w:r>
      <w:r w:rsidR="0012164B" w:rsidRPr="00DD3AC1">
        <w:rPr>
          <w:rFonts w:ascii="Arial" w:eastAsia="Times New Roman" w:hAnsi="Arial" w:cs="Arial"/>
          <w:sz w:val="24"/>
          <w:szCs w:val="24"/>
          <w:lang w:eastAsia="cs-CZ"/>
        </w:rPr>
        <w:t>čtyřech</w:t>
      </w:r>
      <w:r w:rsidRPr="00DD3AC1">
        <w:rPr>
          <w:rFonts w:ascii="Arial" w:eastAsia="Times New Roman" w:hAnsi="Arial" w:cs="Arial"/>
          <w:sz w:val="24"/>
          <w:szCs w:val="24"/>
          <w:lang w:eastAsia="cs-CZ"/>
        </w:rPr>
        <w:t xml:space="preserve"> </w:t>
      </w:r>
      <w:r w:rsidR="00194196" w:rsidRPr="00DD3AC1">
        <w:rPr>
          <w:rFonts w:ascii="Arial" w:eastAsia="Times New Roman" w:hAnsi="Arial" w:cs="Arial"/>
          <w:sz w:val="24"/>
          <w:szCs w:val="24"/>
          <w:lang w:eastAsia="cs-CZ"/>
        </w:rPr>
        <w:t xml:space="preserve">vyhotoveních, z nichž </w:t>
      </w:r>
      <w:r w:rsidR="0012164B" w:rsidRPr="00DD3AC1">
        <w:rPr>
          <w:rFonts w:ascii="Arial" w:eastAsia="Times New Roman" w:hAnsi="Arial" w:cs="Arial"/>
          <w:sz w:val="24"/>
          <w:szCs w:val="24"/>
          <w:lang w:eastAsia="cs-CZ"/>
        </w:rPr>
        <w:t>jedno vyhotovení obdrží příjemce a tři vyhotovení obdrží poskytovatel</w:t>
      </w:r>
      <w:r w:rsidR="0012164B" w:rsidRPr="00DD3AC1">
        <w:rPr>
          <w:rFonts w:ascii="Arial" w:eastAsia="Times New Roman" w:hAnsi="Arial" w:cs="Arial"/>
          <w:i/>
          <w:sz w:val="24"/>
          <w:szCs w:val="24"/>
          <w:lang w:eastAsia="cs-CZ"/>
        </w:rPr>
        <w:t>.</w:t>
      </w:r>
      <w:r w:rsidR="0012164B" w:rsidRPr="00DD3AC1">
        <w:rPr>
          <w:rFonts w:ascii="Arial" w:eastAsia="Times New Roman" w:hAnsi="Arial" w:cs="Arial"/>
          <w:sz w:val="24"/>
          <w:szCs w:val="24"/>
          <w:lang w:eastAsia="cs-CZ"/>
        </w:rPr>
        <w:t xml:space="preserve"> </w:t>
      </w:r>
    </w:p>
    <w:p w14:paraId="4C60F7CA" w14:textId="77777777" w:rsidR="009055DF" w:rsidRDefault="009055DF">
      <w:pPr>
        <w:spacing w:after="200" w:line="276" w:lineRule="auto"/>
        <w:ind w:left="0" w:firstLine="0"/>
        <w:jc w:val="left"/>
        <w:rPr>
          <w:rFonts w:ascii="Arial" w:eastAsia="Times New Roman" w:hAnsi="Arial" w:cs="Arial"/>
          <w:sz w:val="24"/>
          <w:szCs w:val="24"/>
          <w:lang w:eastAsia="cs-CZ"/>
        </w:rPr>
      </w:pPr>
    </w:p>
    <w:p w14:paraId="3F0EDC78" w14:textId="77777777" w:rsidR="00194196" w:rsidRPr="001474E6" w:rsidRDefault="00194196" w:rsidP="009055DF">
      <w:pPr>
        <w:spacing w:after="120"/>
        <w:ind w:left="567" w:firstLine="0"/>
        <w:rPr>
          <w:rFonts w:ascii="Arial" w:eastAsia="Times New Roman" w:hAnsi="Arial" w:cs="Arial"/>
          <w:strike/>
          <w:sz w:val="24"/>
          <w:szCs w:val="24"/>
          <w:lang w:eastAsia="cs-CZ"/>
        </w:rPr>
      </w:pPr>
    </w:p>
    <w:p w14:paraId="382CCA80" w14:textId="77777777" w:rsidR="00194196" w:rsidRPr="001474E6" w:rsidRDefault="00194196" w:rsidP="00194196">
      <w:pPr>
        <w:spacing w:before="600" w:after="600"/>
        <w:ind w:left="0" w:firstLine="0"/>
        <w:rPr>
          <w:rFonts w:ascii="Arial" w:eastAsia="Times New Roman" w:hAnsi="Arial" w:cs="Arial"/>
          <w:sz w:val="24"/>
          <w:szCs w:val="24"/>
          <w:lang w:eastAsia="cs-CZ"/>
        </w:rPr>
      </w:pPr>
      <w:r w:rsidRPr="001474E6">
        <w:rPr>
          <w:rFonts w:ascii="Arial" w:eastAsia="Times New Roman" w:hAnsi="Arial" w:cs="Arial"/>
          <w:sz w:val="24"/>
          <w:szCs w:val="24"/>
          <w:lang w:eastAsia="cs-CZ"/>
        </w:rPr>
        <w:t>V Olomouci dne .......................</w:t>
      </w:r>
      <w:r w:rsidRPr="001474E6">
        <w:rPr>
          <w:rFonts w:ascii="Arial" w:eastAsia="Times New Roman" w:hAnsi="Arial" w:cs="Arial"/>
          <w:sz w:val="24"/>
          <w:szCs w:val="24"/>
          <w:lang w:eastAsia="cs-CZ"/>
        </w:rPr>
        <w:tab/>
      </w:r>
      <w:r w:rsidRPr="001474E6">
        <w:rPr>
          <w:rFonts w:ascii="Arial" w:eastAsia="Times New Roman" w:hAnsi="Arial" w:cs="Arial"/>
          <w:sz w:val="24"/>
          <w:szCs w:val="24"/>
          <w:lang w:eastAsia="cs-CZ"/>
        </w:rPr>
        <w:tab/>
        <w:t xml:space="preserve">     V ................................ dne ......................</w:t>
      </w:r>
    </w:p>
    <w:tbl>
      <w:tblPr>
        <w:tblW w:w="0" w:type="auto"/>
        <w:tblCellMar>
          <w:left w:w="0" w:type="dxa"/>
          <w:right w:w="0" w:type="dxa"/>
        </w:tblCellMar>
        <w:tblLook w:val="0000" w:firstRow="0" w:lastRow="0" w:firstColumn="0" w:lastColumn="0" w:noHBand="0" w:noVBand="0"/>
      </w:tblPr>
      <w:tblGrid>
        <w:gridCol w:w="4606"/>
        <w:gridCol w:w="4606"/>
      </w:tblGrid>
      <w:tr w:rsidR="001474E6" w:rsidRPr="001474E6" w14:paraId="6E17AEF7" w14:textId="77777777" w:rsidTr="008C7AC3">
        <w:tc>
          <w:tcPr>
            <w:tcW w:w="4606" w:type="dxa"/>
            <w:tcMar>
              <w:top w:w="0" w:type="dxa"/>
              <w:left w:w="70" w:type="dxa"/>
              <w:bottom w:w="0" w:type="dxa"/>
              <w:right w:w="70" w:type="dxa"/>
            </w:tcMar>
          </w:tcPr>
          <w:p w14:paraId="29616159" w14:textId="77777777" w:rsidR="00194196" w:rsidRPr="001474E6" w:rsidRDefault="00194196" w:rsidP="008C7AC3">
            <w:pPr>
              <w:spacing w:before="40" w:after="40"/>
              <w:ind w:left="0" w:firstLine="0"/>
              <w:rPr>
                <w:rFonts w:ascii="Arial" w:eastAsia="Times New Roman" w:hAnsi="Arial" w:cs="Arial"/>
                <w:sz w:val="24"/>
                <w:szCs w:val="24"/>
                <w:lang w:eastAsia="cs-CZ"/>
              </w:rPr>
            </w:pPr>
            <w:r w:rsidRPr="001474E6">
              <w:rPr>
                <w:rFonts w:ascii="Arial" w:eastAsia="Times New Roman" w:hAnsi="Arial" w:cs="Arial"/>
                <w:sz w:val="24"/>
                <w:szCs w:val="24"/>
                <w:lang w:eastAsia="cs-CZ"/>
              </w:rPr>
              <w:t>Za poskytovatele:</w:t>
            </w:r>
          </w:p>
          <w:p w14:paraId="17E06CCD" w14:textId="77777777" w:rsidR="00194196" w:rsidRPr="001474E6" w:rsidRDefault="00194196" w:rsidP="008C7AC3">
            <w:pPr>
              <w:spacing w:before="40" w:after="40"/>
              <w:ind w:left="0" w:firstLine="0"/>
              <w:rPr>
                <w:rFonts w:ascii="Arial" w:eastAsia="Times New Roman" w:hAnsi="Arial" w:cs="Arial"/>
                <w:sz w:val="24"/>
                <w:szCs w:val="24"/>
                <w:lang w:eastAsia="cs-CZ"/>
              </w:rPr>
            </w:pPr>
          </w:p>
        </w:tc>
        <w:tc>
          <w:tcPr>
            <w:tcW w:w="4606" w:type="dxa"/>
            <w:tcMar>
              <w:top w:w="0" w:type="dxa"/>
              <w:left w:w="70" w:type="dxa"/>
              <w:bottom w:w="0" w:type="dxa"/>
              <w:right w:w="70" w:type="dxa"/>
            </w:tcMar>
          </w:tcPr>
          <w:p w14:paraId="17BAA34E" w14:textId="77777777" w:rsidR="00194196" w:rsidRPr="001474E6" w:rsidRDefault="00194196" w:rsidP="008C7AC3">
            <w:pPr>
              <w:spacing w:before="40" w:after="40"/>
              <w:ind w:left="0" w:firstLine="0"/>
              <w:rPr>
                <w:rFonts w:ascii="Arial" w:eastAsia="Times New Roman" w:hAnsi="Arial" w:cs="Arial"/>
                <w:sz w:val="24"/>
                <w:szCs w:val="24"/>
                <w:lang w:eastAsia="cs-CZ"/>
              </w:rPr>
            </w:pPr>
            <w:r w:rsidRPr="001474E6">
              <w:rPr>
                <w:rFonts w:ascii="Arial" w:eastAsia="Times New Roman" w:hAnsi="Arial" w:cs="Arial"/>
                <w:sz w:val="24"/>
                <w:szCs w:val="24"/>
                <w:lang w:eastAsia="cs-CZ"/>
              </w:rPr>
              <w:t>Za příjemce:</w:t>
            </w:r>
          </w:p>
        </w:tc>
      </w:tr>
      <w:tr w:rsidR="00194196" w:rsidRPr="001474E6" w14:paraId="3F07A59A" w14:textId="77777777" w:rsidTr="008C7AC3">
        <w:tc>
          <w:tcPr>
            <w:tcW w:w="4606" w:type="dxa"/>
            <w:tcMar>
              <w:top w:w="0" w:type="dxa"/>
              <w:left w:w="70" w:type="dxa"/>
              <w:bottom w:w="0" w:type="dxa"/>
              <w:right w:w="70" w:type="dxa"/>
            </w:tcMar>
          </w:tcPr>
          <w:p w14:paraId="1DA02C73" w14:textId="77777777" w:rsidR="00194196" w:rsidRPr="001474E6" w:rsidRDefault="00194196" w:rsidP="008C7AC3">
            <w:pPr>
              <w:ind w:left="0" w:firstLine="0"/>
              <w:jc w:val="center"/>
              <w:rPr>
                <w:rFonts w:ascii="Arial" w:eastAsia="Times New Roman" w:hAnsi="Arial" w:cs="Arial"/>
                <w:sz w:val="24"/>
                <w:szCs w:val="24"/>
                <w:lang w:eastAsia="cs-CZ"/>
              </w:rPr>
            </w:pPr>
            <w:r w:rsidRPr="001474E6">
              <w:rPr>
                <w:rFonts w:ascii="Arial" w:eastAsia="Times New Roman" w:hAnsi="Arial" w:cs="Arial"/>
                <w:sz w:val="24"/>
                <w:szCs w:val="24"/>
                <w:lang w:eastAsia="cs-CZ"/>
              </w:rPr>
              <w:t>……………………………..</w:t>
            </w:r>
          </w:p>
          <w:p w14:paraId="24D5EEDA" w14:textId="77777777" w:rsidR="00194196" w:rsidRPr="001474E6" w:rsidRDefault="00194196" w:rsidP="008C7AC3">
            <w:pPr>
              <w:ind w:left="0" w:firstLine="0"/>
              <w:jc w:val="center"/>
              <w:rPr>
                <w:rFonts w:ascii="Arial" w:eastAsia="Times New Roman" w:hAnsi="Arial" w:cs="Arial"/>
                <w:i/>
                <w:sz w:val="24"/>
                <w:szCs w:val="24"/>
                <w:lang w:eastAsia="cs-CZ"/>
              </w:rPr>
            </w:pPr>
            <w:r w:rsidRPr="001474E6">
              <w:rPr>
                <w:rFonts w:ascii="Arial" w:eastAsia="Times New Roman" w:hAnsi="Arial" w:cs="Arial"/>
                <w:i/>
                <w:sz w:val="24"/>
                <w:szCs w:val="24"/>
                <w:lang w:eastAsia="cs-CZ"/>
              </w:rPr>
              <w:t>jméno, funkce</w:t>
            </w:r>
          </w:p>
          <w:p w14:paraId="3E38E814" w14:textId="77777777" w:rsidR="00194196" w:rsidRPr="001474E6" w:rsidRDefault="00194196" w:rsidP="008C7AC3">
            <w:pPr>
              <w:ind w:left="0" w:firstLine="0"/>
              <w:rPr>
                <w:rFonts w:ascii="Arial" w:eastAsia="Times New Roman" w:hAnsi="Arial" w:cs="Arial"/>
                <w:i/>
                <w:iCs/>
                <w:sz w:val="24"/>
                <w:szCs w:val="24"/>
                <w:lang w:eastAsia="cs-CZ"/>
              </w:rPr>
            </w:pPr>
          </w:p>
        </w:tc>
        <w:tc>
          <w:tcPr>
            <w:tcW w:w="4606" w:type="dxa"/>
            <w:tcMar>
              <w:top w:w="0" w:type="dxa"/>
              <w:left w:w="70" w:type="dxa"/>
              <w:bottom w:w="0" w:type="dxa"/>
              <w:right w:w="70" w:type="dxa"/>
            </w:tcMar>
          </w:tcPr>
          <w:p w14:paraId="282C1AAA" w14:textId="77777777" w:rsidR="00194196" w:rsidRPr="001474E6" w:rsidRDefault="00194196" w:rsidP="008C7AC3">
            <w:pPr>
              <w:ind w:left="0" w:firstLine="0"/>
              <w:jc w:val="center"/>
              <w:rPr>
                <w:rFonts w:ascii="Arial" w:eastAsia="Times New Roman" w:hAnsi="Arial" w:cs="Arial"/>
                <w:sz w:val="24"/>
                <w:szCs w:val="24"/>
                <w:lang w:eastAsia="cs-CZ"/>
              </w:rPr>
            </w:pPr>
            <w:r w:rsidRPr="001474E6">
              <w:rPr>
                <w:rFonts w:ascii="Arial" w:eastAsia="Times New Roman" w:hAnsi="Arial" w:cs="Arial"/>
                <w:sz w:val="24"/>
                <w:szCs w:val="24"/>
                <w:lang w:eastAsia="cs-CZ"/>
              </w:rPr>
              <w:t>…………………………..</w:t>
            </w:r>
          </w:p>
        </w:tc>
      </w:tr>
    </w:tbl>
    <w:p w14:paraId="2368E77A" w14:textId="77777777" w:rsidR="00194196" w:rsidRPr="001474E6" w:rsidRDefault="00194196" w:rsidP="00194196">
      <w:pPr>
        <w:ind w:left="0" w:firstLine="0"/>
        <w:jc w:val="left"/>
        <w:rPr>
          <w:rFonts w:ascii="Arial" w:eastAsia="Times New Roman" w:hAnsi="Arial" w:cs="Arial"/>
          <w:sz w:val="24"/>
          <w:szCs w:val="24"/>
          <w:lang w:eastAsia="cs-CZ"/>
        </w:rPr>
      </w:pPr>
    </w:p>
    <w:p w14:paraId="0A8507B1" w14:textId="77777777" w:rsidR="00857DD7" w:rsidRPr="001474E6" w:rsidRDefault="00857DD7"/>
    <w:sectPr w:rsidR="00857DD7" w:rsidRPr="001474E6">
      <w:headerReference w:type="even" r:id="rId9"/>
      <w:headerReference w:type="default" r:id="rId10"/>
      <w:footerReference w:type="even" r:id="rId11"/>
      <w:footerReference w:type="default" r:id="rId12"/>
      <w:headerReference w:type="first" r:id="rId13"/>
      <w:footerReference w:type="first" r:id="rId14"/>
      <w:pgSz w:w="11906" w:h="16838"/>
      <w:pgMar w:top="1417" w:right="1417" w:bottom="1417" w:left="1417" w:header="708" w:footer="708" w:gutter="0"/>
      <w:cols w:space="708"/>
      <w:docGrid w:linePitch="360"/>
    </w:sectPr>
  </w:body>
</w:document>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8E8FCF1" w15:done="0"/>
  <w15:commentEx w15:paraId="7D3C979E"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9DCD128" w14:textId="77777777" w:rsidR="00812BBE" w:rsidRDefault="00812BBE" w:rsidP="00DE7C83">
      <w:r>
        <w:separator/>
      </w:r>
    </w:p>
  </w:endnote>
  <w:endnote w:type="continuationSeparator" w:id="0">
    <w:p w14:paraId="33BB9C23" w14:textId="77777777" w:rsidR="00812BBE" w:rsidRDefault="00812BBE" w:rsidP="00DE7C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82A2ADC" w14:textId="77777777" w:rsidR="004101A5" w:rsidRDefault="004101A5">
    <w:pPr>
      <w:pStyle w:val="Zpat"/>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3CB1629" w14:textId="38B30D97" w:rsidR="00DE7C83" w:rsidRPr="001B617F" w:rsidRDefault="004101A5" w:rsidP="00DE7C83">
    <w:pPr>
      <w:pBdr>
        <w:top w:val="single" w:sz="4" w:space="1" w:color="auto"/>
      </w:pBdr>
      <w:tabs>
        <w:tab w:val="center" w:pos="4536"/>
        <w:tab w:val="right" w:pos="9072"/>
      </w:tabs>
      <w:spacing w:line="276" w:lineRule="auto"/>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Zastupitelstvo</w:t>
    </w:r>
    <w:r w:rsidR="00DE7C83" w:rsidRPr="001B617F">
      <w:rPr>
        <w:rFonts w:ascii="Arial" w:eastAsia="Times New Roman" w:hAnsi="Arial" w:cs="Arial"/>
        <w:i/>
        <w:sz w:val="20"/>
        <w:szCs w:val="20"/>
        <w:lang w:eastAsia="cs-CZ"/>
      </w:rPr>
      <w:t xml:space="preserve"> Olomouckého kraje </w:t>
    </w:r>
    <w:r>
      <w:rPr>
        <w:rFonts w:ascii="Arial" w:eastAsia="Times New Roman" w:hAnsi="Arial" w:cs="Arial"/>
        <w:i/>
        <w:sz w:val="20"/>
        <w:szCs w:val="20"/>
        <w:lang w:eastAsia="cs-CZ"/>
      </w:rPr>
      <w:t>24</w:t>
    </w:r>
    <w:r w:rsidR="00B55114">
      <w:rPr>
        <w:rFonts w:ascii="Arial" w:eastAsia="Times New Roman" w:hAnsi="Arial" w:cs="Arial"/>
        <w:i/>
        <w:sz w:val="20"/>
        <w:szCs w:val="20"/>
        <w:lang w:eastAsia="cs-CZ"/>
      </w:rPr>
      <w:t>.</w:t>
    </w:r>
    <w:r w:rsidR="00DE7C83">
      <w:rPr>
        <w:rFonts w:ascii="Arial" w:eastAsia="Times New Roman" w:hAnsi="Arial" w:cs="Arial"/>
        <w:i/>
        <w:sz w:val="20"/>
        <w:szCs w:val="20"/>
        <w:lang w:eastAsia="cs-CZ"/>
      </w:rPr>
      <w:t xml:space="preserve"> </w:t>
    </w:r>
    <w:r>
      <w:rPr>
        <w:rFonts w:ascii="Arial" w:eastAsia="Times New Roman" w:hAnsi="Arial" w:cs="Arial"/>
        <w:i/>
        <w:sz w:val="20"/>
        <w:szCs w:val="20"/>
        <w:lang w:eastAsia="cs-CZ"/>
      </w:rPr>
      <w:t>6</w:t>
    </w:r>
    <w:r w:rsidR="00DE7C83" w:rsidRPr="001B617F">
      <w:rPr>
        <w:rFonts w:ascii="Arial" w:eastAsia="Times New Roman" w:hAnsi="Arial" w:cs="Arial"/>
        <w:i/>
        <w:sz w:val="20"/>
        <w:szCs w:val="20"/>
        <w:lang w:eastAsia="cs-CZ"/>
      </w:rPr>
      <w:t>. 201</w:t>
    </w:r>
    <w:r w:rsidR="00D70A4E">
      <w:rPr>
        <w:rFonts w:ascii="Arial" w:eastAsia="Times New Roman" w:hAnsi="Arial" w:cs="Arial"/>
        <w:i/>
        <w:sz w:val="20"/>
        <w:szCs w:val="20"/>
        <w:lang w:eastAsia="cs-CZ"/>
      </w:rPr>
      <w:t>6</w:t>
    </w:r>
    <w:r w:rsidR="00DE7C83" w:rsidRPr="001B617F">
      <w:rPr>
        <w:rFonts w:ascii="Arial" w:eastAsia="Times New Roman" w:hAnsi="Arial" w:cs="Arial"/>
        <w:i/>
        <w:sz w:val="20"/>
        <w:szCs w:val="20"/>
        <w:lang w:eastAsia="cs-CZ"/>
      </w:rPr>
      <w:tab/>
    </w:r>
    <w:r w:rsidR="00DE7C83" w:rsidRPr="001B617F">
      <w:rPr>
        <w:rFonts w:ascii="Arial" w:eastAsia="Times New Roman" w:hAnsi="Arial" w:cs="Arial"/>
        <w:i/>
        <w:sz w:val="20"/>
        <w:szCs w:val="20"/>
        <w:lang w:eastAsia="cs-CZ"/>
      </w:rPr>
      <w:tab/>
      <w:t xml:space="preserve">Strana </w:t>
    </w:r>
    <w:r w:rsidR="00DE7C83" w:rsidRPr="001B617F">
      <w:rPr>
        <w:rFonts w:ascii="Arial" w:eastAsia="Times New Roman" w:hAnsi="Arial" w:cs="Arial"/>
        <w:i/>
        <w:sz w:val="20"/>
        <w:szCs w:val="20"/>
        <w:lang w:eastAsia="cs-CZ"/>
      </w:rPr>
      <w:fldChar w:fldCharType="begin"/>
    </w:r>
    <w:r w:rsidR="00DE7C83" w:rsidRPr="001B617F">
      <w:rPr>
        <w:rFonts w:ascii="Arial" w:eastAsia="Times New Roman" w:hAnsi="Arial" w:cs="Arial"/>
        <w:i/>
        <w:sz w:val="20"/>
        <w:szCs w:val="20"/>
        <w:lang w:eastAsia="cs-CZ"/>
      </w:rPr>
      <w:instrText xml:space="preserve"> PAGE </w:instrText>
    </w:r>
    <w:r w:rsidR="00DE7C83" w:rsidRPr="001B617F">
      <w:rPr>
        <w:rFonts w:ascii="Arial" w:eastAsia="Times New Roman" w:hAnsi="Arial" w:cs="Arial"/>
        <w:i/>
        <w:sz w:val="20"/>
        <w:szCs w:val="20"/>
        <w:lang w:eastAsia="cs-CZ"/>
      </w:rPr>
      <w:fldChar w:fldCharType="separate"/>
    </w:r>
    <w:r w:rsidR="00C656B0">
      <w:rPr>
        <w:rFonts w:ascii="Arial" w:eastAsia="Times New Roman" w:hAnsi="Arial" w:cs="Arial"/>
        <w:i/>
        <w:noProof/>
        <w:sz w:val="20"/>
        <w:szCs w:val="20"/>
        <w:lang w:eastAsia="cs-CZ"/>
      </w:rPr>
      <w:t>1</w:t>
    </w:r>
    <w:r w:rsidR="00DE7C83" w:rsidRPr="001B617F">
      <w:rPr>
        <w:rFonts w:ascii="Arial" w:eastAsia="Times New Roman" w:hAnsi="Arial" w:cs="Arial"/>
        <w:i/>
        <w:sz w:val="20"/>
        <w:szCs w:val="20"/>
        <w:lang w:eastAsia="cs-CZ"/>
      </w:rPr>
      <w:fldChar w:fldCharType="end"/>
    </w:r>
    <w:r w:rsidR="00DE7C83" w:rsidRPr="001B617F">
      <w:rPr>
        <w:rFonts w:ascii="Arial" w:eastAsia="Times New Roman" w:hAnsi="Arial" w:cs="Arial"/>
        <w:i/>
        <w:sz w:val="20"/>
        <w:szCs w:val="20"/>
        <w:lang w:eastAsia="cs-CZ"/>
      </w:rPr>
      <w:t xml:space="preserve"> (celkem </w:t>
    </w:r>
    <w:r w:rsidR="00DE7C83" w:rsidRPr="001B617F">
      <w:rPr>
        <w:rFonts w:ascii="Arial" w:eastAsia="Times New Roman" w:hAnsi="Arial" w:cs="Arial"/>
        <w:i/>
        <w:sz w:val="20"/>
        <w:szCs w:val="20"/>
        <w:lang w:eastAsia="cs-CZ"/>
      </w:rPr>
      <w:fldChar w:fldCharType="begin"/>
    </w:r>
    <w:r w:rsidR="00DE7C83" w:rsidRPr="001B617F">
      <w:rPr>
        <w:rFonts w:ascii="Arial" w:eastAsia="Times New Roman" w:hAnsi="Arial" w:cs="Arial"/>
        <w:i/>
        <w:sz w:val="20"/>
        <w:szCs w:val="20"/>
        <w:lang w:eastAsia="cs-CZ"/>
      </w:rPr>
      <w:instrText xml:space="preserve"> NUMPAGES </w:instrText>
    </w:r>
    <w:r w:rsidR="00DE7C83" w:rsidRPr="001B617F">
      <w:rPr>
        <w:rFonts w:ascii="Arial" w:eastAsia="Times New Roman" w:hAnsi="Arial" w:cs="Arial"/>
        <w:i/>
        <w:sz w:val="20"/>
        <w:szCs w:val="20"/>
        <w:lang w:eastAsia="cs-CZ"/>
      </w:rPr>
      <w:fldChar w:fldCharType="separate"/>
    </w:r>
    <w:r w:rsidR="00C656B0">
      <w:rPr>
        <w:rFonts w:ascii="Arial" w:eastAsia="Times New Roman" w:hAnsi="Arial" w:cs="Arial"/>
        <w:i/>
        <w:noProof/>
        <w:sz w:val="20"/>
        <w:szCs w:val="20"/>
        <w:lang w:eastAsia="cs-CZ"/>
      </w:rPr>
      <w:t>8</w:t>
    </w:r>
    <w:r w:rsidR="00DE7C83" w:rsidRPr="001B617F">
      <w:rPr>
        <w:rFonts w:ascii="Arial" w:eastAsia="Times New Roman" w:hAnsi="Arial" w:cs="Arial"/>
        <w:i/>
        <w:sz w:val="20"/>
        <w:szCs w:val="20"/>
        <w:lang w:eastAsia="cs-CZ"/>
      </w:rPr>
      <w:fldChar w:fldCharType="end"/>
    </w:r>
    <w:r w:rsidR="00DE7C83" w:rsidRPr="001B617F">
      <w:rPr>
        <w:rFonts w:ascii="Arial" w:eastAsia="Times New Roman" w:hAnsi="Arial" w:cs="Arial"/>
        <w:i/>
        <w:sz w:val="20"/>
        <w:szCs w:val="20"/>
        <w:lang w:eastAsia="cs-CZ"/>
      </w:rPr>
      <w:t>)</w:t>
    </w:r>
  </w:p>
  <w:p w14:paraId="311DF3F8" w14:textId="4C00B002" w:rsidR="00DE7C83" w:rsidRDefault="00C656B0" w:rsidP="00DE7C83">
    <w:pPr>
      <w:pBdr>
        <w:top w:val="single" w:sz="4" w:space="1" w:color="auto"/>
      </w:pBdr>
      <w:tabs>
        <w:tab w:val="center" w:pos="4536"/>
        <w:tab w:val="right" w:pos="9072"/>
      </w:tabs>
      <w:spacing w:line="276" w:lineRule="auto"/>
      <w:ind w:left="0" w:firstLine="0"/>
      <w:jc w:val="left"/>
      <w:rPr>
        <w:rFonts w:ascii="Arial" w:eastAsia="Times New Roman" w:hAnsi="Arial" w:cs="Arial"/>
        <w:i/>
        <w:sz w:val="20"/>
        <w:szCs w:val="20"/>
        <w:lang w:eastAsia="cs-CZ"/>
      </w:rPr>
    </w:pPr>
    <w:r>
      <w:rPr>
        <w:rFonts w:ascii="Arial" w:eastAsia="Times New Roman" w:hAnsi="Arial" w:cs="Arial"/>
        <w:i/>
        <w:sz w:val="20"/>
        <w:szCs w:val="20"/>
        <w:lang w:eastAsia="cs-CZ"/>
      </w:rPr>
      <w:t>27</w:t>
    </w:r>
    <w:bookmarkStart w:id="0" w:name="_GoBack"/>
    <w:bookmarkEnd w:id="0"/>
    <w:r w:rsidR="001F2458">
      <w:rPr>
        <w:rFonts w:ascii="Arial" w:eastAsia="Times New Roman" w:hAnsi="Arial" w:cs="Arial"/>
        <w:i/>
        <w:sz w:val="20"/>
        <w:szCs w:val="20"/>
        <w:lang w:eastAsia="cs-CZ"/>
      </w:rPr>
      <w:t>.</w:t>
    </w:r>
    <w:r w:rsidR="00DE7C83">
      <w:rPr>
        <w:rFonts w:ascii="Arial" w:eastAsia="Times New Roman" w:hAnsi="Arial" w:cs="Arial"/>
        <w:i/>
        <w:sz w:val="20"/>
        <w:szCs w:val="20"/>
        <w:lang w:eastAsia="cs-CZ"/>
      </w:rPr>
      <w:t>–</w:t>
    </w:r>
    <w:r w:rsidR="00DE7C83" w:rsidRPr="001B617F">
      <w:rPr>
        <w:rFonts w:ascii="Arial" w:eastAsia="Times New Roman" w:hAnsi="Arial" w:cs="Arial"/>
        <w:i/>
        <w:sz w:val="20"/>
        <w:szCs w:val="20"/>
        <w:lang w:eastAsia="cs-CZ"/>
      </w:rPr>
      <w:t xml:space="preserve"> </w:t>
    </w:r>
    <w:r w:rsidR="00DE7C83">
      <w:rPr>
        <w:rFonts w:ascii="Arial" w:eastAsia="Times New Roman" w:hAnsi="Arial" w:cs="Arial"/>
        <w:i/>
        <w:sz w:val="20"/>
        <w:szCs w:val="20"/>
        <w:lang w:eastAsia="cs-CZ"/>
      </w:rPr>
      <w:t>Program</w:t>
    </w:r>
    <w:r w:rsidR="00D70A4E">
      <w:rPr>
        <w:rFonts w:ascii="Arial" w:eastAsia="Times New Roman" w:hAnsi="Arial" w:cs="Arial"/>
        <w:i/>
        <w:sz w:val="20"/>
        <w:szCs w:val="20"/>
        <w:lang w:eastAsia="cs-CZ"/>
      </w:rPr>
      <w:t xml:space="preserve"> pro oblast protidrogové prevence</w:t>
    </w:r>
    <w:r w:rsidR="00DE7C83">
      <w:rPr>
        <w:rFonts w:ascii="Arial" w:eastAsia="Times New Roman" w:hAnsi="Arial" w:cs="Arial"/>
        <w:i/>
        <w:sz w:val="20"/>
        <w:szCs w:val="20"/>
        <w:lang w:eastAsia="cs-CZ"/>
      </w:rPr>
      <w:t xml:space="preserve"> pro rok 2016</w:t>
    </w:r>
    <w:r w:rsidR="001474E6">
      <w:rPr>
        <w:rFonts w:ascii="Arial" w:eastAsia="Times New Roman" w:hAnsi="Arial" w:cs="Arial"/>
        <w:i/>
        <w:sz w:val="20"/>
        <w:szCs w:val="20"/>
        <w:lang w:eastAsia="cs-CZ"/>
      </w:rPr>
      <w:t xml:space="preserve"> </w:t>
    </w:r>
    <w:r w:rsidR="002B3278">
      <w:rPr>
        <w:rFonts w:ascii="Arial" w:eastAsia="Times New Roman" w:hAnsi="Arial" w:cs="Arial"/>
        <w:i/>
        <w:sz w:val="20"/>
        <w:szCs w:val="20"/>
        <w:lang w:eastAsia="cs-CZ"/>
      </w:rPr>
      <w:t>- vyh</w:t>
    </w:r>
    <w:r w:rsidR="007875A0">
      <w:rPr>
        <w:rFonts w:ascii="Arial" w:eastAsia="Times New Roman" w:hAnsi="Arial" w:cs="Arial"/>
        <w:i/>
        <w:sz w:val="20"/>
        <w:szCs w:val="20"/>
        <w:lang w:eastAsia="cs-CZ"/>
      </w:rPr>
      <w:t>odnocení</w:t>
    </w:r>
  </w:p>
  <w:p w14:paraId="65253919" w14:textId="77777777" w:rsidR="00A0046C" w:rsidRPr="001B617F" w:rsidRDefault="00AA729D" w:rsidP="00A0046C">
    <w:pPr>
      <w:widowControl w:val="0"/>
      <w:spacing w:after="120"/>
      <w:ind w:left="0" w:firstLine="0"/>
      <w:rPr>
        <w:rFonts w:ascii="Arial" w:eastAsia="Times New Roman" w:hAnsi="Arial" w:cs="Times New Roman"/>
        <w:bCs/>
        <w:i/>
        <w:sz w:val="20"/>
        <w:szCs w:val="20"/>
      </w:rPr>
    </w:pPr>
    <w:r>
      <w:rPr>
        <w:rFonts w:ascii="Arial" w:eastAsia="Times New Roman" w:hAnsi="Arial" w:cs="Times New Roman"/>
        <w:bCs/>
        <w:i/>
        <w:sz w:val="20"/>
        <w:szCs w:val="20"/>
      </w:rPr>
      <w:t>Příloha č</w:t>
    </w:r>
    <w:r w:rsidR="007726DE">
      <w:rPr>
        <w:rFonts w:ascii="Arial" w:eastAsia="Times New Roman" w:hAnsi="Arial" w:cs="Times New Roman"/>
        <w:bCs/>
        <w:i/>
        <w:sz w:val="20"/>
        <w:szCs w:val="20"/>
      </w:rPr>
      <w:t>.</w:t>
    </w:r>
    <w:r w:rsidR="00132CCF">
      <w:rPr>
        <w:rFonts w:ascii="Arial" w:eastAsia="Times New Roman" w:hAnsi="Arial" w:cs="Times New Roman"/>
        <w:bCs/>
        <w:i/>
        <w:sz w:val="20"/>
        <w:szCs w:val="20"/>
      </w:rPr>
      <w:t>6</w:t>
    </w:r>
    <w:r w:rsidR="00FD4328">
      <w:rPr>
        <w:rFonts w:ascii="Arial" w:eastAsia="Times New Roman" w:hAnsi="Arial" w:cs="Times New Roman"/>
        <w:bCs/>
        <w:i/>
        <w:sz w:val="20"/>
        <w:szCs w:val="20"/>
      </w:rPr>
      <w:t xml:space="preserve"> </w:t>
    </w:r>
    <w:r w:rsidR="00A0046C" w:rsidRPr="001B617F">
      <w:rPr>
        <w:rFonts w:ascii="Arial" w:eastAsia="Times New Roman" w:hAnsi="Arial" w:cs="Times New Roman"/>
        <w:bCs/>
        <w:i/>
        <w:sz w:val="20"/>
        <w:szCs w:val="20"/>
      </w:rPr>
      <w:t xml:space="preserve">– </w:t>
    </w:r>
    <w:r w:rsidR="00A0046C">
      <w:rPr>
        <w:rFonts w:ascii="Arial" w:eastAsia="Times New Roman" w:hAnsi="Arial" w:cs="Times New Roman"/>
        <w:bCs/>
        <w:i/>
        <w:sz w:val="20"/>
        <w:szCs w:val="20"/>
      </w:rPr>
      <w:t>Vzor</w:t>
    </w:r>
    <w:r w:rsidR="00B55114" w:rsidRPr="00B55114">
      <w:rPr>
        <w:rFonts w:ascii="Arial" w:eastAsia="Times New Roman" w:hAnsi="Arial" w:cs="Times New Roman"/>
        <w:bCs/>
        <w:i/>
        <w:sz w:val="20"/>
        <w:szCs w:val="20"/>
      </w:rPr>
      <w:t xml:space="preserve"> </w:t>
    </w:r>
    <w:r w:rsidR="00B55114" w:rsidRPr="0090142F">
      <w:rPr>
        <w:rFonts w:ascii="Arial" w:eastAsia="Times New Roman" w:hAnsi="Arial" w:cs="Times New Roman"/>
        <w:bCs/>
        <w:i/>
        <w:sz w:val="20"/>
        <w:szCs w:val="20"/>
      </w:rPr>
      <w:t xml:space="preserve">Veřejnoprávní smlouvy o poskytnutí dotace na činnost v rámci Programu </w:t>
    </w:r>
    <w:r w:rsidR="00D70A4E" w:rsidRPr="00D70A4E">
      <w:rPr>
        <w:rFonts w:ascii="Arial" w:eastAsia="Times New Roman" w:hAnsi="Arial" w:cs="Times New Roman"/>
        <w:bCs/>
        <w:i/>
        <w:sz w:val="20"/>
        <w:szCs w:val="20"/>
      </w:rPr>
      <w:t>pro oblast protidrogové prevence</w:t>
    </w:r>
    <w:r w:rsidR="007875A0">
      <w:rPr>
        <w:rFonts w:ascii="Arial" w:eastAsia="Times New Roman" w:hAnsi="Arial" w:cs="Times New Roman"/>
        <w:bCs/>
        <w:i/>
        <w:sz w:val="20"/>
        <w:szCs w:val="20"/>
      </w:rPr>
      <w:t xml:space="preserve"> pro rok 2016</w:t>
    </w:r>
    <w:r w:rsidR="00D70A4E" w:rsidRPr="00D70A4E">
      <w:rPr>
        <w:rFonts w:ascii="Arial" w:eastAsia="Times New Roman" w:hAnsi="Arial" w:cs="Times New Roman"/>
        <w:bCs/>
        <w:i/>
        <w:sz w:val="20"/>
        <w:szCs w:val="20"/>
      </w:rPr>
      <w:t xml:space="preserve"> </w:t>
    </w:r>
  </w:p>
  <w:p w14:paraId="600C6346" w14:textId="77777777" w:rsidR="00DE7C83" w:rsidRDefault="00DE7C83" w:rsidP="00DE7C83">
    <w:pPr>
      <w:pStyle w:val="Zpat"/>
    </w:pPr>
  </w:p>
  <w:p w14:paraId="5649638C" w14:textId="77777777" w:rsidR="00DE7C83" w:rsidRDefault="00DE7C83">
    <w:pPr>
      <w:pStyle w:val="Zpat"/>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9FE8B92" w14:textId="77777777" w:rsidR="004101A5" w:rsidRDefault="004101A5">
    <w:pPr>
      <w:pStyle w:val="Zpa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ADF1B4" w14:textId="77777777" w:rsidR="00812BBE" w:rsidRDefault="00812BBE" w:rsidP="00DE7C83">
      <w:r>
        <w:separator/>
      </w:r>
    </w:p>
  </w:footnote>
  <w:footnote w:type="continuationSeparator" w:id="0">
    <w:p w14:paraId="73D40CC8" w14:textId="77777777" w:rsidR="00812BBE" w:rsidRDefault="00812BBE" w:rsidP="00DE7C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46C1ABC" w14:textId="77777777" w:rsidR="004101A5" w:rsidRDefault="004101A5">
    <w:pPr>
      <w:pStyle w:val="Zhlav"/>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2B4FA84" w14:textId="77777777" w:rsidR="00DE7C83" w:rsidRPr="001B617F" w:rsidRDefault="00AA729D" w:rsidP="00DE7C83">
    <w:pPr>
      <w:widowControl w:val="0"/>
      <w:spacing w:after="120"/>
      <w:ind w:left="0" w:firstLine="0"/>
      <w:rPr>
        <w:rFonts w:ascii="Arial" w:eastAsia="Times New Roman" w:hAnsi="Arial" w:cs="Times New Roman"/>
        <w:bCs/>
        <w:i/>
        <w:sz w:val="20"/>
        <w:szCs w:val="20"/>
      </w:rPr>
    </w:pPr>
    <w:r>
      <w:rPr>
        <w:rFonts w:ascii="Arial" w:eastAsia="Times New Roman" w:hAnsi="Arial" w:cs="Times New Roman"/>
        <w:bCs/>
        <w:i/>
        <w:sz w:val="20"/>
        <w:szCs w:val="20"/>
      </w:rPr>
      <w:t>Příloha č.</w:t>
    </w:r>
    <w:r w:rsidR="001F2458">
      <w:rPr>
        <w:rFonts w:ascii="Arial" w:eastAsia="Times New Roman" w:hAnsi="Arial" w:cs="Times New Roman"/>
        <w:bCs/>
        <w:i/>
        <w:sz w:val="20"/>
        <w:szCs w:val="20"/>
      </w:rPr>
      <w:t xml:space="preserve"> </w:t>
    </w:r>
    <w:r w:rsidR="00A81F09">
      <w:rPr>
        <w:rFonts w:ascii="Arial" w:eastAsia="Times New Roman" w:hAnsi="Arial" w:cs="Times New Roman"/>
        <w:bCs/>
        <w:i/>
        <w:sz w:val="20"/>
        <w:szCs w:val="20"/>
      </w:rPr>
      <w:t>6</w:t>
    </w:r>
    <w:r w:rsidR="00E80B8A">
      <w:rPr>
        <w:rFonts w:ascii="Arial" w:eastAsia="Times New Roman" w:hAnsi="Arial" w:cs="Times New Roman"/>
        <w:bCs/>
        <w:i/>
        <w:sz w:val="20"/>
        <w:szCs w:val="20"/>
      </w:rPr>
      <w:t xml:space="preserve"> </w:t>
    </w:r>
    <w:r w:rsidR="00DE7C83" w:rsidRPr="001B617F">
      <w:rPr>
        <w:rFonts w:ascii="Arial" w:eastAsia="Times New Roman" w:hAnsi="Arial" w:cs="Times New Roman"/>
        <w:bCs/>
        <w:i/>
        <w:sz w:val="20"/>
        <w:szCs w:val="20"/>
      </w:rPr>
      <w:t xml:space="preserve">– </w:t>
    </w:r>
    <w:r w:rsidR="0090142F" w:rsidRPr="0090142F">
      <w:rPr>
        <w:rFonts w:ascii="Arial" w:eastAsia="Times New Roman" w:hAnsi="Arial" w:cs="Times New Roman"/>
        <w:bCs/>
        <w:i/>
        <w:sz w:val="20"/>
        <w:szCs w:val="20"/>
      </w:rPr>
      <w:t xml:space="preserve">Vzor Veřejnoprávní smlouvy o poskytnutí dotace na činnost v rámci Programu </w:t>
    </w:r>
    <w:r w:rsidR="00D70A4E">
      <w:rPr>
        <w:rFonts w:ascii="Arial" w:eastAsia="Times New Roman" w:hAnsi="Arial" w:cs="Times New Roman"/>
        <w:bCs/>
        <w:i/>
        <w:sz w:val="20"/>
        <w:szCs w:val="20"/>
      </w:rPr>
      <w:t>pro oblast protidrogové prevence</w:t>
    </w:r>
    <w:r w:rsidR="007875A0">
      <w:rPr>
        <w:rFonts w:ascii="Arial" w:eastAsia="Times New Roman" w:hAnsi="Arial" w:cs="Times New Roman"/>
        <w:bCs/>
        <w:i/>
        <w:sz w:val="20"/>
        <w:szCs w:val="20"/>
      </w:rPr>
      <w:t xml:space="preserve"> pro rok 2016</w:t>
    </w:r>
    <w:r w:rsidR="00D70A4E">
      <w:rPr>
        <w:rFonts w:ascii="Arial" w:eastAsia="Times New Roman" w:hAnsi="Arial" w:cs="Times New Roman"/>
        <w:bCs/>
        <w:i/>
        <w:sz w:val="20"/>
        <w:szCs w:val="20"/>
      </w:rPr>
      <w:t xml:space="preserve"> </w:t>
    </w:r>
  </w:p>
  <w:p w14:paraId="73FB4077" w14:textId="77777777" w:rsidR="00DE7C83" w:rsidRDefault="00DE7C83">
    <w:pPr>
      <w:pStyle w:val="Zhlav"/>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91CE40F" w14:textId="77777777" w:rsidR="004101A5" w:rsidRDefault="004101A5">
    <w:pPr>
      <w:pStyle w:val="Zhlav"/>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147776"/>
    <w:multiLevelType w:val="multilevel"/>
    <w:tmpl w:val="D34C9A40"/>
    <w:lvl w:ilvl="0">
      <w:start w:val="1"/>
      <w:numFmt w:val="lowerLetter"/>
      <w:lvlText w:val="%1)"/>
      <w:lvlJc w:val="left"/>
      <w:pPr>
        <w:tabs>
          <w:tab w:val="num" w:pos="360"/>
        </w:tabs>
        <w:ind w:left="360" w:hanging="360"/>
      </w:pPr>
      <w:rPr>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abstractNum w:abstractNumId="1">
    <w:nsid w:val="0DB17CAA"/>
    <w:multiLevelType w:val="multilevel"/>
    <w:tmpl w:val="83340862"/>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2">
    <w:nsid w:val="31526026"/>
    <w:multiLevelType w:val="multilevel"/>
    <w:tmpl w:val="67C2EB3E"/>
    <w:lvl w:ilvl="0">
      <w:start w:val="1"/>
      <w:numFmt w:val="decimal"/>
      <w:lvlText w:val="%1."/>
      <w:lvlJc w:val="left"/>
      <w:pPr>
        <w:tabs>
          <w:tab w:val="num" w:pos="567"/>
        </w:tabs>
        <w:ind w:left="567" w:hanging="567"/>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hint="default"/>
        <w:b w:val="0"/>
        <w:i w:val="0"/>
        <w:caps w:val="0"/>
        <w:strike w:val="0"/>
        <w:dstrike w:val="0"/>
        <w:vanish w:val="0"/>
        <w:color w:val="auto"/>
        <w:sz w:val="24"/>
        <w:szCs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hint="default"/>
        <w:b w:val="0"/>
        <w:i w:val="0"/>
        <w:caps w:val="0"/>
        <w:strike w:val="0"/>
        <w:dstrike w:val="0"/>
        <w:vanish w:val="0"/>
        <w:color w:val="auto"/>
        <w:sz w:val="24"/>
        <w:u w:val="none"/>
        <w:vertAlign w:val="baseline"/>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rPr>
        <w:rFonts w:hint="default"/>
      </w:rPr>
    </w:lvl>
    <w:lvl w:ilvl="4">
      <w:start w:val="1"/>
      <w:numFmt w:val="decimal"/>
      <w:lvlText w:val="%1.%2.%3.%4.%5."/>
      <w:lvlJc w:val="left"/>
      <w:pPr>
        <w:tabs>
          <w:tab w:val="num" w:pos="3600"/>
        </w:tabs>
        <w:ind w:left="2232" w:hanging="792"/>
      </w:pPr>
      <w:rPr>
        <w:rFonts w:hint="default"/>
      </w:rPr>
    </w:lvl>
    <w:lvl w:ilvl="5">
      <w:start w:val="1"/>
      <w:numFmt w:val="decimal"/>
      <w:lvlText w:val="%1.%2.%3.%4.%5.%6."/>
      <w:lvlJc w:val="left"/>
      <w:pPr>
        <w:tabs>
          <w:tab w:val="num" w:pos="4320"/>
        </w:tabs>
        <w:ind w:left="2736" w:hanging="936"/>
      </w:pPr>
      <w:rPr>
        <w:rFonts w:hint="default"/>
      </w:rPr>
    </w:lvl>
    <w:lvl w:ilvl="6">
      <w:start w:val="1"/>
      <w:numFmt w:val="decimal"/>
      <w:lvlText w:val="%1.%2.%3.%4.%5.%6.%7."/>
      <w:lvlJc w:val="left"/>
      <w:pPr>
        <w:tabs>
          <w:tab w:val="num" w:pos="5040"/>
        </w:tabs>
        <w:ind w:left="3240" w:hanging="1080"/>
      </w:pPr>
      <w:rPr>
        <w:rFonts w:hint="default"/>
      </w:rPr>
    </w:lvl>
    <w:lvl w:ilvl="7">
      <w:start w:val="1"/>
      <w:numFmt w:val="decimal"/>
      <w:lvlText w:val="%1.%2.%3.%4.%5.%6.%7.%8."/>
      <w:lvlJc w:val="left"/>
      <w:pPr>
        <w:tabs>
          <w:tab w:val="num" w:pos="6120"/>
        </w:tabs>
        <w:ind w:left="3744" w:hanging="1224"/>
      </w:pPr>
      <w:rPr>
        <w:rFonts w:hint="default"/>
      </w:rPr>
    </w:lvl>
    <w:lvl w:ilvl="8">
      <w:start w:val="1"/>
      <w:numFmt w:val="decimal"/>
      <w:lvlText w:val="%1.%2.%3.%4.%5.%6.%7.%8.%9."/>
      <w:lvlJc w:val="left"/>
      <w:pPr>
        <w:tabs>
          <w:tab w:val="num" w:pos="6840"/>
        </w:tabs>
        <w:ind w:left="4320" w:hanging="1440"/>
      </w:pPr>
      <w:rPr>
        <w:rFonts w:hint="default"/>
      </w:rPr>
    </w:lvl>
  </w:abstractNum>
  <w:abstractNum w:abstractNumId="3">
    <w:nsid w:val="4B7F0AEA"/>
    <w:multiLevelType w:val="hybridMultilevel"/>
    <w:tmpl w:val="544A1A04"/>
    <w:lvl w:ilvl="0" w:tplc="FC028E10">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nsid w:val="681B22D9"/>
    <w:multiLevelType w:val="multilevel"/>
    <w:tmpl w:val="67C2EB3E"/>
    <w:lvl w:ilvl="0">
      <w:start w:val="1"/>
      <w:numFmt w:val="decimal"/>
      <w:lvlText w:val="%1."/>
      <w:lvlJc w:val="left"/>
      <w:pPr>
        <w:tabs>
          <w:tab w:val="num" w:pos="567"/>
        </w:tabs>
        <w:ind w:left="567" w:hanging="567"/>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1">
      <w:start w:val="1"/>
      <w:numFmt w:val="decimal"/>
      <w:lvlText w:val="%1.%2."/>
      <w:lvlJc w:val="left"/>
      <w:pPr>
        <w:tabs>
          <w:tab w:val="num" w:pos="1134"/>
        </w:tabs>
        <w:ind w:left="1134" w:hanging="567"/>
      </w:pPr>
      <w:rPr>
        <w:rFonts w:ascii="Arial" w:hAnsi="Arial" w:cs="Times New Roman" w:hint="default"/>
        <w:b w:val="0"/>
        <w:i w:val="0"/>
        <w:caps w:val="0"/>
        <w:strike w:val="0"/>
        <w:dstrike w:val="0"/>
        <w:vanish w:val="0"/>
        <w:webHidden w:val="0"/>
        <w:color w:val="auto"/>
        <w:sz w:val="24"/>
        <w:szCs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2">
      <w:start w:val="1"/>
      <w:numFmt w:val="decimal"/>
      <w:lvlText w:val="%1.%2.%3."/>
      <w:lvlJc w:val="left"/>
      <w:pPr>
        <w:tabs>
          <w:tab w:val="num" w:pos="1985"/>
        </w:tabs>
        <w:ind w:left="1985" w:hanging="851"/>
      </w:pPr>
      <w:rPr>
        <w:rFonts w:ascii="Arial" w:hAnsi="Arial" w:cs="Times New Roman" w:hint="default"/>
        <w:b w:val="0"/>
        <w:i w:val="0"/>
        <w:caps w:val="0"/>
        <w:strike w:val="0"/>
        <w:dstrike w:val="0"/>
        <w:vanish w:val="0"/>
        <w:webHidden w:val="0"/>
        <w:color w:val="auto"/>
        <w:sz w:val="24"/>
        <w:u w:val="none"/>
        <w:effect w:val="none"/>
        <w:vertAlign w:val="baseline"/>
        <w:specVanish w:val="0"/>
        <w14:shadow w14:blurRad="0" w14:dist="0" w14:dir="0" w14:sx="0" w14:sy="0" w14:kx="0" w14:ky="0" w14:algn="none">
          <w14:srgbClr w14:val="000000"/>
        </w14:shadow>
        <w14:textOutline w14:w="0" w14:cap="rnd" w14:cmpd="sng" w14:algn="ctr">
          <w14:noFill/>
          <w14:prstDash w14:val="solid"/>
          <w14:bevel/>
        </w14:textOutline>
      </w:rPr>
    </w:lvl>
    <w:lvl w:ilvl="3">
      <w:start w:val="1"/>
      <w:numFmt w:val="decimal"/>
      <w:lvlText w:val="%1.%2.%3.%4."/>
      <w:lvlJc w:val="left"/>
      <w:pPr>
        <w:tabs>
          <w:tab w:val="num" w:pos="2880"/>
        </w:tabs>
        <w:ind w:left="1728" w:hanging="648"/>
      </w:pPr>
    </w:lvl>
    <w:lvl w:ilvl="4">
      <w:start w:val="1"/>
      <w:numFmt w:val="decimal"/>
      <w:lvlText w:val="%1.%2.%3.%4.%5."/>
      <w:lvlJc w:val="left"/>
      <w:pPr>
        <w:tabs>
          <w:tab w:val="num" w:pos="3600"/>
        </w:tabs>
        <w:ind w:left="2232" w:hanging="792"/>
      </w:pPr>
    </w:lvl>
    <w:lvl w:ilvl="5">
      <w:start w:val="1"/>
      <w:numFmt w:val="decimal"/>
      <w:lvlText w:val="%1.%2.%3.%4.%5.%6."/>
      <w:lvlJc w:val="left"/>
      <w:pPr>
        <w:tabs>
          <w:tab w:val="num" w:pos="4320"/>
        </w:tabs>
        <w:ind w:left="2736" w:hanging="936"/>
      </w:pPr>
    </w:lvl>
    <w:lvl w:ilvl="6">
      <w:start w:val="1"/>
      <w:numFmt w:val="decimal"/>
      <w:lvlText w:val="%1.%2.%3.%4.%5.%6.%7."/>
      <w:lvlJc w:val="left"/>
      <w:pPr>
        <w:tabs>
          <w:tab w:val="num" w:pos="5040"/>
        </w:tabs>
        <w:ind w:left="3240" w:hanging="1080"/>
      </w:pPr>
    </w:lvl>
    <w:lvl w:ilvl="7">
      <w:start w:val="1"/>
      <w:numFmt w:val="decimal"/>
      <w:lvlText w:val="%1.%2.%3.%4.%5.%6.%7.%8."/>
      <w:lvlJc w:val="left"/>
      <w:pPr>
        <w:tabs>
          <w:tab w:val="num" w:pos="6120"/>
        </w:tabs>
        <w:ind w:left="3744" w:hanging="1224"/>
      </w:pPr>
    </w:lvl>
    <w:lvl w:ilvl="8">
      <w:start w:val="1"/>
      <w:numFmt w:val="decimal"/>
      <w:lvlText w:val="%1.%2.%3.%4.%5.%6.%7.%8.%9."/>
      <w:lvlJc w:val="left"/>
      <w:pPr>
        <w:tabs>
          <w:tab w:val="num" w:pos="6840"/>
        </w:tabs>
        <w:ind w:left="4320" w:hanging="1440"/>
      </w:pPr>
    </w:lvl>
  </w:abstractNum>
  <w:num w:numId="1">
    <w:abstractNumId w:val="4"/>
  </w:num>
  <w:num w:numId="2">
    <w:abstractNumId w:val="2"/>
  </w:num>
  <w:num w:numId="3">
    <w:abstractNumId w:val="1"/>
  </w:num>
  <w:num w:numId="4">
    <w:abstractNumId w:val="0"/>
  </w:num>
  <w:num w:numId="5">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keš Roman">
    <w15:presenceInfo w15:providerId="AD" w15:userId="S-1-5-21-1345087706-903693047-1615293757-2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7"/>
  <w:doNotTrackMoves/>
  <w:doNotTrackFormatting/>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94196"/>
    <w:rsid w:val="00020B78"/>
    <w:rsid w:val="00021C7A"/>
    <w:rsid w:val="00025498"/>
    <w:rsid w:val="00047045"/>
    <w:rsid w:val="0005680E"/>
    <w:rsid w:val="0006090A"/>
    <w:rsid w:val="00077654"/>
    <w:rsid w:val="00083953"/>
    <w:rsid w:val="00086A7F"/>
    <w:rsid w:val="000A1212"/>
    <w:rsid w:val="000C0A69"/>
    <w:rsid w:val="001111B5"/>
    <w:rsid w:val="0012164B"/>
    <w:rsid w:val="00132438"/>
    <w:rsid w:val="00132CCF"/>
    <w:rsid w:val="001337EA"/>
    <w:rsid w:val="00137DBE"/>
    <w:rsid w:val="001474E6"/>
    <w:rsid w:val="00172EB0"/>
    <w:rsid w:val="00173BBE"/>
    <w:rsid w:val="001776AE"/>
    <w:rsid w:val="00186FCD"/>
    <w:rsid w:val="00191671"/>
    <w:rsid w:val="00194196"/>
    <w:rsid w:val="0019762D"/>
    <w:rsid w:val="001C621A"/>
    <w:rsid w:val="001E7CD5"/>
    <w:rsid w:val="001F2458"/>
    <w:rsid w:val="001F6F0A"/>
    <w:rsid w:val="00212859"/>
    <w:rsid w:val="0021567A"/>
    <w:rsid w:val="002365AF"/>
    <w:rsid w:val="00245749"/>
    <w:rsid w:val="002B3278"/>
    <w:rsid w:val="002D6EBC"/>
    <w:rsid w:val="002E25D8"/>
    <w:rsid w:val="002E7288"/>
    <w:rsid w:val="00315377"/>
    <w:rsid w:val="00345A6F"/>
    <w:rsid w:val="00354C1B"/>
    <w:rsid w:val="00362E95"/>
    <w:rsid w:val="00373C1D"/>
    <w:rsid w:val="003B6598"/>
    <w:rsid w:val="004101A5"/>
    <w:rsid w:val="00414352"/>
    <w:rsid w:val="004346DF"/>
    <w:rsid w:val="00446BA8"/>
    <w:rsid w:val="00476434"/>
    <w:rsid w:val="004A29BE"/>
    <w:rsid w:val="004B07E7"/>
    <w:rsid w:val="004B2431"/>
    <w:rsid w:val="004E015A"/>
    <w:rsid w:val="004E58F9"/>
    <w:rsid w:val="004F7C2D"/>
    <w:rsid w:val="005636E6"/>
    <w:rsid w:val="005637E3"/>
    <w:rsid w:val="005705A2"/>
    <w:rsid w:val="00586506"/>
    <w:rsid w:val="00586DA3"/>
    <w:rsid w:val="00597F98"/>
    <w:rsid w:val="005B5669"/>
    <w:rsid w:val="005C4308"/>
    <w:rsid w:val="005F4A45"/>
    <w:rsid w:val="00602ECF"/>
    <w:rsid w:val="00611CCD"/>
    <w:rsid w:val="006271EF"/>
    <w:rsid w:val="00675FD5"/>
    <w:rsid w:val="00681A0B"/>
    <w:rsid w:val="00696C2C"/>
    <w:rsid w:val="006C38E9"/>
    <w:rsid w:val="006D3A86"/>
    <w:rsid w:val="006D69BD"/>
    <w:rsid w:val="006E2369"/>
    <w:rsid w:val="00705564"/>
    <w:rsid w:val="00725CBF"/>
    <w:rsid w:val="00757273"/>
    <w:rsid w:val="007726DE"/>
    <w:rsid w:val="007875A0"/>
    <w:rsid w:val="007A7DD2"/>
    <w:rsid w:val="007E6471"/>
    <w:rsid w:val="007F2142"/>
    <w:rsid w:val="007F54A3"/>
    <w:rsid w:val="00806C34"/>
    <w:rsid w:val="008100F0"/>
    <w:rsid w:val="00812BBE"/>
    <w:rsid w:val="00825D21"/>
    <w:rsid w:val="00836ABB"/>
    <w:rsid w:val="00843128"/>
    <w:rsid w:val="00857DD7"/>
    <w:rsid w:val="008637B5"/>
    <w:rsid w:val="008765E3"/>
    <w:rsid w:val="00893E4C"/>
    <w:rsid w:val="008A17C3"/>
    <w:rsid w:val="008D37A9"/>
    <w:rsid w:val="0090142F"/>
    <w:rsid w:val="009055DF"/>
    <w:rsid w:val="00911C00"/>
    <w:rsid w:val="00912E56"/>
    <w:rsid w:val="00930F3B"/>
    <w:rsid w:val="00941E83"/>
    <w:rsid w:val="0094301F"/>
    <w:rsid w:val="009478CF"/>
    <w:rsid w:val="00963442"/>
    <w:rsid w:val="009A09B2"/>
    <w:rsid w:val="00A0046C"/>
    <w:rsid w:val="00A5486C"/>
    <w:rsid w:val="00A75F05"/>
    <w:rsid w:val="00A81F09"/>
    <w:rsid w:val="00A87457"/>
    <w:rsid w:val="00A92F7B"/>
    <w:rsid w:val="00AA7230"/>
    <w:rsid w:val="00AA729D"/>
    <w:rsid w:val="00AD37AB"/>
    <w:rsid w:val="00B017CB"/>
    <w:rsid w:val="00B13681"/>
    <w:rsid w:val="00B27ECF"/>
    <w:rsid w:val="00B55114"/>
    <w:rsid w:val="00B73972"/>
    <w:rsid w:val="00B90370"/>
    <w:rsid w:val="00B9639C"/>
    <w:rsid w:val="00BA653C"/>
    <w:rsid w:val="00BC4484"/>
    <w:rsid w:val="00BC7F89"/>
    <w:rsid w:val="00BE36CA"/>
    <w:rsid w:val="00BE59DB"/>
    <w:rsid w:val="00BF0C15"/>
    <w:rsid w:val="00C25049"/>
    <w:rsid w:val="00C36212"/>
    <w:rsid w:val="00C656B0"/>
    <w:rsid w:val="00C676B5"/>
    <w:rsid w:val="00C83B02"/>
    <w:rsid w:val="00CC0BDC"/>
    <w:rsid w:val="00CC6246"/>
    <w:rsid w:val="00CF1722"/>
    <w:rsid w:val="00CF745B"/>
    <w:rsid w:val="00D10ECF"/>
    <w:rsid w:val="00D24196"/>
    <w:rsid w:val="00D42A82"/>
    <w:rsid w:val="00D47943"/>
    <w:rsid w:val="00D57A84"/>
    <w:rsid w:val="00D70A4E"/>
    <w:rsid w:val="00D911CD"/>
    <w:rsid w:val="00DA5DBF"/>
    <w:rsid w:val="00DC6BB1"/>
    <w:rsid w:val="00DD3AC1"/>
    <w:rsid w:val="00DE7810"/>
    <w:rsid w:val="00DE7C83"/>
    <w:rsid w:val="00DF2C17"/>
    <w:rsid w:val="00DF7297"/>
    <w:rsid w:val="00E02735"/>
    <w:rsid w:val="00E439F8"/>
    <w:rsid w:val="00E672A2"/>
    <w:rsid w:val="00E7789E"/>
    <w:rsid w:val="00E80B8A"/>
    <w:rsid w:val="00E857D1"/>
    <w:rsid w:val="00E916C3"/>
    <w:rsid w:val="00E92451"/>
    <w:rsid w:val="00EA7851"/>
    <w:rsid w:val="00EB6890"/>
    <w:rsid w:val="00EE5A13"/>
    <w:rsid w:val="00F14BF0"/>
    <w:rsid w:val="00F2360A"/>
    <w:rsid w:val="00F26AA5"/>
    <w:rsid w:val="00F30F3A"/>
    <w:rsid w:val="00F54760"/>
    <w:rsid w:val="00F548CB"/>
    <w:rsid w:val="00FC38E0"/>
    <w:rsid w:val="00FC4898"/>
    <w:rsid w:val="00FD4328"/>
    <w:rsid w:val="00FE26D0"/>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71E8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4196"/>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017CB"/>
    <w:rPr>
      <w:sz w:val="16"/>
      <w:szCs w:val="16"/>
    </w:rPr>
  </w:style>
  <w:style w:type="paragraph" w:styleId="Textkomente">
    <w:name w:val="annotation text"/>
    <w:basedOn w:val="Normln"/>
    <w:link w:val="TextkomenteChar"/>
    <w:uiPriority w:val="99"/>
    <w:semiHidden/>
    <w:unhideWhenUsed/>
    <w:rsid w:val="00B017CB"/>
    <w:rPr>
      <w:sz w:val="20"/>
      <w:szCs w:val="20"/>
    </w:rPr>
  </w:style>
  <w:style w:type="character" w:customStyle="1" w:styleId="TextkomenteChar">
    <w:name w:val="Text komentáře Char"/>
    <w:basedOn w:val="Standardnpsmoodstavce"/>
    <w:link w:val="Textkomente"/>
    <w:uiPriority w:val="99"/>
    <w:semiHidden/>
    <w:rsid w:val="00B017CB"/>
    <w:rPr>
      <w:sz w:val="20"/>
      <w:szCs w:val="20"/>
    </w:rPr>
  </w:style>
  <w:style w:type="paragraph" w:styleId="Pedmtkomente">
    <w:name w:val="annotation subject"/>
    <w:basedOn w:val="Textkomente"/>
    <w:next w:val="Textkomente"/>
    <w:link w:val="PedmtkomenteChar"/>
    <w:uiPriority w:val="99"/>
    <w:semiHidden/>
    <w:unhideWhenUsed/>
    <w:rsid w:val="00B017CB"/>
    <w:rPr>
      <w:b/>
      <w:bCs/>
    </w:rPr>
  </w:style>
  <w:style w:type="character" w:customStyle="1" w:styleId="PedmtkomenteChar">
    <w:name w:val="Předmět komentáře Char"/>
    <w:basedOn w:val="TextkomenteChar"/>
    <w:link w:val="Pedmtkomente"/>
    <w:uiPriority w:val="99"/>
    <w:semiHidden/>
    <w:rsid w:val="00B017CB"/>
    <w:rPr>
      <w:b/>
      <w:bCs/>
      <w:sz w:val="20"/>
      <w:szCs w:val="20"/>
    </w:rPr>
  </w:style>
  <w:style w:type="paragraph" w:styleId="Textbubliny">
    <w:name w:val="Balloon Text"/>
    <w:basedOn w:val="Normln"/>
    <w:link w:val="TextbublinyChar"/>
    <w:uiPriority w:val="99"/>
    <w:semiHidden/>
    <w:unhideWhenUsed/>
    <w:rsid w:val="00B017CB"/>
    <w:rPr>
      <w:rFonts w:ascii="Tahoma" w:hAnsi="Tahoma" w:cs="Tahoma"/>
      <w:sz w:val="16"/>
      <w:szCs w:val="16"/>
    </w:rPr>
  </w:style>
  <w:style w:type="character" w:customStyle="1" w:styleId="TextbublinyChar">
    <w:name w:val="Text bubliny Char"/>
    <w:basedOn w:val="Standardnpsmoodstavce"/>
    <w:link w:val="Textbubliny"/>
    <w:uiPriority w:val="99"/>
    <w:semiHidden/>
    <w:rsid w:val="00B017CB"/>
    <w:rPr>
      <w:rFonts w:ascii="Tahoma" w:hAnsi="Tahoma" w:cs="Tahoma"/>
      <w:sz w:val="16"/>
      <w:szCs w:val="16"/>
    </w:rPr>
  </w:style>
  <w:style w:type="paragraph" w:styleId="Zhlav">
    <w:name w:val="header"/>
    <w:basedOn w:val="Normln"/>
    <w:link w:val="ZhlavChar"/>
    <w:uiPriority w:val="99"/>
    <w:unhideWhenUsed/>
    <w:rsid w:val="00DE7C83"/>
    <w:pPr>
      <w:tabs>
        <w:tab w:val="center" w:pos="4536"/>
        <w:tab w:val="right" w:pos="9072"/>
      </w:tabs>
    </w:pPr>
  </w:style>
  <w:style w:type="character" w:customStyle="1" w:styleId="ZhlavChar">
    <w:name w:val="Záhlaví Char"/>
    <w:basedOn w:val="Standardnpsmoodstavce"/>
    <w:link w:val="Zhlav"/>
    <w:uiPriority w:val="99"/>
    <w:rsid w:val="00DE7C83"/>
  </w:style>
  <w:style w:type="paragraph" w:styleId="Zpat">
    <w:name w:val="footer"/>
    <w:basedOn w:val="Normln"/>
    <w:link w:val="ZpatChar"/>
    <w:uiPriority w:val="99"/>
    <w:unhideWhenUsed/>
    <w:rsid w:val="00DE7C83"/>
    <w:pPr>
      <w:tabs>
        <w:tab w:val="center" w:pos="4536"/>
        <w:tab w:val="right" w:pos="9072"/>
      </w:tabs>
    </w:pPr>
  </w:style>
  <w:style w:type="character" w:customStyle="1" w:styleId="ZpatChar">
    <w:name w:val="Zápatí Char"/>
    <w:basedOn w:val="Standardnpsmoodstavce"/>
    <w:link w:val="Zpat"/>
    <w:uiPriority w:val="99"/>
    <w:rsid w:val="00DE7C83"/>
  </w:style>
  <w:style w:type="paragraph" w:styleId="Odstavecseseznamem">
    <w:name w:val="List Paragraph"/>
    <w:basedOn w:val="Normln"/>
    <w:uiPriority w:val="34"/>
    <w:qFormat/>
    <w:rsid w:val="001F6F0A"/>
    <w:pPr>
      <w:spacing w:after="200" w:line="276" w:lineRule="auto"/>
      <w:ind w:left="720" w:firstLine="0"/>
      <w:contextualSpacing/>
      <w:jc w:val="left"/>
    </w:pPr>
  </w:style>
  <w:style w:type="paragraph" w:customStyle="1" w:styleId="Default">
    <w:name w:val="Default"/>
    <w:rsid w:val="00D4794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476434"/>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194196"/>
    <w:pPr>
      <w:spacing w:after="0" w:line="240" w:lineRule="auto"/>
      <w:ind w:left="851" w:hanging="851"/>
      <w:jc w:val="both"/>
    </w:p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Odkaznakoment">
    <w:name w:val="annotation reference"/>
    <w:basedOn w:val="Standardnpsmoodstavce"/>
    <w:uiPriority w:val="99"/>
    <w:semiHidden/>
    <w:unhideWhenUsed/>
    <w:rsid w:val="00B017CB"/>
    <w:rPr>
      <w:sz w:val="16"/>
      <w:szCs w:val="16"/>
    </w:rPr>
  </w:style>
  <w:style w:type="paragraph" w:styleId="Textkomente">
    <w:name w:val="annotation text"/>
    <w:basedOn w:val="Normln"/>
    <w:link w:val="TextkomenteChar"/>
    <w:uiPriority w:val="99"/>
    <w:semiHidden/>
    <w:unhideWhenUsed/>
    <w:rsid w:val="00B017CB"/>
    <w:rPr>
      <w:sz w:val="20"/>
      <w:szCs w:val="20"/>
    </w:rPr>
  </w:style>
  <w:style w:type="character" w:customStyle="1" w:styleId="TextkomenteChar">
    <w:name w:val="Text komentáře Char"/>
    <w:basedOn w:val="Standardnpsmoodstavce"/>
    <w:link w:val="Textkomente"/>
    <w:uiPriority w:val="99"/>
    <w:semiHidden/>
    <w:rsid w:val="00B017CB"/>
    <w:rPr>
      <w:sz w:val="20"/>
      <w:szCs w:val="20"/>
    </w:rPr>
  </w:style>
  <w:style w:type="paragraph" w:styleId="Pedmtkomente">
    <w:name w:val="annotation subject"/>
    <w:basedOn w:val="Textkomente"/>
    <w:next w:val="Textkomente"/>
    <w:link w:val="PedmtkomenteChar"/>
    <w:uiPriority w:val="99"/>
    <w:semiHidden/>
    <w:unhideWhenUsed/>
    <w:rsid w:val="00B017CB"/>
    <w:rPr>
      <w:b/>
      <w:bCs/>
    </w:rPr>
  </w:style>
  <w:style w:type="character" w:customStyle="1" w:styleId="PedmtkomenteChar">
    <w:name w:val="Předmět komentáře Char"/>
    <w:basedOn w:val="TextkomenteChar"/>
    <w:link w:val="Pedmtkomente"/>
    <w:uiPriority w:val="99"/>
    <w:semiHidden/>
    <w:rsid w:val="00B017CB"/>
    <w:rPr>
      <w:b/>
      <w:bCs/>
      <w:sz w:val="20"/>
      <w:szCs w:val="20"/>
    </w:rPr>
  </w:style>
  <w:style w:type="paragraph" w:styleId="Textbubliny">
    <w:name w:val="Balloon Text"/>
    <w:basedOn w:val="Normln"/>
    <w:link w:val="TextbublinyChar"/>
    <w:uiPriority w:val="99"/>
    <w:semiHidden/>
    <w:unhideWhenUsed/>
    <w:rsid w:val="00B017CB"/>
    <w:rPr>
      <w:rFonts w:ascii="Tahoma" w:hAnsi="Tahoma" w:cs="Tahoma"/>
      <w:sz w:val="16"/>
      <w:szCs w:val="16"/>
    </w:rPr>
  </w:style>
  <w:style w:type="character" w:customStyle="1" w:styleId="TextbublinyChar">
    <w:name w:val="Text bubliny Char"/>
    <w:basedOn w:val="Standardnpsmoodstavce"/>
    <w:link w:val="Textbubliny"/>
    <w:uiPriority w:val="99"/>
    <w:semiHidden/>
    <w:rsid w:val="00B017CB"/>
    <w:rPr>
      <w:rFonts w:ascii="Tahoma" w:hAnsi="Tahoma" w:cs="Tahoma"/>
      <w:sz w:val="16"/>
      <w:szCs w:val="16"/>
    </w:rPr>
  </w:style>
  <w:style w:type="paragraph" w:styleId="Zhlav">
    <w:name w:val="header"/>
    <w:basedOn w:val="Normln"/>
    <w:link w:val="ZhlavChar"/>
    <w:uiPriority w:val="99"/>
    <w:unhideWhenUsed/>
    <w:rsid w:val="00DE7C83"/>
    <w:pPr>
      <w:tabs>
        <w:tab w:val="center" w:pos="4536"/>
        <w:tab w:val="right" w:pos="9072"/>
      </w:tabs>
    </w:pPr>
  </w:style>
  <w:style w:type="character" w:customStyle="1" w:styleId="ZhlavChar">
    <w:name w:val="Záhlaví Char"/>
    <w:basedOn w:val="Standardnpsmoodstavce"/>
    <w:link w:val="Zhlav"/>
    <w:uiPriority w:val="99"/>
    <w:rsid w:val="00DE7C83"/>
  </w:style>
  <w:style w:type="paragraph" w:styleId="Zpat">
    <w:name w:val="footer"/>
    <w:basedOn w:val="Normln"/>
    <w:link w:val="ZpatChar"/>
    <w:uiPriority w:val="99"/>
    <w:unhideWhenUsed/>
    <w:rsid w:val="00DE7C83"/>
    <w:pPr>
      <w:tabs>
        <w:tab w:val="center" w:pos="4536"/>
        <w:tab w:val="right" w:pos="9072"/>
      </w:tabs>
    </w:pPr>
  </w:style>
  <w:style w:type="character" w:customStyle="1" w:styleId="ZpatChar">
    <w:name w:val="Zápatí Char"/>
    <w:basedOn w:val="Standardnpsmoodstavce"/>
    <w:link w:val="Zpat"/>
    <w:uiPriority w:val="99"/>
    <w:rsid w:val="00DE7C83"/>
  </w:style>
  <w:style w:type="paragraph" w:styleId="Odstavecseseznamem">
    <w:name w:val="List Paragraph"/>
    <w:basedOn w:val="Normln"/>
    <w:uiPriority w:val="34"/>
    <w:qFormat/>
    <w:rsid w:val="001F6F0A"/>
    <w:pPr>
      <w:spacing w:after="200" w:line="276" w:lineRule="auto"/>
      <w:ind w:left="720" w:firstLine="0"/>
      <w:contextualSpacing/>
      <w:jc w:val="left"/>
    </w:pPr>
  </w:style>
  <w:style w:type="paragraph" w:customStyle="1" w:styleId="Default">
    <w:name w:val="Default"/>
    <w:rsid w:val="00D47943"/>
    <w:pPr>
      <w:autoSpaceDE w:val="0"/>
      <w:autoSpaceDN w:val="0"/>
      <w:adjustRightInd w:val="0"/>
      <w:spacing w:after="0" w:line="240" w:lineRule="auto"/>
    </w:pPr>
    <w:rPr>
      <w:rFonts w:ascii="Arial" w:hAnsi="Arial" w:cs="Arial"/>
      <w:color w:val="000000"/>
      <w:sz w:val="24"/>
      <w:szCs w:val="24"/>
    </w:rPr>
  </w:style>
  <w:style w:type="paragraph" w:styleId="Revize">
    <w:name w:val="Revision"/>
    <w:hidden/>
    <w:uiPriority w:val="99"/>
    <w:semiHidden/>
    <w:rsid w:val="0047643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37617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microsoft.com/office/2011/relationships/commentsExtended" Target="commentsExtended.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17" Type="http://schemas.microsoft.com/office/2011/relationships/people" Target="people.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B43409B-3C2C-4C5C-80C0-93AACF3D7E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2468</Words>
  <Characters>14562</Characters>
  <Application>Microsoft Office Word</Application>
  <DocSecurity>0</DocSecurity>
  <Lines>121</Lines>
  <Paragraphs>33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16997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Stránská Iveta</dc:creator>
  <cp:lastModifiedBy>Telcová Katarína</cp:lastModifiedBy>
  <cp:revision>2</cp:revision>
  <cp:lastPrinted>2016-04-28T08:20:00Z</cp:lastPrinted>
  <dcterms:created xsi:type="dcterms:W3CDTF">2016-06-03T08:10:00Z</dcterms:created>
  <dcterms:modified xsi:type="dcterms:W3CDTF">2016-06-03T08:10:00Z</dcterms:modified>
</cp:coreProperties>
</file>