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31DD0B03" w:rsidR="00EC338D" w:rsidRPr="00F90300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4553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2022/01177/ODSH/DSM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02FA586" w:rsidR="00621063" w:rsidRPr="00F90300" w:rsidRDefault="003545E4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0A05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Troubel</w:t>
      </w:r>
      <w:r w:rsidR="003479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ice</w:t>
      </w:r>
    </w:p>
    <w:p w14:paraId="6113BCE4" w14:textId="5D128B96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Troubelice 352, 783 83 Troubelice</w:t>
      </w:r>
    </w:p>
    <w:p w14:paraId="4D424E7E" w14:textId="061BE346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299570</w:t>
      </w:r>
    </w:p>
    <w:p w14:paraId="03CA258C" w14:textId="7C9764D1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bCs/>
          <w:sz w:val="24"/>
          <w:szCs w:val="24"/>
          <w:lang w:eastAsia="cs-CZ"/>
        </w:rPr>
        <w:t>CZ00299570</w:t>
      </w:r>
    </w:p>
    <w:p w14:paraId="7D0F234E" w14:textId="7D0256D4" w:rsidR="00621063" w:rsidRPr="00F90300" w:rsidRDefault="00621063" w:rsidP="003F32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Ing. Bc. Ondřejem Plačk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Zastupitestva 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Troubeli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/1/20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18</w:t>
      </w:r>
    </w:p>
    <w:p w14:paraId="48CA510F" w14:textId="7078C7B2" w:rsidR="00621063" w:rsidRPr="00F90300" w:rsidRDefault="00621063" w:rsidP="00A72DE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5334">
        <w:rPr>
          <w:rFonts w:ascii="Arial" w:eastAsia="Times New Roman" w:hAnsi="Arial" w:cs="Arial"/>
          <w:sz w:val="24"/>
          <w:szCs w:val="24"/>
          <w:lang w:eastAsia="cs-CZ"/>
        </w:rPr>
        <w:t>94-1318811/0710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19B3184" w:rsidR="009A3DA5" w:rsidRPr="00AD1088" w:rsidRDefault="009A3DA5" w:rsidP="00A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 78</w:t>
      </w:r>
      <w:r w:rsidR="001B6649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004</w:t>
      </w:r>
      <w:r w:rsidRPr="00AD10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92130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 xml:space="preserve">sedm set osmdesát </w:t>
      </w:r>
      <w:r w:rsidR="001B6649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 xml:space="preserve"> tisíc čtyři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AD10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1E191A9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Cyklostezka Troubelice – Uničov, II. etapa: Lazce – Nová Dědina</w:t>
      </w:r>
      <w:r w:rsidR="00195542">
        <w:rPr>
          <w:rFonts w:ascii="Arial" w:eastAsia="Times New Roman" w:hAnsi="Arial" w:cs="Arial"/>
          <w:b/>
          <w:sz w:val="24"/>
          <w:szCs w:val="24"/>
          <w:lang w:val="en-US" w:eastAsia="cs-CZ"/>
        </w:rPr>
        <w:t>;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úsek na k. ú. Lazce u Troubelic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EA27416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62261B80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>Cyklostezka Troubelice – Uničov, II. etapa: Lazce – Nová Dědina</w:t>
      </w:r>
      <w:r w:rsidR="00195542" w:rsidRPr="00195542">
        <w:rPr>
          <w:rFonts w:ascii="Arial" w:eastAsia="Times New Roman" w:hAnsi="Arial" w:cs="Arial"/>
          <w:sz w:val="24"/>
          <w:szCs w:val="24"/>
          <w:lang w:val="en-US" w:eastAsia="cs-CZ"/>
        </w:rPr>
        <w:t>;</w:t>
      </w:r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 úsek na k. ú. Lazce u Troubelic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EED7A42" w:rsidR="00B67C75" w:rsidRPr="00592130" w:rsidRDefault="00742626" w:rsidP="001A723C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3 570 008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1A723C" w:rsidRPr="001A72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tři miliony pět set sedmdesát tisíc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 xml:space="preserve"> osm</w:t>
      </w:r>
      <w:r w:rsidR="00AD1088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5921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9213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2130">
        <w:rPr>
          <w:rFonts w:ascii="Arial" w:hAnsi="Arial" w:cs="Arial"/>
          <w:sz w:val="24"/>
          <w:szCs w:val="24"/>
        </w:rPr>
        <w:t xml:space="preserve">dotace </w:t>
      </w:r>
      <w:r w:rsidRPr="00592130">
        <w:rPr>
          <w:rFonts w:ascii="Arial" w:hAnsi="Arial" w:cs="Arial"/>
          <w:sz w:val="24"/>
          <w:szCs w:val="24"/>
        </w:rPr>
        <w:t xml:space="preserve">odpovídala </w:t>
      </w:r>
      <w:r w:rsidR="005175F6" w:rsidRPr="00592130">
        <w:rPr>
          <w:rFonts w:ascii="Arial" w:hAnsi="Arial" w:cs="Arial"/>
          <w:sz w:val="24"/>
          <w:szCs w:val="24"/>
        </w:rPr>
        <w:t xml:space="preserve">nejvýše </w:t>
      </w:r>
      <w:r w:rsidR="00195542">
        <w:rPr>
          <w:rFonts w:ascii="Arial" w:hAnsi="Arial" w:cs="Arial"/>
          <w:b/>
          <w:sz w:val="24"/>
          <w:szCs w:val="24"/>
        </w:rPr>
        <w:lastRenderedPageBreak/>
        <w:t>50</w:t>
      </w:r>
      <w:r w:rsidRPr="00592130">
        <w:rPr>
          <w:rFonts w:ascii="Arial" w:hAnsi="Arial" w:cs="Arial"/>
          <w:b/>
          <w:sz w:val="24"/>
          <w:szCs w:val="24"/>
        </w:rPr>
        <w:t xml:space="preserve"> %</w:t>
      </w:r>
      <w:r w:rsidR="00A026D9" w:rsidRPr="0059213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213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DB4D1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413F5B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B725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095AB59" w:rsidR="00906564" w:rsidRPr="00F9030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F9030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B7254">
        <w:rPr>
          <w:rFonts w:ascii="Arial" w:hAnsi="Arial" w:cs="Arial"/>
          <w:sz w:val="24"/>
          <w:szCs w:val="24"/>
          <w:lang w:eastAsia="cs-CZ"/>
        </w:rPr>
        <w:br/>
      </w:r>
      <w:r w:rsidR="00A62D21" w:rsidRPr="00F90300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6AA3D098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AD1088">
        <w:rPr>
          <w:rFonts w:ascii="Arial" w:hAnsi="Arial" w:cs="Arial"/>
          <w:sz w:val="24"/>
          <w:szCs w:val="24"/>
          <w:lang w:eastAsia="cs-CZ"/>
        </w:rPr>
        <w:br/>
      </w:r>
      <w:r w:rsidRPr="00F90300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8736468" w:rsidR="00B96E96" w:rsidRPr="000B7254" w:rsidRDefault="00B96E96" w:rsidP="000B725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25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B7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0B725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B725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D609DC5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upitelstva Olomouckého kraje č. UZ/</w:t>
      </w:r>
      <w:r w:rsidR="00A81500">
        <w:rPr>
          <w:rFonts w:ascii="Arial" w:eastAsia="Times New Roman" w:hAnsi="Arial" w:cs="Arial"/>
          <w:sz w:val="24"/>
          <w:szCs w:val="24"/>
          <w:lang w:eastAsia="cs-CZ"/>
        </w:rPr>
        <w:t>9/2</w:t>
      </w:r>
      <w:r w:rsidR="001B6649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D80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9CA7" w14:textId="77777777" w:rsidR="00E342B9" w:rsidRDefault="00E342B9" w:rsidP="00D40C40">
      <w:r>
        <w:separator/>
      </w:r>
    </w:p>
  </w:endnote>
  <w:endnote w:type="continuationSeparator" w:id="0">
    <w:p w14:paraId="6BE3EBAF" w14:textId="77777777" w:rsidR="00E342B9" w:rsidRDefault="00E342B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1728" w14:textId="77777777" w:rsidR="0045571A" w:rsidRDefault="004557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39685"/>
      <w:docPartObj>
        <w:docPartGallery w:val="Page Numbers (Bottom of Page)"/>
        <w:docPartUnique/>
      </w:docPartObj>
    </w:sdtPr>
    <w:sdtEndPr/>
    <w:sdtContent>
      <w:p w14:paraId="61558DB2" w14:textId="5727528F" w:rsidR="00E671CF" w:rsidRPr="00E1790E" w:rsidRDefault="0045571A" w:rsidP="00E671CF">
        <w:pPr>
          <w:pStyle w:val="Zpat"/>
          <w:pBdr>
            <w:top w:val="single" w:sz="4" w:space="1" w:color="auto"/>
          </w:pBdr>
          <w:tabs>
            <w:tab w:val="clear" w:pos="9072"/>
            <w:tab w:val="right" w:pos="9639"/>
          </w:tabs>
          <w:rPr>
            <w:rStyle w:val="slostrnky"/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671C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24</w:t>
        </w:r>
        <w:r w:rsidR="00E671CF" w:rsidRPr="005C08FD">
          <w:rPr>
            <w:rFonts w:ascii="Arial" w:hAnsi="Arial" w:cs="Arial"/>
            <w:i/>
            <w:sz w:val="20"/>
            <w:szCs w:val="20"/>
          </w:rPr>
          <w:t xml:space="preserve">. </w:t>
        </w:r>
        <w:r w:rsidR="006C3D8E">
          <w:rPr>
            <w:rFonts w:ascii="Arial" w:hAnsi="Arial" w:cs="Arial"/>
            <w:i/>
            <w:sz w:val="20"/>
            <w:szCs w:val="20"/>
          </w:rPr>
          <w:t>4</w:t>
        </w:r>
        <w:r w:rsidR="00E671CF" w:rsidRPr="005C08FD">
          <w:rPr>
            <w:rFonts w:ascii="Arial" w:hAnsi="Arial" w:cs="Arial"/>
            <w:i/>
            <w:sz w:val="20"/>
            <w:szCs w:val="20"/>
          </w:rPr>
          <w:t>. 20</w:t>
        </w:r>
        <w:r w:rsidR="00E671CF">
          <w:rPr>
            <w:rFonts w:ascii="Arial" w:hAnsi="Arial" w:cs="Arial"/>
            <w:i/>
            <w:sz w:val="20"/>
            <w:szCs w:val="20"/>
          </w:rPr>
          <w:t>2</w:t>
        </w:r>
        <w:r w:rsidR="006C3D8E">
          <w:rPr>
            <w:rFonts w:ascii="Arial" w:hAnsi="Arial" w:cs="Arial"/>
            <w:i/>
            <w:sz w:val="20"/>
            <w:szCs w:val="20"/>
          </w:rPr>
          <w:t>3</w:t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 w:rsidRPr="00E1790E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begin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instrText xml:space="preserve"> PAGE </w:instrTex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</w:rPr>
          <w:t>5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end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 xml:space="preserve"> (celkem </w:t>
        </w:r>
        <w:r w:rsidR="00440228">
          <w:rPr>
            <w:rStyle w:val="slostrnky"/>
            <w:rFonts w:ascii="Arial" w:hAnsi="Arial" w:cs="Arial"/>
            <w:i/>
            <w:sz w:val="20"/>
          </w:rPr>
          <w:t>1</w:t>
        </w:r>
        <w:r w:rsidR="00C43A8A">
          <w:rPr>
            <w:rStyle w:val="slostrnky"/>
            <w:rFonts w:ascii="Arial" w:hAnsi="Arial" w:cs="Arial"/>
            <w:i/>
            <w:sz w:val="20"/>
          </w:rPr>
          <w:t>6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>)</w:t>
        </w:r>
      </w:p>
      <w:p w14:paraId="758217D1" w14:textId="61EA68EF" w:rsidR="006C3D8E" w:rsidRDefault="0045571A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50</w:t>
        </w:r>
        <w:bookmarkStart w:id="0" w:name="_GoBack"/>
        <w:bookmarkEnd w:id="0"/>
        <w:r w:rsidR="006C3D8E" w:rsidRPr="006C3D8E">
          <w:rPr>
            <w:rFonts w:ascii="Arial" w:hAnsi="Arial" w:cs="Arial"/>
            <w:i/>
            <w:sz w:val="20"/>
            <w:szCs w:val="20"/>
          </w:rPr>
          <w:t xml:space="preserve">. – Dodatek č. 2 k veřejnoprávní smlouvě o poskytnutí dotace v dotačním programu Podpora výstavby a oprav cyklostezek 2022 mezi Olomouckým krajem a obcí Troubelice </w:t>
        </w:r>
      </w:p>
      <w:p w14:paraId="6A692B6C" w14:textId="4BE6EF95" w:rsidR="00C03E29" w:rsidRDefault="00C03E29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6C3D8E">
          <w:rPr>
            <w:rFonts w:ascii="Arial" w:hAnsi="Arial" w:cs="Arial"/>
            <w:i/>
            <w:sz w:val="20"/>
            <w:szCs w:val="20"/>
          </w:rPr>
          <w:t>Zpráva k DZ-příloha č. 1: Smlouva o poskytnutí</w:t>
        </w:r>
        <w:r>
          <w:rPr>
            <w:rFonts w:ascii="Arial" w:hAnsi="Arial" w:cs="Arial"/>
            <w:i/>
            <w:sz w:val="20"/>
            <w:szCs w:val="20"/>
          </w:rPr>
          <w:t xml:space="preserve"> dotace s obcí Troubelice</w:t>
        </w:r>
      </w:p>
      <w:p w14:paraId="6521DBB3" w14:textId="427AAEFB" w:rsidR="000B7254" w:rsidRDefault="0045571A">
        <w:pPr>
          <w:pStyle w:val="Zpat"/>
          <w:jc w:val="center"/>
        </w:pPr>
      </w:p>
    </w:sdtContent>
  </w:sdt>
  <w:p w14:paraId="3EEF2B42" w14:textId="77777777" w:rsidR="000B7254" w:rsidRDefault="000B72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A372" w14:textId="77777777" w:rsidR="00E342B9" w:rsidRDefault="00E342B9" w:rsidP="00D40C40">
      <w:r>
        <w:separator/>
      </w:r>
    </w:p>
  </w:footnote>
  <w:footnote w:type="continuationSeparator" w:id="0">
    <w:p w14:paraId="225FEA68" w14:textId="77777777" w:rsidR="00E342B9" w:rsidRDefault="00E342B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781B1" w14:textId="77777777" w:rsidR="0045571A" w:rsidRDefault="004557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D75F" w14:textId="2E928CE0" w:rsidR="00E671CF" w:rsidRDefault="00E671CF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14:paraId="47334351" w14:textId="6F884E6D" w:rsidR="00E671CF" w:rsidRPr="00E671CF" w:rsidRDefault="00E671CF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Troubelice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D89B" w14:textId="77777777" w:rsidR="0045571A" w:rsidRDefault="004557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5334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567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5542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23C"/>
    <w:rsid w:val="001A7A63"/>
    <w:rsid w:val="001B07D6"/>
    <w:rsid w:val="001B0A5E"/>
    <w:rsid w:val="001B1CF5"/>
    <w:rsid w:val="001B2273"/>
    <w:rsid w:val="001B3185"/>
    <w:rsid w:val="001B326B"/>
    <w:rsid w:val="001B6649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47980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0228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537F"/>
    <w:rsid w:val="0045571A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D8E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1500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40F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E29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A8A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0E1F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790E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42B9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9CA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71CF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E82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304C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E6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8F47-1713-4DE0-AF28-E81EE83E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2867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2023-04-17T13:16:00Z</dcterms:created>
  <dcterms:modified xsi:type="dcterms:W3CDTF">2023-04-17T13:16:00Z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