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4E1377" w:rsidRPr="00570AA0" w:rsidTr="0007396B">
        <w:trPr>
          <w:trHeight w:val="4123"/>
        </w:trPr>
        <w:tc>
          <w:tcPr>
            <w:tcW w:w="9639" w:type="dxa"/>
            <w:gridSpan w:val="2"/>
          </w:tcPr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232EEB">
              <w:rPr>
                <w:rFonts w:cs="Arial"/>
              </w:rPr>
              <w:t>9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 w:rsidR="00232EEB">
              <w:rPr>
                <w:rFonts w:cs="Arial"/>
              </w:rPr>
              <w:t>pro zdravotnictví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:rsidR="004E1377" w:rsidRPr="0007396B" w:rsidRDefault="004E1377" w:rsidP="0025774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232EE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232EEB" w:rsidRPr="00232EEB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Pr="00232EEB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32EEB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25774B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975D37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4535" w:type="dxa"/>
          </w:tcPr>
          <w:p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232EE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232EEB" w:rsidRPr="00232EEB" w:rsidRDefault="00232EEB" w:rsidP="00232EE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MUDr. Marcela Škvařilová, Ph.D.</w:t>
            </w:r>
          </w:p>
        </w:tc>
        <w:tc>
          <w:tcPr>
            <w:tcW w:w="4535" w:type="dxa"/>
          </w:tcPr>
          <w:p w:rsidR="00232EEB" w:rsidRPr="0007396B" w:rsidRDefault="00232EEB" w:rsidP="00232EEB">
            <w:pPr>
              <w:pStyle w:val="Vborptomni"/>
              <w:rPr>
                <w:b w:val="0"/>
                <w:szCs w:val="22"/>
              </w:rPr>
            </w:pPr>
            <w:r w:rsidRPr="0007396B">
              <w:rPr>
                <w:b w:val="0"/>
                <w:szCs w:val="22"/>
              </w:rPr>
              <w:t>MUDr. Martin Eliáš</w:t>
            </w:r>
          </w:p>
        </w:tc>
      </w:tr>
      <w:tr w:rsidR="00232EE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232EEB" w:rsidRPr="00232EEB" w:rsidRDefault="00232EEB" w:rsidP="00232EE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Mgr. Kamila Baláková</w:t>
            </w:r>
          </w:p>
        </w:tc>
        <w:tc>
          <w:tcPr>
            <w:tcW w:w="4535" w:type="dxa"/>
          </w:tcPr>
          <w:p w:rsidR="00232EEB" w:rsidRPr="0007396B" w:rsidRDefault="00232EEB" w:rsidP="00232EEB">
            <w:pPr>
              <w:pStyle w:val="Vborptomni"/>
              <w:rPr>
                <w:b w:val="0"/>
                <w:szCs w:val="22"/>
              </w:rPr>
            </w:pP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 xml:space="preserve">Mgr. Radka Filipčíková, Ph.D., MBA, </w:t>
            </w:r>
            <w:proofErr w:type="gramStart"/>
            <w:r w:rsidRPr="00232EEB">
              <w:rPr>
                <w:b w:val="0"/>
                <w:szCs w:val="22"/>
              </w:rPr>
              <w:t>LL.M.</w:t>
            </w:r>
            <w:proofErr w:type="gramEnd"/>
            <w:r w:rsidRPr="00232EEB">
              <w:rPr>
                <w:b w:val="0"/>
                <w:szCs w:val="22"/>
              </w:rPr>
              <w:t>, MPA</w:t>
            </w:r>
          </w:p>
        </w:tc>
        <w:tc>
          <w:tcPr>
            <w:tcW w:w="4535" w:type="dxa"/>
          </w:tcPr>
          <w:p w:rsidR="0007396B" w:rsidRPr="00570AA0" w:rsidRDefault="0007396B" w:rsidP="0007396B">
            <w:pPr>
              <w:pStyle w:val="Vborptomni"/>
            </w:pPr>
            <w:r w:rsidRPr="00570AA0">
              <w:t>Omluveni: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 xml:space="preserve">Jitka Horká, </w:t>
            </w:r>
            <w:proofErr w:type="spellStart"/>
            <w:r w:rsidRPr="00232EEB">
              <w:rPr>
                <w:b w:val="0"/>
                <w:szCs w:val="22"/>
              </w:rPr>
              <w:t>DiS</w:t>
            </w:r>
            <w:proofErr w:type="spellEnd"/>
            <w:r w:rsidRPr="00232EEB">
              <w:rPr>
                <w:b w:val="0"/>
                <w:szCs w:val="22"/>
              </w:rPr>
              <w:t>.</w:t>
            </w:r>
          </w:p>
        </w:tc>
        <w:tc>
          <w:tcPr>
            <w:tcW w:w="4535" w:type="dxa"/>
          </w:tcPr>
          <w:p w:rsidR="0007396B" w:rsidRPr="0007396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07396B">
              <w:rPr>
                <w:b w:val="0"/>
                <w:szCs w:val="22"/>
              </w:rPr>
              <w:t>Dan Chromec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PhDr. Rostislav Hrdiborský</w:t>
            </w:r>
          </w:p>
        </w:tc>
        <w:tc>
          <w:tcPr>
            <w:tcW w:w="4535" w:type="dxa"/>
          </w:tcPr>
          <w:p w:rsidR="0007396B" w:rsidRPr="0007396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07396B">
              <w:rPr>
                <w:b w:val="0"/>
                <w:szCs w:val="22"/>
              </w:rPr>
              <w:t>MUDr.</w:t>
            </w:r>
            <w:r w:rsidR="00864A7B">
              <w:rPr>
                <w:b w:val="0"/>
                <w:szCs w:val="22"/>
              </w:rPr>
              <w:t xml:space="preserve"> </w:t>
            </w:r>
            <w:r w:rsidRPr="0007396B">
              <w:rPr>
                <w:b w:val="0"/>
                <w:szCs w:val="22"/>
              </w:rPr>
              <w:t>Lumír Kantor, Ph.D.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 xml:space="preserve">Blanka </w:t>
            </w:r>
            <w:proofErr w:type="spellStart"/>
            <w:r w:rsidRPr="00232EEB">
              <w:rPr>
                <w:b w:val="0"/>
                <w:szCs w:val="22"/>
              </w:rPr>
              <w:t>Kolečkářová</w:t>
            </w:r>
            <w:proofErr w:type="spellEnd"/>
          </w:p>
        </w:tc>
        <w:tc>
          <w:tcPr>
            <w:tcW w:w="4535" w:type="dxa"/>
          </w:tcPr>
          <w:p w:rsidR="0007396B" w:rsidRPr="0007396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07396B">
              <w:rPr>
                <w:b w:val="0"/>
                <w:szCs w:val="22"/>
              </w:rPr>
              <w:t>JUDr. Vladimír Lichnovský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Martin Malášek</w:t>
            </w:r>
          </w:p>
        </w:tc>
        <w:tc>
          <w:tcPr>
            <w:tcW w:w="4535" w:type="dxa"/>
          </w:tcPr>
          <w:p w:rsidR="0007396B" w:rsidRPr="0007396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07396B">
              <w:rPr>
                <w:b w:val="0"/>
                <w:szCs w:val="22"/>
              </w:rPr>
              <w:t>Ing. Lenka Slováková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MUDr. Ivo Mareš, MBA</w:t>
            </w:r>
          </w:p>
        </w:tc>
        <w:tc>
          <w:tcPr>
            <w:tcW w:w="4535" w:type="dxa"/>
          </w:tcPr>
          <w:p w:rsidR="0007396B" w:rsidRPr="0007396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07396B">
              <w:rPr>
                <w:b w:val="0"/>
                <w:szCs w:val="22"/>
              </w:rPr>
              <w:t>MUDr. Radan Volnohradský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MUDr. Irena Pachtová</w:t>
            </w:r>
          </w:p>
        </w:tc>
        <w:tc>
          <w:tcPr>
            <w:tcW w:w="4535" w:type="dxa"/>
          </w:tcPr>
          <w:p w:rsidR="0007396B" w:rsidRPr="0007396B" w:rsidRDefault="0007396B" w:rsidP="0007396B">
            <w:pPr>
              <w:pStyle w:val="Vborptomni"/>
              <w:rPr>
                <w:b w:val="0"/>
                <w:szCs w:val="22"/>
              </w:rPr>
            </w:pP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Mgr. Isabela Pospíšilová</w:t>
            </w:r>
          </w:p>
        </w:tc>
        <w:tc>
          <w:tcPr>
            <w:tcW w:w="4535" w:type="dxa"/>
          </w:tcPr>
          <w:p w:rsidR="0007396B" w:rsidRPr="00250A77" w:rsidRDefault="0007396B" w:rsidP="0007396B">
            <w:pPr>
              <w:pStyle w:val="Vborptomni"/>
              <w:rPr>
                <w:b w:val="0"/>
                <w:sz w:val="24"/>
                <w:szCs w:val="24"/>
              </w:rPr>
            </w:pPr>
            <w:r w:rsidRPr="00570AA0">
              <w:t>Hosté: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Bc. Drahomír Sigmund, MBA</w:t>
            </w:r>
          </w:p>
        </w:tc>
        <w:tc>
          <w:tcPr>
            <w:tcW w:w="4535" w:type="dxa"/>
          </w:tcPr>
          <w:p w:rsidR="0007396B" w:rsidRPr="0007396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07396B">
              <w:rPr>
                <w:b w:val="0"/>
                <w:szCs w:val="22"/>
              </w:rPr>
              <w:t>Mgr. Dalibor Horák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PharmDr. Robert Šrejma</w:t>
            </w:r>
          </w:p>
        </w:tc>
        <w:tc>
          <w:tcPr>
            <w:tcW w:w="4535" w:type="dxa"/>
          </w:tcPr>
          <w:p w:rsidR="0007396B" w:rsidRPr="00570AA0" w:rsidRDefault="0007396B" w:rsidP="0007396B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 xml:space="preserve">Ing. Bohuslav Kolář, MBA, </w:t>
            </w:r>
            <w:proofErr w:type="gramStart"/>
            <w:r>
              <w:rPr>
                <w:rFonts w:cs="Arial"/>
              </w:rPr>
              <w:t>LL.M.</w:t>
            </w:r>
            <w:proofErr w:type="gramEnd"/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  <w:r w:rsidRPr="00232EEB">
              <w:rPr>
                <w:b w:val="0"/>
                <w:szCs w:val="22"/>
              </w:rPr>
              <w:t>MUDr. Vítězslav Vavroušek, MBA, MPH</w:t>
            </w:r>
          </w:p>
        </w:tc>
        <w:tc>
          <w:tcPr>
            <w:tcW w:w="4535" w:type="dxa"/>
          </w:tcPr>
          <w:p w:rsidR="0007396B" w:rsidRPr="00570AA0" w:rsidRDefault="0007396B" w:rsidP="0007396B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>Jan Zatloukal</w:t>
            </w:r>
          </w:p>
        </w:tc>
      </w:tr>
      <w:tr w:rsidR="0007396B" w:rsidRPr="00570AA0" w:rsidTr="0007396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3" w:type="dxa"/>
          </w:tcPr>
          <w:p w:rsidR="0007396B" w:rsidRPr="00232EEB" w:rsidRDefault="0007396B" w:rsidP="0007396B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4535" w:type="dxa"/>
          </w:tcPr>
          <w:p w:rsidR="0007396B" w:rsidRPr="00570AA0" w:rsidRDefault="0007396B" w:rsidP="0007396B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>Mgr. Robert Běhal</w:t>
            </w:r>
          </w:p>
        </w:tc>
      </w:tr>
    </w:tbl>
    <w:p w:rsidR="00975D37" w:rsidRPr="00570AA0" w:rsidRDefault="00975D37">
      <w:pPr>
        <w:pStyle w:val="Vborprogram"/>
        <w:rPr>
          <w:rFonts w:cs="Arial"/>
        </w:rPr>
      </w:pPr>
      <w:r w:rsidRPr="00570AA0">
        <w:rPr>
          <w:rFonts w:cs="Arial"/>
        </w:rPr>
        <w:t>Program:</w:t>
      </w:r>
    </w:p>
    <w:p w:rsidR="00232EEB" w:rsidRDefault="00232EEB" w:rsidP="00232EEB">
      <w:pPr>
        <w:pStyle w:val="slo1text"/>
        <w:numPr>
          <w:ilvl w:val="0"/>
          <w:numId w:val="27"/>
        </w:numPr>
      </w:pPr>
      <w:r w:rsidRPr="00880657">
        <w:rPr>
          <w:szCs w:val="24"/>
        </w:rPr>
        <w:t>Úvod</w:t>
      </w:r>
    </w:p>
    <w:p w:rsidR="00232EEB" w:rsidRPr="00880657" w:rsidRDefault="00232EEB" w:rsidP="00232EEB">
      <w:pPr>
        <w:pStyle w:val="slo1text"/>
        <w:numPr>
          <w:ilvl w:val="0"/>
          <w:numId w:val="27"/>
        </w:numPr>
        <w:rPr>
          <w:szCs w:val="24"/>
        </w:rPr>
      </w:pPr>
      <w:r w:rsidRPr="00120DF2">
        <w:rPr>
          <w:szCs w:val="24"/>
        </w:rPr>
        <w:t>Seznámení s aktuálními usneseními Zastupitelstva Olomouckého kraje v oblasti zdravotnictví</w:t>
      </w:r>
    </w:p>
    <w:p w:rsidR="00232EEB" w:rsidRPr="00880657" w:rsidRDefault="00232EEB" w:rsidP="00232EEB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>Kontrola plnění předchozích usnesení výboru</w:t>
      </w:r>
    </w:p>
    <w:p w:rsidR="00232EEB" w:rsidRDefault="0007396B" w:rsidP="00232EEB">
      <w:pPr>
        <w:pStyle w:val="slo1text"/>
        <w:numPr>
          <w:ilvl w:val="0"/>
          <w:numId w:val="27"/>
        </w:numPr>
        <w:rPr>
          <w:szCs w:val="24"/>
        </w:rPr>
      </w:pPr>
      <w:r>
        <w:rPr>
          <w:szCs w:val="24"/>
        </w:rPr>
        <w:t>Výpadky v zásobování léčivými přípravky – aktuální stav</w:t>
      </w:r>
    </w:p>
    <w:p w:rsidR="00975D37" w:rsidRPr="00232EEB" w:rsidRDefault="00232EEB" w:rsidP="00232EEB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 xml:space="preserve">Různé </w:t>
      </w:r>
    </w:p>
    <w:p w:rsidR="00975D37" w:rsidRPr="00570AA0" w:rsidRDefault="00975D37">
      <w:pPr>
        <w:pStyle w:val="Vborzpis"/>
      </w:pPr>
      <w:r w:rsidRPr="00570AA0">
        <w:br w:type="page"/>
      </w:r>
      <w:r w:rsidRPr="00570AA0">
        <w:lastRenderedPageBreak/>
        <w:t>Zápis:</w:t>
      </w:r>
    </w:p>
    <w:p w:rsidR="000F2E59" w:rsidRPr="000F2E59" w:rsidRDefault="000F2E59" w:rsidP="00416748">
      <w:pPr>
        <w:pStyle w:val="slo1text"/>
        <w:numPr>
          <w:ilvl w:val="0"/>
          <w:numId w:val="28"/>
        </w:numPr>
        <w:spacing w:line="254" w:lineRule="auto"/>
        <w:rPr>
          <w:b/>
        </w:rPr>
      </w:pPr>
      <w:r w:rsidRPr="000F2E59">
        <w:rPr>
          <w:b/>
          <w:szCs w:val="24"/>
        </w:rPr>
        <w:t>Úvod</w:t>
      </w:r>
    </w:p>
    <w:p w:rsidR="000F2E59" w:rsidRPr="000F2E59" w:rsidRDefault="000F2E59" w:rsidP="007754CC">
      <w:pPr>
        <w:spacing w:after="120" w:line="254" w:lineRule="auto"/>
        <w:ind w:firstLine="357"/>
        <w:jc w:val="both"/>
        <w:rPr>
          <w:rFonts w:ascii="Arial" w:hAnsi="Arial" w:cs="Arial"/>
        </w:rPr>
      </w:pPr>
      <w:r w:rsidRPr="000F2E59">
        <w:rPr>
          <w:rFonts w:ascii="Arial" w:hAnsi="Arial" w:cs="Arial"/>
        </w:rPr>
        <w:t>Předsedkyně výboru MUDr. Škvařilová zahájila zasedání výboru pro zdravotnictví (dále také jen „zdravotní výbor“), přivítala jeho členy a hosty zasedání.</w:t>
      </w:r>
    </w:p>
    <w:p w:rsidR="000F2E59" w:rsidRPr="00F576D8" w:rsidRDefault="000F2E59" w:rsidP="007754CC">
      <w:pPr>
        <w:pStyle w:val="Znak2odsazen1text"/>
        <w:numPr>
          <w:ilvl w:val="0"/>
          <w:numId w:val="0"/>
        </w:numPr>
        <w:spacing w:after="240"/>
        <w:ind w:left="567" w:hanging="210"/>
        <w:rPr>
          <w:rFonts w:cs="Arial"/>
          <w:szCs w:val="24"/>
        </w:rPr>
      </w:pPr>
      <w:r w:rsidRPr="00F576D8">
        <w:rPr>
          <w:rFonts w:cs="Arial"/>
          <w:szCs w:val="24"/>
        </w:rPr>
        <w:t xml:space="preserve">Výbor schválil navržený program dnešního zasedání. </w:t>
      </w:r>
    </w:p>
    <w:p w:rsidR="00975D37" w:rsidRPr="00570AA0" w:rsidRDefault="00D06566" w:rsidP="00416748">
      <w:pPr>
        <w:pStyle w:val="slo1text"/>
        <w:numPr>
          <w:ilvl w:val="0"/>
          <w:numId w:val="28"/>
        </w:numPr>
        <w:spacing w:line="254" w:lineRule="auto"/>
        <w:ind w:left="357" w:hanging="357"/>
        <w:rPr>
          <w:rFonts w:cs="Arial"/>
          <w:b/>
          <w:color w:val="FF0000"/>
        </w:rPr>
      </w:pPr>
      <w:r w:rsidRPr="00D06566">
        <w:rPr>
          <w:rFonts w:cs="Arial"/>
          <w:b/>
        </w:rPr>
        <w:t>Seznámení s aktuálními usneseními Zastupitelstva Olomouckého kraje v oblasti zdravotnictví</w:t>
      </w:r>
    </w:p>
    <w:p w:rsidR="00D06566" w:rsidRPr="00D06566" w:rsidRDefault="00D06566" w:rsidP="00416748">
      <w:pPr>
        <w:spacing w:after="240" w:line="254" w:lineRule="auto"/>
        <w:ind w:firstLine="357"/>
        <w:jc w:val="both"/>
        <w:rPr>
          <w:rFonts w:ascii="Arial" w:hAnsi="Arial" w:cs="Arial"/>
        </w:rPr>
      </w:pPr>
      <w:r w:rsidRPr="00D06566">
        <w:rPr>
          <w:rFonts w:ascii="Arial" w:hAnsi="Arial" w:cs="Arial"/>
        </w:rPr>
        <w:t xml:space="preserve">Tajemník výboru informoval o usneseních Zastupitelstva Olomouckého kraje </w:t>
      </w:r>
      <w:r>
        <w:rPr>
          <w:rFonts w:ascii="Arial" w:hAnsi="Arial" w:cs="Arial"/>
        </w:rPr>
        <w:t xml:space="preserve">(ZOK) </w:t>
      </w:r>
      <w:r w:rsidRPr="00D06566">
        <w:rPr>
          <w:rFonts w:ascii="Arial" w:hAnsi="Arial" w:cs="Arial"/>
        </w:rPr>
        <w:t>v oblasti zdravotnictví v době od minulé</w:t>
      </w:r>
      <w:r w:rsidR="00DA6578">
        <w:rPr>
          <w:rFonts w:ascii="Arial" w:hAnsi="Arial" w:cs="Arial"/>
        </w:rPr>
        <w:t xml:space="preserve">ho zasedání zdravotního výboru, a to ze zasedání ZOK </w:t>
      </w:r>
      <w:r w:rsidR="00AD2FAB">
        <w:rPr>
          <w:rFonts w:ascii="Arial" w:hAnsi="Arial" w:cs="Arial"/>
        </w:rPr>
        <w:t xml:space="preserve">12. 12. 2022 </w:t>
      </w:r>
      <w:r w:rsidR="00DA6578">
        <w:rPr>
          <w:rFonts w:ascii="Arial" w:hAnsi="Arial" w:cs="Arial"/>
        </w:rPr>
        <w:t>a zasedání ZOK 20. 2. 2023</w:t>
      </w:r>
      <w:r w:rsidR="00AD2FAB">
        <w:rPr>
          <w:rFonts w:cs="Arial"/>
        </w:rPr>
        <w:t>.</w:t>
      </w:r>
    </w:p>
    <w:p w:rsidR="00975D37" w:rsidRPr="00DA6578" w:rsidRDefault="00DA6578" w:rsidP="0068744C">
      <w:pPr>
        <w:pStyle w:val="slo1text"/>
        <w:numPr>
          <w:ilvl w:val="0"/>
          <w:numId w:val="28"/>
        </w:numPr>
        <w:rPr>
          <w:rFonts w:cs="Arial"/>
          <w:b/>
        </w:rPr>
      </w:pPr>
      <w:r w:rsidRPr="00DA6578">
        <w:rPr>
          <w:b/>
          <w:szCs w:val="24"/>
        </w:rPr>
        <w:t>Kontrola plnění předchozích usnesení výboru</w:t>
      </w:r>
      <w:r w:rsidRPr="00DA6578">
        <w:rPr>
          <w:rFonts w:cs="Arial"/>
          <w:b/>
          <w:color w:val="FF0000"/>
        </w:rPr>
        <w:t xml:space="preserve"> </w:t>
      </w:r>
    </w:p>
    <w:p w:rsidR="00975D37" w:rsidRPr="00416748" w:rsidRDefault="00DA6578" w:rsidP="00416748">
      <w:pPr>
        <w:spacing w:after="240" w:line="254" w:lineRule="auto"/>
        <w:ind w:firstLine="357"/>
        <w:jc w:val="both"/>
        <w:rPr>
          <w:rFonts w:ascii="Arial" w:hAnsi="Arial" w:cs="Arial"/>
        </w:rPr>
      </w:pPr>
      <w:r w:rsidRPr="00DA6578">
        <w:rPr>
          <w:rFonts w:ascii="Arial" w:hAnsi="Arial" w:cs="Arial"/>
        </w:rPr>
        <w:t>Předsedkyně výboru MUDr. Škvařilová konstatovala</w:t>
      </w:r>
      <w:r>
        <w:rPr>
          <w:rFonts w:ascii="Arial" w:hAnsi="Arial" w:cs="Arial"/>
        </w:rPr>
        <w:t>,</w:t>
      </w:r>
      <w:r w:rsidRPr="00DA6578">
        <w:rPr>
          <w:rFonts w:ascii="Arial" w:hAnsi="Arial" w:cs="Arial"/>
        </w:rPr>
        <w:t xml:space="preserve"> že z minulého zasedání zdravotního výboru </w:t>
      </w:r>
      <w:r>
        <w:rPr>
          <w:rFonts w:ascii="Arial" w:hAnsi="Arial" w:cs="Arial"/>
        </w:rPr>
        <w:t>nevznikly úkoly, požadované informace (důvody neposkytnutí individuální dotace a informace o prvním jednání pracovní skupiny pro rozvoj zdravotních služeb v kraji) byly zaslány se zápisem z minulého zasedání.</w:t>
      </w:r>
    </w:p>
    <w:p w:rsidR="0068744C" w:rsidRPr="0068744C" w:rsidRDefault="0068744C" w:rsidP="0068744C">
      <w:pPr>
        <w:pStyle w:val="slo1text"/>
        <w:numPr>
          <w:ilvl w:val="0"/>
          <w:numId w:val="28"/>
        </w:numPr>
        <w:rPr>
          <w:rFonts w:cs="Arial"/>
          <w:b/>
          <w:color w:val="FF0000"/>
        </w:rPr>
      </w:pPr>
      <w:r w:rsidRPr="0068744C">
        <w:rPr>
          <w:rFonts w:cs="Arial"/>
          <w:b/>
        </w:rPr>
        <w:t>Výpadky v zásobování léčivými přípravky – aktuální stav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Škvařilová </w:t>
      </w:r>
      <w:proofErr w:type="gramStart"/>
      <w:r>
        <w:rPr>
          <w:rFonts w:ascii="Arial" w:hAnsi="Arial" w:cs="Arial"/>
        </w:rPr>
        <w:t>požádala</w:t>
      </w:r>
      <w:proofErr w:type="gramEnd"/>
      <w:r>
        <w:rPr>
          <w:rFonts w:ascii="Arial" w:hAnsi="Arial" w:cs="Arial"/>
        </w:rPr>
        <w:t xml:space="preserve"> Mgr. </w:t>
      </w:r>
      <w:proofErr w:type="gramStart"/>
      <w:r>
        <w:rPr>
          <w:rFonts w:ascii="Arial" w:hAnsi="Arial" w:cs="Arial"/>
        </w:rPr>
        <w:t>Běhala</w:t>
      </w:r>
      <w:proofErr w:type="gramEnd"/>
      <w:r w:rsidR="000F2E59">
        <w:rPr>
          <w:rFonts w:ascii="Arial" w:hAnsi="Arial" w:cs="Arial"/>
        </w:rPr>
        <w:t>, vedoucího lékárníka Fakultní nemocnice Olomouc,</w:t>
      </w:r>
      <w:r>
        <w:rPr>
          <w:rFonts w:ascii="Arial" w:hAnsi="Arial" w:cs="Arial"/>
        </w:rPr>
        <w:t xml:space="preserve"> o prezentaci informací k </w:t>
      </w:r>
      <w:r w:rsidRPr="004F359F">
        <w:rPr>
          <w:rFonts w:ascii="Arial" w:hAnsi="Arial" w:cs="Arial"/>
        </w:rPr>
        <w:t>výpadk</w:t>
      </w:r>
      <w:r>
        <w:rPr>
          <w:rFonts w:ascii="Arial" w:hAnsi="Arial" w:cs="Arial"/>
        </w:rPr>
        <w:t>ům</w:t>
      </w:r>
      <w:r w:rsidRPr="004F359F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4F359F">
        <w:rPr>
          <w:rFonts w:ascii="Arial" w:hAnsi="Arial" w:cs="Arial"/>
        </w:rPr>
        <w:t>zásobování léčivými přípravky</w:t>
      </w:r>
      <w:r>
        <w:rPr>
          <w:rFonts w:ascii="Arial" w:hAnsi="Arial" w:cs="Arial"/>
        </w:rPr>
        <w:t xml:space="preserve">. Mgr. </w:t>
      </w:r>
      <w:proofErr w:type="gramStart"/>
      <w:r>
        <w:rPr>
          <w:rFonts w:ascii="Arial" w:hAnsi="Arial" w:cs="Arial"/>
        </w:rPr>
        <w:t>Běhal</w:t>
      </w:r>
      <w:r w:rsidRPr="004F359F">
        <w:rPr>
          <w:rFonts w:ascii="Arial" w:hAnsi="Arial" w:cs="Arial"/>
        </w:rPr>
        <w:t xml:space="preserve"> předeslal</w:t>
      </w:r>
      <w:proofErr w:type="gramEnd"/>
      <w:r w:rsidRPr="004F359F">
        <w:rPr>
          <w:rFonts w:ascii="Arial" w:hAnsi="Arial" w:cs="Arial"/>
        </w:rPr>
        <w:t xml:space="preserve">, že </w:t>
      </w:r>
      <w:r w:rsidRPr="00B72D7E">
        <w:rPr>
          <w:rFonts w:ascii="Arial" w:hAnsi="Arial" w:cs="Arial"/>
        </w:rPr>
        <w:t>velk</w:t>
      </w:r>
      <w:r>
        <w:rPr>
          <w:rFonts w:ascii="Arial" w:hAnsi="Arial" w:cs="Arial"/>
        </w:rPr>
        <w:t>é</w:t>
      </w:r>
      <w:r w:rsidRPr="00B72D7E">
        <w:rPr>
          <w:rFonts w:ascii="Arial" w:hAnsi="Arial" w:cs="Arial"/>
        </w:rPr>
        <w:t xml:space="preserve"> výpadk</w:t>
      </w:r>
      <w:r>
        <w:rPr>
          <w:rFonts w:ascii="Arial" w:hAnsi="Arial" w:cs="Arial"/>
        </w:rPr>
        <w:t>y</w:t>
      </w:r>
      <w:r w:rsidRPr="00B72D7E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B72D7E">
        <w:rPr>
          <w:rFonts w:ascii="Arial" w:hAnsi="Arial" w:cs="Arial"/>
        </w:rPr>
        <w:t>zásobování léčivými přípravky</w:t>
      </w:r>
      <w:r>
        <w:rPr>
          <w:rFonts w:ascii="Arial" w:hAnsi="Arial" w:cs="Arial"/>
        </w:rPr>
        <w:t xml:space="preserve">, které pozorujeme </w:t>
      </w:r>
      <w:r w:rsidRPr="004F359F">
        <w:rPr>
          <w:rFonts w:ascii="Arial" w:hAnsi="Arial" w:cs="Arial"/>
        </w:rPr>
        <w:t>v posledních měsících</w:t>
      </w:r>
      <w:r w:rsidRPr="00B72D7E">
        <w:rPr>
          <w:rFonts w:ascii="Arial" w:hAnsi="Arial" w:cs="Arial"/>
        </w:rPr>
        <w:t xml:space="preserve">, mají </w:t>
      </w:r>
      <w:r>
        <w:rPr>
          <w:rFonts w:ascii="Arial" w:hAnsi="Arial" w:cs="Arial"/>
        </w:rPr>
        <w:t xml:space="preserve">komplexní </w:t>
      </w:r>
      <w:r w:rsidRPr="00B72D7E">
        <w:rPr>
          <w:rFonts w:ascii="Arial" w:hAnsi="Arial" w:cs="Arial"/>
        </w:rPr>
        <w:t>řadu příčin.</w:t>
      </w:r>
      <w:r>
        <w:rPr>
          <w:rFonts w:ascii="Arial" w:hAnsi="Arial" w:cs="Arial"/>
        </w:rPr>
        <w:t xml:space="preserve"> Především c</w:t>
      </w:r>
      <w:r w:rsidRPr="00B72D7E">
        <w:rPr>
          <w:rFonts w:ascii="Arial" w:hAnsi="Arial" w:cs="Arial"/>
        </w:rPr>
        <w:t>elosvětově rost</w:t>
      </w:r>
      <w:r>
        <w:rPr>
          <w:rFonts w:ascii="Arial" w:hAnsi="Arial" w:cs="Arial"/>
        </w:rPr>
        <w:t>e</w:t>
      </w:r>
      <w:r w:rsidRPr="00B72D7E">
        <w:rPr>
          <w:rFonts w:ascii="Arial" w:hAnsi="Arial" w:cs="Arial"/>
        </w:rPr>
        <w:t xml:space="preserve"> poptávka</w:t>
      </w:r>
      <w:r>
        <w:rPr>
          <w:rFonts w:ascii="Arial" w:hAnsi="Arial" w:cs="Arial"/>
        </w:rPr>
        <w:t xml:space="preserve"> po léčivech</w:t>
      </w:r>
      <w:r w:rsidRPr="00B72D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proti které stojí jejich </w:t>
      </w:r>
      <w:r w:rsidRPr="00B72D7E">
        <w:rPr>
          <w:rFonts w:ascii="Arial" w:hAnsi="Arial" w:cs="Arial"/>
        </w:rPr>
        <w:t>nedostatečná nabídka</w:t>
      </w:r>
      <w:r>
        <w:rPr>
          <w:rFonts w:ascii="Arial" w:hAnsi="Arial" w:cs="Arial"/>
        </w:rPr>
        <w:t xml:space="preserve">. </w:t>
      </w:r>
    </w:p>
    <w:p w:rsidR="006461A1" w:rsidRPr="00B72D7E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se týče výroby a logistiky, je nutno zmínit, že účinné látky, z nichž jsou vyráběny léky, se produkují pouze v jednotkách továren na světě, a to většinou v Asii (kam se produkce přesunula kvůli nižším nákladům, ekologickým, sociálním a bezpečnostním standardům atp.). Soustředění výroby účinných látek do několika málo míst pak znamená, že když v lokalitě dotčené továrny vznikne nějaké omezení, není zajištěna surovina pro mnoho výrobců konečných lékových forem (kterými jsou </w:t>
      </w:r>
      <w:r w:rsidRPr="00B72D7E">
        <w:rPr>
          <w:rFonts w:ascii="Arial" w:hAnsi="Arial" w:cs="Arial"/>
        </w:rPr>
        <w:t>tablet</w:t>
      </w:r>
      <w:r>
        <w:rPr>
          <w:rFonts w:ascii="Arial" w:hAnsi="Arial" w:cs="Arial"/>
        </w:rPr>
        <w:t>y</w:t>
      </w:r>
      <w:r w:rsidRPr="00B72D7E">
        <w:rPr>
          <w:rFonts w:ascii="Arial" w:hAnsi="Arial" w:cs="Arial"/>
        </w:rPr>
        <w:t>, injekc</w:t>
      </w:r>
      <w:r>
        <w:rPr>
          <w:rFonts w:ascii="Arial" w:hAnsi="Arial" w:cs="Arial"/>
        </w:rPr>
        <w:t>e</w:t>
      </w:r>
      <w:r w:rsidRPr="00B72D7E">
        <w:rPr>
          <w:rFonts w:ascii="Arial" w:hAnsi="Arial" w:cs="Arial"/>
        </w:rPr>
        <w:t>, sirup</w:t>
      </w:r>
      <w:r>
        <w:rPr>
          <w:rFonts w:ascii="Arial" w:hAnsi="Arial" w:cs="Arial"/>
        </w:rPr>
        <w:t>y</w:t>
      </w:r>
      <w:r w:rsidRPr="00B72D7E">
        <w:rPr>
          <w:rFonts w:ascii="Arial" w:hAnsi="Arial" w:cs="Arial"/>
        </w:rPr>
        <w:t>, čípk</w:t>
      </w:r>
      <w:r>
        <w:rPr>
          <w:rFonts w:ascii="Arial" w:hAnsi="Arial" w:cs="Arial"/>
        </w:rPr>
        <w:t>y</w:t>
      </w:r>
      <w:r w:rsidRPr="00B72D7E">
        <w:rPr>
          <w:rFonts w:ascii="Arial" w:hAnsi="Arial" w:cs="Arial"/>
        </w:rPr>
        <w:t>, mast</w:t>
      </w:r>
      <w:r>
        <w:rPr>
          <w:rFonts w:ascii="Arial" w:hAnsi="Arial" w:cs="Arial"/>
        </w:rPr>
        <w:t>i</w:t>
      </w:r>
      <w:r w:rsidRPr="00B72D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různých místech na světě. Délka doby p</w:t>
      </w:r>
      <w:r w:rsidRPr="00B72D7E">
        <w:rPr>
          <w:rFonts w:ascii="Arial" w:hAnsi="Arial" w:cs="Arial"/>
        </w:rPr>
        <w:t xml:space="preserve">lánování výroby </w:t>
      </w:r>
      <w:r>
        <w:rPr>
          <w:rFonts w:ascii="Arial" w:hAnsi="Arial" w:cs="Arial"/>
        </w:rPr>
        <w:t xml:space="preserve">léčiv není záležitostí v řádu měsíců ale </w:t>
      </w:r>
      <w:r w:rsidRPr="00B72D7E">
        <w:rPr>
          <w:rFonts w:ascii="Arial" w:hAnsi="Arial" w:cs="Arial"/>
        </w:rPr>
        <w:t>spíš let</w:t>
      </w:r>
      <w:r>
        <w:rPr>
          <w:rFonts w:ascii="Arial" w:hAnsi="Arial" w:cs="Arial"/>
        </w:rPr>
        <w:t>, proto nelze reagovat zcela operativně.</w:t>
      </w:r>
    </w:p>
    <w:p w:rsidR="006461A1" w:rsidRPr="00B72D7E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 dalším problémům patří n</w:t>
      </w:r>
      <w:r w:rsidRPr="00B72D7E">
        <w:rPr>
          <w:rFonts w:ascii="Arial" w:hAnsi="Arial" w:cs="Arial"/>
        </w:rPr>
        <w:t>ízká cenová hladina léků v</w:t>
      </w:r>
      <w:r>
        <w:rPr>
          <w:rFonts w:ascii="Arial" w:hAnsi="Arial" w:cs="Arial"/>
        </w:rPr>
        <w:t> </w:t>
      </w:r>
      <w:r w:rsidRPr="00B72D7E">
        <w:rPr>
          <w:rFonts w:ascii="Arial" w:hAnsi="Arial" w:cs="Arial"/>
        </w:rPr>
        <w:t>ČR</w:t>
      </w:r>
      <w:r>
        <w:rPr>
          <w:rFonts w:ascii="Arial" w:hAnsi="Arial" w:cs="Arial"/>
        </w:rPr>
        <w:t xml:space="preserve"> (u mnoha běžných léků cena v Německu 4 až 6 krát vyšší než u nás). Maximální ceny léků (a úhrady u regulovaných léčivých přípravků) jsou stanovovány jako </w:t>
      </w:r>
      <w:r w:rsidRPr="00B72D7E">
        <w:rPr>
          <w:rFonts w:ascii="Arial" w:hAnsi="Arial" w:cs="Arial"/>
        </w:rPr>
        <w:t>průměr z 3 nejnižších referenčních cen v</w:t>
      </w:r>
      <w:r>
        <w:rPr>
          <w:rFonts w:ascii="Arial" w:hAnsi="Arial" w:cs="Arial"/>
        </w:rPr>
        <w:t xml:space="preserve"> zemích </w:t>
      </w:r>
      <w:r w:rsidRPr="00B72D7E">
        <w:rPr>
          <w:rFonts w:ascii="Arial" w:hAnsi="Arial" w:cs="Arial"/>
        </w:rPr>
        <w:t>EU</w:t>
      </w:r>
      <w:r>
        <w:rPr>
          <w:rFonts w:ascii="Arial" w:hAnsi="Arial" w:cs="Arial"/>
        </w:rPr>
        <w:t>. Výrobci mají tendenci nabízet léky na trhu, kde se nabízí vyšší cena. V různých státech EU jsou také různé regulace cen léků. S</w:t>
      </w:r>
      <w:r w:rsidRPr="00B72D7E">
        <w:rPr>
          <w:rFonts w:ascii="Arial" w:hAnsi="Arial" w:cs="Arial"/>
        </w:rPr>
        <w:t xml:space="preserve"> tím souvisí </w:t>
      </w:r>
      <w:r>
        <w:rPr>
          <w:rFonts w:ascii="Arial" w:hAnsi="Arial" w:cs="Arial"/>
        </w:rPr>
        <w:t xml:space="preserve">tzv. </w:t>
      </w:r>
      <w:r w:rsidRPr="00B72D7E">
        <w:rPr>
          <w:rFonts w:ascii="Arial" w:hAnsi="Arial" w:cs="Arial"/>
        </w:rPr>
        <w:t>reexporty</w:t>
      </w:r>
      <w:r>
        <w:rPr>
          <w:rFonts w:ascii="Arial" w:hAnsi="Arial" w:cs="Arial"/>
        </w:rPr>
        <w:t xml:space="preserve">, kdy léky, které už byly uvedeny na trh u nás, distributor exportuje do ciziny. 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neposlední řadě lze také poukázat na </w:t>
      </w:r>
      <w:r w:rsidRPr="00B72D7E">
        <w:rPr>
          <w:rFonts w:ascii="Arial" w:hAnsi="Arial" w:cs="Arial"/>
        </w:rPr>
        <w:t>panik</w:t>
      </w:r>
      <w:r>
        <w:rPr>
          <w:rFonts w:ascii="Arial" w:hAnsi="Arial" w:cs="Arial"/>
        </w:rPr>
        <w:t xml:space="preserve">u, která vzniká na základě zpráv o nedostatku různých léků ve sdělovacích prostředcích, </w:t>
      </w:r>
      <w:r w:rsidRPr="00B72D7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vede ke skupování léků.</w:t>
      </w:r>
      <w:r w:rsidRPr="00B72D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Zásobování ovlivňují aktuální události - pandemie </w:t>
      </w:r>
      <w:r w:rsidRPr="00B72D7E">
        <w:rPr>
          <w:rFonts w:ascii="Arial" w:hAnsi="Arial" w:cs="Arial"/>
        </w:rPr>
        <w:t>COVID</w:t>
      </w:r>
      <w:r>
        <w:rPr>
          <w:rFonts w:ascii="Arial" w:hAnsi="Arial" w:cs="Arial"/>
        </w:rPr>
        <w:t xml:space="preserve">-19, důsledky </w:t>
      </w:r>
      <w:r w:rsidRPr="00B72D7E">
        <w:rPr>
          <w:rFonts w:ascii="Arial" w:hAnsi="Arial" w:cs="Arial"/>
        </w:rPr>
        <w:t>válk</w:t>
      </w:r>
      <w:r>
        <w:rPr>
          <w:rFonts w:ascii="Arial" w:hAnsi="Arial" w:cs="Arial"/>
        </w:rPr>
        <w:t>y na Ukrajině.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webových stránkách Státního ústavu pro kontrolu léčiv se nachází informace o výpadcích léků.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lékárenské praxi můžeme rozlišit několik úrovní pro řešení nedostatku léčiv. Nejjednodušší způsob vyrovnání se s nedostatkem nastává, když je možné lék nahradit </w:t>
      </w:r>
      <w:r>
        <w:rPr>
          <w:rFonts w:ascii="Arial" w:hAnsi="Arial" w:cs="Arial"/>
        </w:rPr>
        <w:lastRenderedPageBreak/>
        <w:t>jiným přípravkem chemicky totožným (generická substituce), jinou sílou – množstvím (např. tableta 80 mg nahrazena 2 tabletami 40 mg téhož přípravku), jinou lékovou formou (roztok nahrazen sirupem), nebo 1 přípravek se nahradí 2 léky (když původní byl složen chemicky z 2 substancí). Takové vyrovnání neohrožuje zdraví, ale dochází ke snížení komfortu.</w:t>
      </w:r>
    </w:p>
    <w:p w:rsidR="006461A1" w:rsidRPr="006C431C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Významnější jsou případy, ve kterých se výpadek řeší s</w:t>
      </w:r>
      <w:r w:rsidRPr="00812BB0">
        <w:rPr>
          <w:rFonts w:ascii="Arial" w:hAnsi="Arial" w:cs="Arial"/>
        </w:rPr>
        <w:t>ubstituc</w:t>
      </w:r>
      <w:r>
        <w:rPr>
          <w:rFonts w:ascii="Arial" w:hAnsi="Arial" w:cs="Arial"/>
        </w:rPr>
        <w:t>í</w:t>
      </w:r>
      <w:r w:rsidRPr="00812BB0">
        <w:rPr>
          <w:rFonts w:ascii="Arial" w:hAnsi="Arial" w:cs="Arial"/>
        </w:rPr>
        <w:t xml:space="preserve"> neregistrovaným lékem</w:t>
      </w:r>
      <w:r>
        <w:rPr>
          <w:rFonts w:ascii="Arial" w:hAnsi="Arial" w:cs="Arial"/>
        </w:rPr>
        <w:t xml:space="preserve"> dovezeným ze zahraničí,</w:t>
      </w:r>
      <w:r w:rsidRPr="00812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lékem připraveným </w:t>
      </w:r>
      <w:r w:rsidRPr="00812BB0">
        <w:rPr>
          <w:rFonts w:ascii="Arial" w:hAnsi="Arial" w:cs="Arial"/>
        </w:rPr>
        <w:t>„</w:t>
      </w:r>
      <w:proofErr w:type="spellStart"/>
      <w:r w:rsidRPr="00812BB0">
        <w:rPr>
          <w:rFonts w:ascii="Arial" w:hAnsi="Arial" w:cs="Arial"/>
        </w:rPr>
        <w:t>magistraliter</w:t>
      </w:r>
      <w:proofErr w:type="spellEnd"/>
      <w:r w:rsidRPr="00812BB0">
        <w:rPr>
          <w:rFonts w:ascii="Arial" w:hAnsi="Arial" w:cs="Arial"/>
        </w:rPr>
        <w:t>“ v</w:t>
      </w:r>
      <w:r>
        <w:rPr>
          <w:rFonts w:ascii="Arial" w:hAnsi="Arial" w:cs="Arial"/>
        </w:rPr>
        <w:t> </w:t>
      </w:r>
      <w:r w:rsidRPr="00812BB0">
        <w:rPr>
          <w:rFonts w:ascii="Arial" w:hAnsi="Arial" w:cs="Arial"/>
        </w:rPr>
        <w:t>lékárně</w:t>
      </w:r>
      <w:r>
        <w:rPr>
          <w:rFonts w:ascii="Arial" w:hAnsi="Arial" w:cs="Arial"/>
        </w:rPr>
        <w:t xml:space="preserve"> (krátká </w:t>
      </w:r>
      <w:r w:rsidRPr="00812BB0">
        <w:rPr>
          <w:rFonts w:ascii="Arial" w:hAnsi="Arial" w:cs="Arial"/>
        </w:rPr>
        <w:t>exspirace, jištění kvalit</w:t>
      </w:r>
      <w:r>
        <w:rPr>
          <w:rFonts w:ascii="Arial" w:hAnsi="Arial" w:cs="Arial"/>
        </w:rPr>
        <w:t>y není certifikováno jako v „klasické“ výrobě</w:t>
      </w:r>
      <w:r w:rsidRPr="00812BB0">
        <w:rPr>
          <w:rFonts w:ascii="Arial" w:hAnsi="Arial" w:cs="Arial"/>
        </w:rPr>
        <w:t>)</w:t>
      </w:r>
      <w:r>
        <w:rPr>
          <w:rFonts w:ascii="Arial" w:hAnsi="Arial" w:cs="Arial"/>
        </w:rPr>
        <w:t>, dále n</w:t>
      </w:r>
      <w:r w:rsidRPr="00812BB0">
        <w:rPr>
          <w:rFonts w:ascii="Arial" w:hAnsi="Arial" w:cs="Arial"/>
        </w:rPr>
        <w:t xml:space="preserve">estandardní dělení lékových forem </w:t>
      </w:r>
      <w:r>
        <w:rPr>
          <w:rFonts w:ascii="Arial" w:hAnsi="Arial" w:cs="Arial"/>
        </w:rPr>
        <w:t>(např. dávka léku má být tableta 250 mg, použije se polovina potahované tablety 500 mg – nelze u všech léků), náhrada n</w:t>
      </w:r>
      <w:r w:rsidRPr="00812BB0">
        <w:rPr>
          <w:rFonts w:ascii="Arial" w:hAnsi="Arial" w:cs="Arial"/>
        </w:rPr>
        <w:t>evhodn</w:t>
      </w:r>
      <w:r>
        <w:rPr>
          <w:rFonts w:ascii="Arial" w:hAnsi="Arial" w:cs="Arial"/>
        </w:rPr>
        <w:t>ou</w:t>
      </w:r>
      <w:r w:rsidRPr="00812BB0">
        <w:rPr>
          <w:rFonts w:ascii="Arial" w:hAnsi="Arial" w:cs="Arial"/>
        </w:rPr>
        <w:t xml:space="preserve"> lékov</w:t>
      </w:r>
      <w:r>
        <w:rPr>
          <w:rFonts w:ascii="Arial" w:hAnsi="Arial" w:cs="Arial"/>
        </w:rPr>
        <w:t>ou</w:t>
      </w:r>
      <w:r w:rsidRPr="00812BB0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ou</w:t>
      </w:r>
      <w:r w:rsidRPr="00812BB0">
        <w:rPr>
          <w:rFonts w:ascii="Arial" w:hAnsi="Arial" w:cs="Arial"/>
        </w:rPr>
        <w:t xml:space="preserve"> (tablet</w:t>
      </w:r>
      <w:r>
        <w:rPr>
          <w:rFonts w:ascii="Arial" w:hAnsi="Arial" w:cs="Arial"/>
        </w:rPr>
        <w:t xml:space="preserve">a místo sirupu </w:t>
      </w:r>
      <w:r w:rsidRPr="00812BB0">
        <w:rPr>
          <w:rFonts w:ascii="Arial" w:hAnsi="Arial" w:cs="Arial"/>
        </w:rPr>
        <w:t>pro dítě –</w:t>
      </w:r>
      <w:r>
        <w:rPr>
          <w:rFonts w:ascii="Arial" w:hAnsi="Arial" w:cs="Arial"/>
        </w:rPr>
        <w:t xml:space="preserve"> polykání, dávkování). V těchto případech sice také n</w:t>
      </w:r>
      <w:r w:rsidRPr="006C431C">
        <w:rPr>
          <w:rFonts w:ascii="Arial" w:hAnsi="Arial" w:cs="Arial"/>
        </w:rPr>
        <w:t>edochází k</w:t>
      </w:r>
      <w:r>
        <w:rPr>
          <w:rFonts w:ascii="Arial" w:hAnsi="Arial" w:cs="Arial"/>
        </w:rPr>
        <w:t> </w:t>
      </w:r>
      <w:r w:rsidRPr="006C431C">
        <w:rPr>
          <w:rFonts w:ascii="Arial" w:hAnsi="Arial" w:cs="Arial"/>
        </w:rPr>
        <w:t xml:space="preserve">ohrožení zdraví, </w:t>
      </w:r>
      <w:r>
        <w:rPr>
          <w:rFonts w:ascii="Arial" w:hAnsi="Arial" w:cs="Arial"/>
        </w:rPr>
        <w:t xml:space="preserve">ale </w:t>
      </w:r>
      <w:r w:rsidRPr="006C431C">
        <w:rPr>
          <w:rFonts w:ascii="Arial" w:hAnsi="Arial" w:cs="Arial"/>
        </w:rPr>
        <w:t>zv</w:t>
      </w:r>
      <w:r>
        <w:rPr>
          <w:rFonts w:ascii="Arial" w:hAnsi="Arial" w:cs="Arial"/>
        </w:rPr>
        <w:t>y</w:t>
      </w:r>
      <w:r w:rsidRPr="006C431C">
        <w:rPr>
          <w:rFonts w:ascii="Arial" w:hAnsi="Arial" w:cs="Arial"/>
        </w:rPr>
        <w:t>š</w:t>
      </w:r>
      <w:r>
        <w:rPr>
          <w:rFonts w:ascii="Arial" w:hAnsi="Arial" w:cs="Arial"/>
        </w:rPr>
        <w:t xml:space="preserve">ují se </w:t>
      </w:r>
      <w:r w:rsidRPr="006C431C">
        <w:rPr>
          <w:rFonts w:ascii="Arial" w:hAnsi="Arial" w:cs="Arial"/>
        </w:rPr>
        <w:t>náklad</w:t>
      </w:r>
      <w:r>
        <w:rPr>
          <w:rFonts w:ascii="Arial" w:hAnsi="Arial" w:cs="Arial"/>
        </w:rPr>
        <w:t xml:space="preserve">y a </w:t>
      </w:r>
      <w:r w:rsidRPr="006C431C">
        <w:rPr>
          <w:rFonts w:ascii="Arial" w:hAnsi="Arial" w:cs="Arial"/>
        </w:rPr>
        <w:t xml:space="preserve">významně </w:t>
      </w:r>
      <w:r>
        <w:rPr>
          <w:rFonts w:ascii="Arial" w:hAnsi="Arial" w:cs="Arial"/>
        </w:rPr>
        <w:t xml:space="preserve">se </w:t>
      </w:r>
      <w:r w:rsidRPr="006C431C">
        <w:rPr>
          <w:rFonts w:ascii="Arial" w:hAnsi="Arial" w:cs="Arial"/>
        </w:rPr>
        <w:t>sn</w:t>
      </w:r>
      <w:r>
        <w:rPr>
          <w:rFonts w:ascii="Arial" w:hAnsi="Arial" w:cs="Arial"/>
        </w:rPr>
        <w:t>i</w:t>
      </w:r>
      <w:r w:rsidRPr="006C431C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uje </w:t>
      </w:r>
      <w:r w:rsidRPr="006C431C">
        <w:rPr>
          <w:rFonts w:ascii="Arial" w:hAnsi="Arial" w:cs="Arial"/>
        </w:rPr>
        <w:t>komfort</w:t>
      </w:r>
      <w:r>
        <w:rPr>
          <w:rFonts w:ascii="Arial" w:hAnsi="Arial" w:cs="Arial"/>
        </w:rPr>
        <w:t>.</w:t>
      </w:r>
    </w:p>
    <w:p w:rsidR="006461A1" w:rsidRPr="00EE0553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Nejvážnější jsou případy, kdy je nutné lék s</w:t>
      </w:r>
      <w:r w:rsidRPr="00EE0553">
        <w:rPr>
          <w:rFonts w:ascii="Arial" w:hAnsi="Arial" w:cs="Arial"/>
        </w:rPr>
        <w:t>ubstitu</w:t>
      </w:r>
      <w:r>
        <w:rPr>
          <w:rFonts w:ascii="Arial" w:hAnsi="Arial" w:cs="Arial"/>
        </w:rPr>
        <w:t>ovat</w:t>
      </w:r>
      <w:r w:rsidRPr="00EE0553">
        <w:rPr>
          <w:rFonts w:ascii="Arial" w:hAnsi="Arial" w:cs="Arial"/>
        </w:rPr>
        <w:t xml:space="preserve"> přípravkem s jinou úč</w:t>
      </w:r>
      <w:r>
        <w:rPr>
          <w:rFonts w:ascii="Arial" w:hAnsi="Arial" w:cs="Arial"/>
        </w:rPr>
        <w:t>innou látkou (např. používání nepatřičných antibiotik - souvisí s problematikou antibiotické rezistence, nastávají např. trávící obtíže u pacienta, použití jiného anestetika vede k </w:t>
      </w:r>
      <w:r w:rsidRPr="00EE0553">
        <w:rPr>
          <w:rFonts w:ascii="Arial" w:hAnsi="Arial" w:cs="Arial"/>
        </w:rPr>
        <w:t>pomalejší</w:t>
      </w:r>
      <w:r>
        <w:rPr>
          <w:rFonts w:ascii="Arial" w:hAnsi="Arial" w:cs="Arial"/>
        </w:rPr>
        <w:t>mu</w:t>
      </w:r>
      <w:r w:rsidRPr="00EE0553">
        <w:rPr>
          <w:rFonts w:ascii="Arial" w:hAnsi="Arial" w:cs="Arial"/>
        </w:rPr>
        <w:t xml:space="preserve"> probouzení po anestezii</w:t>
      </w:r>
      <w:r>
        <w:rPr>
          <w:rFonts w:ascii="Arial" w:hAnsi="Arial" w:cs="Arial"/>
        </w:rPr>
        <w:t>).</w:t>
      </w:r>
      <w:r w:rsidRPr="007A16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Uvedená substituce vede </w:t>
      </w:r>
      <w:r w:rsidRPr="00EE0553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proofErr w:type="spellStart"/>
      <w:r w:rsidRPr="00EE0553">
        <w:rPr>
          <w:rFonts w:ascii="Arial" w:hAnsi="Arial" w:cs="Arial"/>
        </w:rPr>
        <w:t>suboptimálním</w:t>
      </w:r>
      <w:proofErr w:type="spellEnd"/>
      <w:r w:rsidRPr="00EE0553">
        <w:rPr>
          <w:rFonts w:ascii="Arial" w:hAnsi="Arial" w:cs="Arial"/>
        </w:rPr>
        <w:t xml:space="preserve"> léčebným výsledkům, dochází ke zvýšení nákladů, významně </w:t>
      </w:r>
      <w:r>
        <w:rPr>
          <w:rFonts w:ascii="Arial" w:hAnsi="Arial" w:cs="Arial"/>
        </w:rPr>
        <w:t xml:space="preserve">se </w:t>
      </w:r>
      <w:r w:rsidRPr="00EE0553">
        <w:rPr>
          <w:rFonts w:ascii="Arial" w:hAnsi="Arial" w:cs="Arial"/>
        </w:rPr>
        <w:t>sníž</w:t>
      </w:r>
      <w:r>
        <w:rPr>
          <w:rFonts w:ascii="Arial" w:hAnsi="Arial" w:cs="Arial"/>
        </w:rPr>
        <w:t>í</w:t>
      </w:r>
      <w:r w:rsidRPr="00EE0553">
        <w:rPr>
          <w:rFonts w:ascii="Arial" w:hAnsi="Arial" w:cs="Arial"/>
        </w:rPr>
        <w:t xml:space="preserve"> komfort</w:t>
      </w:r>
      <w:r>
        <w:rPr>
          <w:rFonts w:ascii="Arial" w:hAnsi="Arial" w:cs="Arial"/>
        </w:rPr>
        <w:t>. Lze očekávat v budoucnu, že takové okolnosti mohou vést i k o</w:t>
      </w:r>
      <w:r w:rsidRPr="00EE0553">
        <w:rPr>
          <w:rFonts w:ascii="Arial" w:hAnsi="Arial" w:cs="Arial"/>
        </w:rPr>
        <w:t>d</w:t>
      </w:r>
      <w:r>
        <w:rPr>
          <w:rFonts w:ascii="Arial" w:hAnsi="Arial" w:cs="Arial"/>
        </w:rPr>
        <w:t>k</w:t>
      </w:r>
      <w:r w:rsidRPr="00EE0553">
        <w:rPr>
          <w:rFonts w:ascii="Arial" w:hAnsi="Arial" w:cs="Arial"/>
        </w:rPr>
        <w:t>l</w:t>
      </w:r>
      <w:r>
        <w:rPr>
          <w:rFonts w:ascii="Arial" w:hAnsi="Arial" w:cs="Arial"/>
        </w:rPr>
        <w:t>ádání</w:t>
      </w:r>
      <w:r w:rsidRPr="00EE0553">
        <w:rPr>
          <w:rFonts w:ascii="Arial" w:hAnsi="Arial" w:cs="Arial"/>
        </w:rPr>
        <w:t xml:space="preserve"> léčby</w:t>
      </w:r>
      <w:r>
        <w:rPr>
          <w:rFonts w:ascii="Arial" w:hAnsi="Arial" w:cs="Arial"/>
        </w:rPr>
        <w:t>.</w:t>
      </w:r>
    </w:p>
    <w:p w:rsidR="006461A1" w:rsidRPr="003E246F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E246F">
        <w:rPr>
          <w:rFonts w:ascii="Arial" w:hAnsi="Arial" w:cs="Arial"/>
        </w:rPr>
        <w:t>šechny výpadky kladou zvýšené nároky na</w:t>
      </w:r>
      <w:r>
        <w:rPr>
          <w:rFonts w:ascii="Arial" w:hAnsi="Arial" w:cs="Arial"/>
        </w:rPr>
        <w:t xml:space="preserve"> lékárníky, lékaře i pacienty. Zásadně se zvyšují náklady a a</w:t>
      </w:r>
      <w:r w:rsidRPr="003E246F">
        <w:rPr>
          <w:rFonts w:ascii="Arial" w:hAnsi="Arial" w:cs="Arial"/>
        </w:rPr>
        <w:t>dministrativ</w:t>
      </w:r>
      <w:r>
        <w:rPr>
          <w:rFonts w:ascii="Arial" w:hAnsi="Arial" w:cs="Arial"/>
        </w:rPr>
        <w:t>ní náročnost. Kladou se větší nároky na p</w:t>
      </w:r>
      <w:r w:rsidRPr="003E246F">
        <w:rPr>
          <w:rFonts w:ascii="Arial" w:hAnsi="Arial" w:cs="Arial"/>
        </w:rPr>
        <w:t>ersonál</w:t>
      </w:r>
      <w:r>
        <w:rPr>
          <w:rFonts w:ascii="Arial" w:hAnsi="Arial" w:cs="Arial"/>
        </w:rPr>
        <w:t xml:space="preserve"> lékáren a jeho odbornost, pacienti i lékaři pociťují n</w:t>
      </w:r>
      <w:r w:rsidRPr="003E246F">
        <w:rPr>
          <w:rFonts w:ascii="Arial" w:hAnsi="Arial" w:cs="Arial"/>
        </w:rPr>
        <w:t>ižší komfort</w:t>
      </w:r>
      <w:r>
        <w:rPr>
          <w:rFonts w:ascii="Arial" w:hAnsi="Arial" w:cs="Arial"/>
        </w:rPr>
        <w:t xml:space="preserve"> (doplatky na léky), sledujeme </w:t>
      </w:r>
      <w:proofErr w:type="spellStart"/>
      <w:r>
        <w:rPr>
          <w:rFonts w:ascii="Arial" w:hAnsi="Arial" w:cs="Arial"/>
        </w:rPr>
        <w:t>s</w:t>
      </w:r>
      <w:r w:rsidRPr="003E246F">
        <w:rPr>
          <w:rFonts w:ascii="Arial" w:hAnsi="Arial" w:cs="Arial"/>
        </w:rPr>
        <w:t>uboptimální</w:t>
      </w:r>
      <w:proofErr w:type="spellEnd"/>
      <w:r w:rsidRPr="003E246F">
        <w:rPr>
          <w:rFonts w:ascii="Arial" w:hAnsi="Arial" w:cs="Arial"/>
        </w:rPr>
        <w:t xml:space="preserve"> léčebné výsledky</w:t>
      </w:r>
      <w:r>
        <w:rPr>
          <w:rFonts w:ascii="Arial" w:hAnsi="Arial" w:cs="Arial"/>
        </w:rPr>
        <w:t xml:space="preserve">. Lékárny musí mít větší zásoby (nárok na finance, skladovací prostory, </w:t>
      </w:r>
      <w:r w:rsidRPr="003E246F">
        <w:rPr>
          <w:rFonts w:ascii="Arial" w:hAnsi="Arial" w:cs="Arial"/>
        </w:rPr>
        <w:t>exspirace</w:t>
      </w:r>
      <w:r>
        <w:rPr>
          <w:rFonts w:ascii="Arial" w:hAnsi="Arial" w:cs="Arial"/>
        </w:rPr>
        <w:t>), nefunguje hladce dosud běžné elektronické objednávání u dodavatelů.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Mgr. </w:t>
      </w:r>
      <w:proofErr w:type="gramStart"/>
      <w:r>
        <w:rPr>
          <w:rFonts w:ascii="Arial" w:hAnsi="Arial" w:cs="Arial"/>
        </w:rPr>
        <w:t>Běhal informoval</w:t>
      </w:r>
      <w:proofErr w:type="gramEnd"/>
      <w:r>
        <w:rPr>
          <w:rFonts w:ascii="Arial" w:hAnsi="Arial" w:cs="Arial"/>
        </w:rPr>
        <w:t xml:space="preserve"> o aktuálně obtížněji dostupných léčivých přípravcích podle typů - antibiotika, cytostatika, oční přípravky, přípravky na střevní </w:t>
      </w:r>
      <w:proofErr w:type="spellStart"/>
      <w:r>
        <w:rPr>
          <w:rFonts w:ascii="Arial" w:hAnsi="Arial" w:cs="Arial"/>
        </w:rPr>
        <w:t>infekty</w:t>
      </w:r>
      <w:proofErr w:type="spellEnd"/>
      <w:r>
        <w:rPr>
          <w:rFonts w:ascii="Arial" w:hAnsi="Arial" w:cs="Arial"/>
        </w:rPr>
        <w:t>, hormonální přípravky.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Nelze očekávat r</w:t>
      </w:r>
      <w:r w:rsidRPr="00E830AB">
        <w:rPr>
          <w:rFonts w:ascii="Arial" w:hAnsi="Arial" w:cs="Arial"/>
        </w:rPr>
        <w:t>ychlé a snadné řešení</w:t>
      </w:r>
      <w:r>
        <w:rPr>
          <w:rFonts w:ascii="Arial" w:hAnsi="Arial" w:cs="Arial"/>
        </w:rPr>
        <w:t xml:space="preserve"> výpadků, protože jsou způsobené dlouhodobou kumulací a </w:t>
      </w:r>
      <w:r w:rsidRPr="00E830AB">
        <w:rPr>
          <w:rFonts w:ascii="Arial" w:hAnsi="Arial" w:cs="Arial"/>
        </w:rPr>
        <w:t>komplexn</w:t>
      </w:r>
      <w:r>
        <w:rPr>
          <w:rFonts w:ascii="Arial" w:hAnsi="Arial" w:cs="Arial"/>
        </w:rPr>
        <w:t xml:space="preserve">ostí </w:t>
      </w:r>
      <w:r w:rsidRPr="00E830AB">
        <w:rPr>
          <w:rFonts w:ascii="Arial" w:hAnsi="Arial" w:cs="Arial"/>
        </w:rPr>
        <w:t>příčiny</w:t>
      </w:r>
      <w:r>
        <w:rPr>
          <w:rFonts w:ascii="Arial" w:hAnsi="Arial" w:cs="Arial"/>
        </w:rPr>
        <w:t xml:space="preserve">. </w:t>
      </w:r>
      <w:r w:rsidRPr="00E830AB">
        <w:rPr>
          <w:rFonts w:ascii="Arial" w:hAnsi="Arial" w:cs="Arial"/>
        </w:rPr>
        <w:t>Řešení na úrovni ČR budou mít</w:t>
      </w:r>
      <w:r>
        <w:rPr>
          <w:rFonts w:ascii="Arial" w:hAnsi="Arial" w:cs="Arial"/>
        </w:rPr>
        <w:t xml:space="preserve"> pouze</w:t>
      </w:r>
      <w:r w:rsidRPr="00E830AB">
        <w:rPr>
          <w:rFonts w:ascii="Arial" w:hAnsi="Arial" w:cs="Arial"/>
        </w:rPr>
        <w:t xml:space="preserve"> omezený efekt</w:t>
      </w:r>
      <w:r>
        <w:rPr>
          <w:rFonts w:ascii="Arial" w:hAnsi="Arial" w:cs="Arial"/>
        </w:rPr>
        <w:t xml:space="preserve"> (významné příčiny vyplývají z globální situace). </w:t>
      </w:r>
      <w:r w:rsidRPr="00E830AB">
        <w:rPr>
          <w:rFonts w:ascii="Arial" w:hAnsi="Arial" w:cs="Arial"/>
        </w:rPr>
        <w:t xml:space="preserve">Řešení </w:t>
      </w:r>
      <w:r>
        <w:rPr>
          <w:rFonts w:ascii="Arial" w:hAnsi="Arial" w:cs="Arial"/>
        </w:rPr>
        <w:t xml:space="preserve">se musí hledat také na </w:t>
      </w:r>
      <w:r w:rsidRPr="00E830AB">
        <w:rPr>
          <w:rFonts w:ascii="Arial" w:hAnsi="Arial" w:cs="Arial"/>
        </w:rPr>
        <w:t>úrovni EU</w:t>
      </w:r>
      <w:r>
        <w:rPr>
          <w:rFonts w:ascii="Arial" w:hAnsi="Arial" w:cs="Arial"/>
        </w:rPr>
        <w:t>. Je nutné p</w:t>
      </w:r>
      <w:r w:rsidRPr="00E830AB">
        <w:rPr>
          <w:rFonts w:ascii="Arial" w:hAnsi="Arial" w:cs="Arial"/>
        </w:rPr>
        <w:t>řesun</w:t>
      </w:r>
      <w:r>
        <w:rPr>
          <w:rFonts w:ascii="Arial" w:hAnsi="Arial" w:cs="Arial"/>
        </w:rPr>
        <w:t>o</w:t>
      </w:r>
      <w:r w:rsidRPr="00E830AB">
        <w:rPr>
          <w:rFonts w:ascii="Arial" w:hAnsi="Arial" w:cs="Arial"/>
        </w:rPr>
        <w:t>ut výrobních kapacit</w:t>
      </w:r>
      <w:r>
        <w:rPr>
          <w:rFonts w:ascii="Arial" w:hAnsi="Arial" w:cs="Arial"/>
        </w:rPr>
        <w:t>y</w:t>
      </w:r>
      <w:r w:rsidRPr="00E830AB">
        <w:rPr>
          <w:rFonts w:ascii="Arial" w:hAnsi="Arial" w:cs="Arial"/>
        </w:rPr>
        <w:t xml:space="preserve"> zpět do Evropy</w:t>
      </w:r>
      <w:r>
        <w:rPr>
          <w:rFonts w:ascii="Arial" w:hAnsi="Arial" w:cs="Arial"/>
        </w:rPr>
        <w:t xml:space="preserve"> (což ale bude mít za následek výrazný nárůst nákladů).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Připravuje se novela zákona o léčivech, která zavede povinné </w:t>
      </w:r>
      <w:r w:rsidRPr="00E830AB">
        <w:rPr>
          <w:rFonts w:ascii="Arial" w:hAnsi="Arial" w:cs="Arial"/>
        </w:rPr>
        <w:t xml:space="preserve">zásoby, </w:t>
      </w:r>
      <w:r>
        <w:rPr>
          <w:rFonts w:ascii="Arial" w:hAnsi="Arial" w:cs="Arial"/>
        </w:rPr>
        <w:t xml:space="preserve">nebo </w:t>
      </w:r>
      <w:r w:rsidRPr="00E830AB">
        <w:rPr>
          <w:rFonts w:ascii="Arial" w:hAnsi="Arial" w:cs="Arial"/>
        </w:rPr>
        <w:t xml:space="preserve">rozšíření hlášení </w:t>
      </w:r>
      <w:r>
        <w:rPr>
          <w:rFonts w:ascii="Arial" w:hAnsi="Arial" w:cs="Arial"/>
        </w:rPr>
        <w:t xml:space="preserve">(následkem budou opět vyšší náklady). K řešení situace by přispělo, kdyby stát znal </w:t>
      </w:r>
      <w:proofErr w:type="spellStart"/>
      <w:r w:rsidRPr="00DF2793">
        <w:rPr>
          <w:rFonts w:ascii="Arial" w:hAnsi="Arial" w:cs="Arial"/>
        </w:rPr>
        <w:t>forecasty</w:t>
      </w:r>
      <w:proofErr w:type="spellEnd"/>
      <w:r w:rsidRPr="00DF27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(prognózy) </w:t>
      </w:r>
      <w:r w:rsidRPr="00DF2793">
        <w:rPr>
          <w:rFonts w:ascii="Arial" w:hAnsi="Arial" w:cs="Arial"/>
        </w:rPr>
        <w:t xml:space="preserve">výroby a dovozu </w:t>
      </w:r>
      <w:r>
        <w:rPr>
          <w:rFonts w:ascii="Arial" w:hAnsi="Arial" w:cs="Arial"/>
        </w:rPr>
        <w:t xml:space="preserve">léčiv </w:t>
      </w:r>
      <w:r w:rsidRPr="00DF2793">
        <w:rPr>
          <w:rFonts w:ascii="Arial" w:hAnsi="Arial" w:cs="Arial"/>
        </w:rPr>
        <w:t>do ČR</w:t>
      </w:r>
      <w:r>
        <w:rPr>
          <w:rFonts w:ascii="Arial" w:hAnsi="Arial" w:cs="Arial"/>
        </w:rPr>
        <w:t xml:space="preserve">. Stát by také </w:t>
      </w:r>
      <w:r w:rsidRPr="00DF2793">
        <w:rPr>
          <w:rFonts w:ascii="Arial" w:hAnsi="Arial" w:cs="Arial"/>
        </w:rPr>
        <w:t xml:space="preserve">mohl dodávky podmínit garancemi </w:t>
      </w:r>
      <w:r>
        <w:rPr>
          <w:rFonts w:ascii="Arial" w:hAnsi="Arial" w:cs="Arial"/>
        </w:rPr>
        <w:t xml:space="preserve">dodání určitého množství přípravku. Je potřebná změna </w:t>
      </w:r>
      <w:r w:rsidRPr="00DF2793">
        <w:rPr>
          <w:rFonts w:ascii="Arial" w:hAnsi="Arial" w:cs="Arial"/>
        </w:rPr>
        <w:t xml:space="preserve">cenové politiky, </w:t>
      </w:r>
      <w:r>
        <w:rPr>
          <w:rFonts w:ascii="Arial" w:hAnsi="Arial" w:cs="Arial"/>
        </w:rPr>
        <w:t xml:space="preserve">úroveň cen části léků není udržitelná současně se zachováním jejich dostupnosti. </w:t>
      </w:r>
    </w:p>
    <w:p w:rsidR="006461A1" w:rsidRDefault="006461A1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zdánlivě snadných řešení jako např. distanční výdej (e-</w:t>
      </w:r>
      <w:proofErr w:type="spellStart"/>
      <w:r>
        <w:rPr>
          <w:rFonts w:ascii="Arial" w:hAnsi="Arial" w:cs="Arial"/>
        </w:rPr>
        <w:t>shopy</w:t>
      </w:r>
      <w:proofErr w:type="spellEnd"/>
      <w:r>
        <w:rPr>
          <w:rFonts w:ascii="Arial" w:hAnsi="Arial" w:cs="Arial"/>
        </w:rPr>
        <w:t xml:space="preserve"> na receptové léky) je třeba posuzovat kriticky. Bez hlubších změn v systému lékárenství (</w:t>
      </w:r>
      <w:r w:rsidRPr="00DF2793">
        <w:rPr>
          <w:rFonts w:ascii="Arial" w:hAnsi="Arial" w:cs="Arial"/>
        </w:rPr>
        <w:t>odměňování, povinnosti</w:t>
      </w:r>
      <w:r>
        <w:rPr>
          <w:rFonts w:ascii="Arial" w:hAnsi="Arial" w:cs="Arial"/>
        </w:rPr>
        <w:t xml:space="preserve"> a odpovědnosti) by tyto změny vedly k přesunu významné části příjmů lékárenského segmentu k největším on-line provozovatelům. Tento výpadek příjmů menších nezávislých lékáren by vedl k narušení sítě lékáren jako zdravotnických zařízení.  </w:t>
      </w:r>
    </w:p>
    <w:p w:rsidR="00416748" w:rsidRDefault="00416748" w:rsidP="006461A1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Škvařilová poděkovala za velmi kvalitní informace k tématu a zajímala se, zda mají kraje nějaké kompetence ve vztahu k zásobování léčivy. Mgr. Horák reagoval, že takové kompetence kraje nemají, také požádal Mgr. Běhala, zda může použít jeho prezentaci pro informování členů zdravotní komise Rady Asociace krajů, Mgr. </w:t>
      </w:r>
      <w:proofErr w:type="gramStart"/>
      <w:r>
        <w:rPr>
          <w:rFonts w:ascii="Arial" w:hAnsi="Arial" w:cs="Arial"/>
        </w:rPr>
        <w:t>Běhal</w:t>
      </w:r>
      <w:proofErr w:type="gramEnd"/>
      <w:r>
        <w:rPr>
          <w:rFonts w:ascii="Arial" w:hAnsi="Arial" w:cs="Arial"/>
        </w:rPr>
        <w:t xml:space="preserve"> s tím </w:t>
      </w:r>
      <w:proofErr w:type="gramStart"/>
      <w:r>
        <w:rPr>
          <w:rFonts w:ascii="Arial" w:hAnsi="Arial" w:cs="Arial"/>
        </w:rPr>
        <w:t>souhlasil</w:t>
      </w:r>
      <w:proofErr w:type="gramEnd"/>
      <w:r>
        <w:rPr>
          <w:rFonts w:ascii="Arial" w:hAnsi="Arial" w:cs="Arial"/>
        </w:rPr>
        <w:t xml:space="preserve">. Mgr. Baláková se ptala, zda způsob stanovování cen léků, který se užívá u nás, je obdobný i v jiných státech, Mgr. </w:t>
      </w:r>
      <w:proofErr w:type="gramStart"/>
      <w:r>
        <w:rPr>
          <w:rFonts w:ascii="Arial" w:hAnsi="Arial" w:cs="Arial"/>
        </w:rPr>
        <w:t>Běhal uvedl</w:t>
      </w:r>
      <w:proofErr w:type="gramEnd"/>
      <w:r>
        <w:rPr>
          <w:rFonts w:ascii="Arial" w:hAnsi="Arial" w:cs="Arial"/>
        </w:rPr>
        <w:t xml:space="preserve">, že např. na Slovensku. </w:t>
      </w:r>
      <w:r w:rsidR="00B01CB4">
        <w:rPr>
          <w:rFonts w:ascii="Arial" w:hAnsi="Arial" w:cs="Arial"/>
        </w:rPr>
        <w:t xml:space="preserve">Ing. Kolář se zeptal, </w:t>
      </w:r>
      <w:r w:rsidR="00B01CB4">
        <w:rPr>
          <w:rFonts w:ascii="Arial" w:hAnsi="Arial" w:cs="Arial"/>
        </w:rPr>
        <w:lastRenderedPageBreak/>
        <w:t xml:space="preserve">jaké jsou možnosti vlivu na cenotvorbu a kdo zastupuje lékárny při vyjednávání. Mgr. </w:t>
      </w:r>
      <w:proofErr w:type="gramStart"/>
      <w:r w:rsidR="00B01CB4">
        <w:rPr>
          <w:rFonts w:ascii="Arial" w:hAnsi="Arial" w:cs="Arial"/>
        </w:rPr>
        <w:t>Běhal reagoval</w:t>
      </w:r>
      <w:proofErr w:type="gramEnd"/>
      <w:r w:rsidR="00B01CB4">
        <w:rPr>
          <w:rFonts w:ascii="Arial" w:hAnsi="Arial" w:cs="Arial"/>
        </w:rPr>
        <w:t xml:space="preserve">, že možnost zúčastnit se dohodovacího řízení se zlepšuje, lékárny zastupuje </w:t>
      </w:r>
      <w:r w:rsidR="006C1491">
        <w:rPr>
          <w:rFonts w:ascii="Arial" w:hAnsi="Arial" w:cs="Arial"/>
        </w:rPr>
        <w:t>Grémium majitelů lékáren (jako zástupce největšího počtu lékáren).</w:t>
      </w:r>
    </w:p>
    <w:p w:rsidR="00BB6487" w:rsidRPr="00BB6487" w:rsidRDefault="00BB6487" w:rsidP="00BB6487">
      <w:pPr>
        <w:pStyle w:val="slo1text"/>
        <w:numPr>
          <w:ilvl w:val="0"/>
          <w:numId w:val="28"/>
        </w:numPr>
        <w:rPr>
          <w:b/>
          <w:szCs w:val="24"/>
        </w:rPr>
      </w:pPr>
      <w:r w:rsidRPr="00BB6487">
        <w:rPr>
          <w:b/>
          <w:szCs w:val="24"/>
        </w:rPr>
        <w:t xml:space="preserve">Různé </w:t>
      </w:r>
    </w:p>
    <w:p w:rsidR="0068744C" w:rsidRPr="0068744C" w:rsidRDefault="00AF6C91" w:rsidP="00BB6487">
      <w:pPr>
        <w:spacing w:after="120" w:line="254" w:lineRule="auto"/>
        <w:ind w:firstLine="360"/>
        <w:jc w:val="both"/>
        <w:rPr>
          <w:rFonts w:ascii="Arial" w:hAnsi="Arial" w:cs="Arial"/>
        </w:rPr>
      </w:pPr>
      <w:bookmarkStart w:id="0" w:name="_GoBack"/>
      <w:r w:rsidRPr="00AF6C91">
        <w:rPr>
          <w:rFonts w:ascii="Arial" w:hAnsi="Arial" w:cs="Arial"/>
        </w:rPr>
        <w:t xml:space="preserve">Mgr. Horák doplnil informaci o zákonných povinnostech krajů ve vztahu k zajištění lékárenské pohotovostní služby sdělením, že pouze v sedmi krajích ze čtrnácti včetně Prahy  jsou otevřeny nonstop lékárny, Olomoucký kraj je mezi nimi. Po zasedání výboru Mgr. Horák zaslal následující odkaz na mediální článek </w:t>
      </w:r>
      <w:r w:rsidRPr="00AF6C91">
        <w:rPr>
          <w:rFonts w:ascii="Arial" w:hAnsi="Arial" w:cs="Arial"/>
        </w:rPr>
        <w:t xml:space="preserve"> o </w:t>
      </w:r>
      <w:r w:rsidRPr="00AF6C91">
        <w:rPr>
          <w:rFonts w:ascii="Arial" w:hAnsi="Arial" w:cs="Arial"/>
        </w:rPr>
        <w:t xml:space="preserve">problematice lékárenské pohotovostní služby </w:t>
      </w:r>
      <w:bookmarkEnd w:id="0"/>
      <w:r>
        <w:fldChar w:fldCharType="begin"/>
      </w:r>
      <w:r>
        <w:instrText xml:space="preserve"> HYPERLINK "https://www.vitalia.cz/clanky/lekarny-pohotovost-nonstop/" </w:instrText>
      </w:r>
      <w:r>
        <w:fldChar w:fldCharType="separate"/>
      </w:r>
      <w:r w:rsidRPr="006206B8">
        <w:rPr>
          <w:rStyle w:val="Hypertextovodkaz"/>
          <w:rFonts w:ascii="Arial" w:hAnsi="Arial" w:cs="Arial"/>
        </w:rPr>
        <w:t>https://www.vitalia.cz/clanky/lekarny-pohotovost-nonstop/</w:t>
      </w:r>
      <w:r>
        <w:rPr>
          <w:rStyle w:val="Hypertextovodkaz"/>
          <w:rFonts w:ascii="Arial" w:hAnsi="Arial" w:cs="Arial"/>
        </w:rPr>
        <w:fldChar w:fldCharType="end"/>
      </w:r>
      <w:r w:rsidR="00BB6487">
        <w:rPr>
          <w:rFonts w:ascii="Arial" w:hAnsi="Arial" w:cs="Arial"/>
        </w:rPr>
        <w:t>.</w:t>
      </w:r>
    </w:p>
    <w:p w:rsidR="0068744C" w:rsidRDefault="00BB6487" w:rsidP="00BB6487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výboru požádali o </w:t>
      </w:r>
      <w:r w:rsidRPr="00F576D8">
        <w:rPr>
          <w:rFonts w:ascii="Arial" w:hAnsi="Arial" w:cs="Arial"/>
        </w:rPr>
        <w:t xml:space="preserve">zaslání prezentace </w:t>
      </w:r>
      <w:r w:rsidR="006206B8">
        <w:rPr>
          <w:rFonts w:ascii="Arial" w:hAnsi="Arial" w:cs="Arial"/>
        </w:rPr>
        <w:t xml:space="preserve">dnešního tématu </w:t>
      </w:r>
      <w:r w:rsidRPr="00F576D8">
        <w:rPr>
          <w:rFonts w:ascii="Arial" w:hAnsi="Arial" w:cs="Arial"/>
        </w:rPr>
        <w:t xml:space="preserve">spolu se zápisem </w:t>
      </w:r>
      <w:r>
        <w:rPr>
          <w:rFonts w:ascii="Arial" w:hAnsi="Arial" w:cs="Arial"/>
        </w:rPr>
        <w:t>z dnešního zasedání výboru.</w:t>
      </w:r>
    </w:p>
    <w:p w:rsidR="00BB6487" w:rsidRPr="0068744C" w:rsidRDefault="00BB6487" w:rsidP="00BB6487">
      <w:pPr>
        <w:spacing w:after="120" w:line="254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Příští zasedání zdravotního výboru se bude konat 24. 5. 2023 </w:t>
      </w: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14:30.</w:t>
      </w:r>
    </w:p>
    <w:p w:rsidR="00975D37" w:rsidRPr="00570AA0" w:rsidRDefault="00975D37" w:rsidP="0068744C">
      <w:pPr>
        <w:pStyle w:val="Odsazen1text"/>
        <w:ind w:left="0"/>
        <w:rPr>
          <w:rFonts w:cs="Arial"/>
          <w:sz w:val="22"/>
          <w:szCs w:val="22"/>
        </w:rPr>
      </w:pPr>
    </w:p>
    <w:p w:rsidR="00975D37" w:rsidRPr="0025774B" w:rsidRDefault="00975D37">
      <w:pPr>
        <w:pStyle w:val="Mstoadatumvlevo"/>
        <w:rPr>
          <w:rFonts w:cs="Arial"/>
          <w:szCs w:val="24"/>
        </w:rPr>
      </w:pPr>
      <w:r w:rsidRPr="0025774B">
        <w:rPr>
          <w:rFonts w:cs="Arial"/>
          <w:szCs w:val="24"/>
        </w:rPr>
        <w:t xml:space="preserve">V Olomouci dne </w:t>
      </w:r>
      <w:r w:rsidR="0025774B" w:rsidRPr="0025774B">
        <w:rPr>
          <w:rFonts w:cs="Arial"/>
          <w:szCs w:val="24"/>
        </w:rPr>
        <w:t>22. 2. 2023</w:t>
      </w: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:rsidR="0025774B" w:rsidRPr="0066385D" w:rsidRDefault="0025774B" w:rsidP="0025774B">
      <w:pPr>
        <w:pStyle w:val="Vborplohy"/>
        <w:spacing w:after="0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>MUDr. Marcela Škvařilová, Ph.D.</w:t>
      </w:r>
    </w:p>
    <w:p w:rsidR="0025774B" w:rsidRDefault="0025774B" w:rsidP="0025774B">
      <w:pPr>
        <w:pStyle w:val="Vborplohy"/>
        <w:spacing w:after="0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:rsidR="0025774B" w:rsidRPr="0066385D" w:rsidRDefault="0025774B" w:rsidP="0025774B">
      <w:pPr>
        <w:pStyle w:val="Vborplohy"/>
        <w:spacing w:after="0"/>
        <w:ind w:left="5670" w:firstLine="567"/>
        <w:rPr>
          <w:sz w:val="24"/>
          <w:szCs w:val="24"/>
        </w:rPr>
      </w:pPr>
    </w:p>
    <w:p w:rsidR="0025774B" w:rsidRPr="001A09A9" w:rsidRDefault="0025774B" w:rsidP="0025774B">
      <w:pPr>
        <w:pStyle w:val="Vborplohy"/>
        <w:spacing w:after="0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  <w:t xml:space="preserve">Usnesení </w:t>
      </w:r>
    </w:p>
    <w:p w:rsidR="0025774B" w:rsidRPr="00775A11" w:rsidRDefault="0025774B" w:rsidP="0025774B">
      <w:pPr>
        <w:pStyle w:val="Vborplohy"/>
        <w:ind w:firstLine="0"/>
        <w:rPr>
          <w:szCs w:val="22"/>
        </w:rPr>
      </w:pPr>
      <w:r w:rsidRPr="001A09A9">
        <w:rPr>
          <w:sz w:val="24"/>
          <w:szCs w:val="24"/>
        </w:rPr>
        <w:t>Prezenční listina</w:t>
      </w:r>
    </w:p>
    <w:p w:rsidR="0025774B" w:rsidRDefault="0025774B">
      <w:pPr>
        <w:pStyle w:val="Podpis"/>
        <w:rPr>
          <w:rFonts w:cs="Arial"/>
          <w:color w:val="FF0000"/>
          <w:sz w:val="22"/>
          <w:szCs w:val="22"/>
        </w:rPr>
      </w:pPr>
    </w:p>
    <w:p w:rsidR="0025774B" w:rsidRDefault="0025774B">
      <w:pPr>
        <w:pStyle w:val="Podpis"/>
        <w:rPr>
          <w:rFonts w:cs="Arial"/>
          <w:color w:val="FF0000"/>
          <w:sz w:val="22"/>
          <w:szCs w:val="22"/>
        </w:rPr>
      </w:pPr>
    </w:p>
    <w:sectPr w:rsidR="00257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C9" w:rsidRDefault="00252CC9">
      <w:r>
        <w:separator/>
      </w:r>
    </w:p>
  </w:endnote>
  <w:endnote w:type="continuationSeparator" w:id="0">
    <w:p w:rsidR="00252CC9" w:rsidRDefault="0025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F6C91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F6C91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C9" w:rsidRDefault="00252CC9">
      <w:r>
        <w:separator/>
      </w:r>
    </w:p>
  </w:footnote>
  <w:footnote w:type="continuationSeparator" w:id="0">
    <w:p w:rsidR="00252CC9" w:rsidRDefault="0025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C2EEB"/>
    <w:multiLevelType w:val="hybridMultilevel"/>
    <w:tmpl w:val="9A10F320"/>
    <w:lvl w:ilvl="0" w:tplc="D6F645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A2CB8"/>
    <w:multiLevelType w:val="hybridMultilevel"/>
    <w:tmpl w:val="A5AC32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83C74"/>
    <w:multiLevelType w:val="hybridMultilevel"/>
    <w:tmpl w:val="D2B28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13"/>
  </w:num>
  <w:num w:numId="5">
    <w:abstractNumId w:val="8"/>
  </w:num>
  <w:num w:numId="6">
    <w:abstractNumId w:val="23"/>
  </w:num>
  <w:num w:numId="7">
    <w:abstractNumId w:val="5"/>
  </w:num>
  <w:num w:numId="8">
    <w:abstractNumId w:val="12"/>
  </w:num>
  <w:num w:numId="9">
    <w:abstractNumId w:val="20"/>
  </w:num>
  <w:num w:numId="10">
    <w:abstractNumId w:val="3"/>
  </w:num>
  <w:num w:numId="11">
    <w:abstractNumId w:val="22"/>
  </w:num>
  <w:num w:numId="12">
    <w:abstractNumId w:val="26"/>
  </w:num>
  <w:num w:numId="13">
    <w:abstractNumId w:val="21"/>
  </w:num>
  <w:num w:numId="14">
    <w:abstractNumId w:val="24"/>
  </w:num>
  <w:num w:numId="15">
    <w:abstractNumId w:val="7"/>
  </w:num>
  <w:num w:numId="16">
    <w:abstractNumId w:val="14"/>
  </w:num>
  <w:num w:numId="17">
    <w:abstractNumId w:val="17"/>
  </w:num>
  <w:num w:numId="18">
    <w:abstractNumId w:val="16"/>
  </w:num>
  <w:num w:numId="19">
    <w:abstractNumId w:val="11"/>
  </w:num>
  <w:num w:numId="20">
    <w:abstractNumId w:val="4"/>
  </w:num>
  <w:num w:numId="21">
    <w:abstractNumId w:val="19"/>
  </w:num>
  <w:num w:numId="22">
    <w:abstractNumId w:val="0"/>
  </w:num>
  <w:num w:numId="23">
    <w:abstractNumId w:val="6"/>
  </w:num>
  <w:num w:numId="24">
    <w:abstractNumId w:val="15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7396B"/>
    <w:rsid w:val="00096371"/>
    <w:rsid w:val="000F2E59"/>
    <w:rsid w:val="00161D08"/>
    <w:rsid w:val="0019613A"/>
    <w:rsid w:val="001C334D"/>
    <w:rsid w:val="001F6C25"/>
    <w:rsid w:val="00232EEB"/>
    <w:rsid w:val="00252CC9"/>
    <w:rsid w:val="0025774B"/>
    <w:rsid w:val="00307BD7"/>
    <w:rsid w:val="00383E57"/>
    <w:rsid w:val="003D34A9"/>
    <w:rsid w:val="00416748"/>
    <w:rsid w:val="00457712"/>
    <w:rsid w:val="004E1377"/>
    <w:rsid w:val="00526B0B"/>
    <w:rsid w:val="00570AA0"/>
    <w:rsid w:val="006206B8"/>
    <w:rsid w:val="006461A1"/>
    <w:rsid w:val="0068744C"/>
    <w:rsid w:val="006C1491"/>
    <w:rsid w:val="007123B2"/>
    <w:rsid w:val="007404C0"/>
    <w:rsid w:val="007754CC"/>
    <w:rsid w:val="00864A7B"/>
    <w:rsid w:val="00882ED9"/>
    <w:rsid w:val="008C6832"/>
    <w:rsid w:val="00932D9D"/>
    <w:rsid w:val="00975D37"/>
    <w:rsid w:val="00AC58AB"/>
    <w:rsid w:val="00AD2FAB"/>
    <w:rsid w:val="00AF6C91"/>
    <w:rsid w:val="00B01CB4"/>
    <w:rsid w:val="00B5661F"/>
    <w:rsid w:val="00BB6487"/>
    <w:rsid w:val="00C06141"/>
    <w:rsid w:val="00C17BB7"/>
    <w:rsid w:val="00C52DF4"/>
    <w:rsid w:val="00D06566"/>
    <w:rsid w:val="00DA6578"/>
    <w:rsid w:val="00E92FCF"/>
    <w:rsid w:val="00EB34A5"/>
    <w:rsid w:val="00F576D8"/>
    <w:rsid w:val="00FA2360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1EAB6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Odstavecseseznamem">
    <w:name w:val="List Paragraph"/>
    <w:basedOn w:val="Normln"/>
    <w:uiPriority w:val="34"/>
    <w:qFormat/>
    <w:rsid w:val="0068744C"/>
    <w:pPr>
      <w:ind w:left="720"/>
      <w:contextualSpacing/>
    </w:pPr>
  </w:style>
  <w:style w:type="paragraph" w:customStyle="1" w:styleId="Zastupitelstvonadpisusnesen">
    <w:name w:val="Zastupitelstvo nadpis usnesení"/>
    <w:basedOn w:val="Normln"/>
    <w:rsid w:val="00AD2FA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character" w:styleId="Hypertextovodkaz">
    <w:name w:val="Hyperlink"/>
    <w:basedOn w:val="Standardnpsmoodstavce"/>
    <w:uiPriority w:val="99"/>
    <w:unhideWhenUsed/>
    <w:rsid w:val="00BB6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Kalusová Olga</cp:lastModifiedBy>
  <cp:revision>13</cp:revision>
  <cp:lastPrinted>2023-03-02T21:22:00Z</cp:lastPrinted>
  <dcterms:created xsi:type="dcterms:W3CDTF">2023-03-01T07:07:00Z</dcterms:created>
  <dcterms:modified xsi:type="dcterms:W3CDTF">2023-03-08T09:47:00Z</dcterms:modified>
</cp:coreProperties>
</file>