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305CA9" w:rsidRPr="00305CA9">
        <w:rPr>
          <w:rFonts w:ascii="Arial" w:hAnsi="Arial" w:cs="Arial"/>
          <w:sz w:val="22"/>
          <w:szCs w:val="22"/>
        </w:rPr>
        <w:t>30045</w:t>
      </w:r>
      <w:r w:rsidR="00F45B0B">
        <w:rPr>
          <w:rFonts w:ascii="Arial" w:hAnsi="Arial" w:cs="Arial"/>
          <w:sz w:val="22"/>
          <w:szCs w:val="22"/>
        </w:rPr>
        <w:t>/201</w:t>
      </w:r>
      <w:r w:rsidR="00A50518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191BB7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8550DE">
        <w:rPr>
          <w:rFonts w:ascii="Arial" w:hAnsi="Arial" w:cs="Arial"/>
          <w:noProof/>
        </w:rPr>
        <w:t xml:space="preserve"> a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191BB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191BB7">
        <w:rPr>
          <w:rFonts w:ascii="Arial" w:hAnsi="Arial" w:cs="Arial"/>
        </w:rPr>
        <w:br/>
      </w:r>
      <w:r w:rsidR="00A50518">
        <w:rPr>
          <w:rFonts w:ascii="Arial" w:hAnsi="Arial" w:cs="Arial"/>
        </w:rPr>
        <w:t>13</w:t>
      </w:r>
      <w:r w:rsidR="00191BB7">
        <w:rPr>
          <w:rFonts w:ascii="Arial" w:hAnsi="Arial" w:cs="Arial"/>
        </w:rPr>
        <w:t xml:space="preserve"> a 14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>v části A1</w:t>
      </w:r>
      <w:r w:rsidR="00F86596">
        <w:rPr>
          <w:rFonts w:ascii="Arial" w:hAnsi="Arial" w:cs="Arial"/>
          <w:b/>
        </w:rPr>
        <w:t>, A2</w:t>
      </w:r>
      <w:r w:rsidR="00DD484E">
        <w:rPr>
          <w:rFonts w:ascii="Arial" w:hAnsi="Arial" w:cs="Arial"/>
          <w:b/>
        </w:rPr>
        <w:t xml:space="preserve"> a B</w:t>
      </w:r>
      <w:r w:rsidR="003256FC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3256FC" w:rsidRDefault="003256FC" w:rsidP="003256FC">
      <w:pPr>
        <w:jc w:val="both"/>
        <w:rPr>
          <w:rFonts w:ascii="Arial" w:hAnsi="Arial" w:cs="Arial"/>
        </w:rPr>
      </w:pPr>
    </w:p>
    <w:p w:rsidR="003256FC" w:rsidRDefault="003256FC" w:rsidP="003256FC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DD484E">
        <w:rPr>
          <w:rFonts w:ascii="Arial" w:hAnsi="Arial" w:cs="Arial"/>
          <w:b/>
        </w:rPr>
        <w:t>A1</w:t>
      </w:r>
      <w:r w:rsidRPr="00485CC1">
        <w:rPr>
          <w:rFonts w:ascii="Arial" w:hAnsi="Arial" w:cs="Arial"/>
          <w:b/>
        </w:rPr>
        <w:t xml:space="preserve">) </w:t>
      </w:r>
      <w:r w:rsidR="00DD484E" w:rsidRPr="00485CC1">
        <w:rPr>
          <w:rFonts w:ascii="Arial" w:hAnsi="Arial" w:cs="Arial"/>
          <w:b/>
        </w:rPr>
        <w:t>Stavby - budovy ZAPSANÉ v katastru nemovitostí</w:t>
      </w:r>
      <w:r w:rsidR="00DD484E" w:rsidRPr="001C6953">
        <w:rPr>
          <w:rFonts w:ascii="Arial" w:hAnsi="Arial" w:cs="Arial"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DD484E" w:rsidRPr="00485CC1" w:rsidRDefault="00DD484E" w:rsidP="00DD484E">
      <w:pPr>
        <w:rPr>
          <w:rFonts w:ascii="Arial" w:hAnsi="Arial" w:cs="Arial"/>
          <w:b/>
        </w:rPr>
      </w:pPr>
    </w:p>
    <w:tbl>
      <w:tblPr>
        <w:tblW w:w="53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126"/>
        <w:gridCol w:w="1417"/>
        <w:gridCol w:w="1417"/>
        <w:gridCol w:w="1419"/>
        <w:gridCol w:w="848"/>
        <w:gridCol w:w="1564"/>
        <w:gridCol w:w="1272"/>
      </w:tblGrid>
      <w:tr w:rsidR="008D6400" w:rsidRPr="000E189A" w:rsidTr="008D6400">
        <w:trPr>
          <w:trHeight w:val="567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r w:rsidR="008D64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č.ev.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techn.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388/-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283/-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</w:tr>
    </w:tbl>
    <w:p w:rsidR="00F86596" w:rsidRDefault="00F86596" w:rsidP="00F86596">
      <w:pPr>
        <w:jc w:val="both"/>
        <w:rPr>
          <w:rFonts w:ascii="Arial" w:hAnsi="Arial" w:cs="Arial"/>
          <w:b/>
        </w:rPr>
      </w:pPr>
    </w:p>
    <w:p w:rsidR="00A22883" w:rsidRDefault="00A22883" w:rsidP="00F86596">
      <w:pPr>
        <w:jc w:val="both"/>
        <w:rPr>
          <w:rFonts w:ascii="Arial" w:hAnsi="Arial" w:cs="Arial"/>
        </w:rPr>
      </w:pPr>
    </w:p>
    <w:p w:rsidR="00F86596" w:rsidRDefault="00F86596" w:rsidP="00F86596">
      <w:pPr>
        <w:jc w:val="both"/>
      </w:pPr>
      <w:r w:rsidRPr="00F8659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F86596" w:rsidRPr="00485CC1" w:rsidRDefault="00F86596" w:rsidP="00F8659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3"/>
        <w:gridCol w:w="1347"/>
        <w:gridCol w:w="1952"/>
        <w:gridCol w:w="2148"/>
        <w:gridCol w:w="2275"/>
      </w:tblGrid>
      <w:tr w:rsidR="00F86596" w:rsidRPr="000E189A" w:rsidTr="00A22883">
        <w:trPr>
          <w:trHeight w:val="567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6596" w:rsidRPr="000E189A" w:rsidTr="00A22883">
        <w:trPr>
          <w:trHeight w:val="340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kanál, stoka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</w:t>
            </w:r>
          </w:p>
          <w:p w:rsidR="00F86596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494/1,88,408/1,408/4,</w:t>
            </w:r>
          </w:p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408/6,154</w:t>
            </w:r>
          </w:p>
        </w:tc>
      </w:tr>
      <w:tr w:rsidR="00F86596" w:rsidRPr="000E189A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88,494/1</w:t>
            </w:r>
          </w:p>
        </w:tc>
      </w:tr>
      <w:tr w:rsidR="00F86596" w:rsidRPr="000E189A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F86596" w:rsidRPr="000E189A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</w:tr>
      <w:tr w:rsidR="00F86596" w:rsidRPr="000E189A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489/3,493, 494/1, 88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osvětlení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88, 408/1,</w:t>
            </w:r>
          </w:p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408/4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489/10, 489/12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 1577/1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el. energie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 494/1, 165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3">
              <w:rPr>
                <w:rFonts w:ascii="Arial" w:hAnsi="Arial" w:cs="Arial"/>
                <w:sz w:val="20"/>
                <w:szCs w:val="20"/>
              </w:rPr>
              <w:t xml:space="preserve">komunikace 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sedací zídka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na kola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0E189A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sloupová trafostanice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97180F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přípojka plynová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veřejné osvětlení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86596" w:rsidRPr="0097180F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493,489/3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telefonní kabel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64A03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(garáž s pobytovou místností v patře)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 u vedlejší stavby (garáže)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(hospodářská budova)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  <w:tr w:rsidR="00F86596" w:rsidRPr="00236821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596" w:rsidRPr="00C005F0" w:rsidRDefault="00F86596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  <w:tr w:rsidR="00544D9B" w:rsidRPr="009667CD" w:rsidTr="00A22883">
        <w:trPr>
          <w:trHeight w:val="340"/>
          <w:jc w:val="center"/>
        </w:trPr>
        <w:tc>
          <w:tcPr>
            <w:tcW w:w="6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D9B" w:rsidRPr="009667CD" w:rsidRDefault="00544D9B" w:rsidP="0054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</w:tr>
    </w:tbl>
    <w:p w:rsidR="00F86596" w:rsidRPr="009667CD" w:rsidRDefault="00F86596" w:rsidP="00F86596">
      <w:pPr>
        <w:jc w:val="center"/>
        <w:rPr>
          <w:rFonts w:ascii="Arial" w:hAnsi="Arial" w:cs="Arial"/>
          <w:b/>
          <w:i/>
        </w:rPr>
      </w:pPr>
    </w:p>
    <w:p w:rsidR="00F86596" w:rsidRDefault="00F86596" w:rsidP="00DD484E">
      <w:pPr>
        <w:jc w:val="both"/>
        <w:rPr>
          <w:rFonts w:ascii="Arial" w:hAnsi="Arial" w:cs="Arial"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D484E" w:rsidRPr="00485CC1" w:rsidRDefault="00DD484E" w:rsidP="00DD484E">
      <w:pPr>
        <w:ind w:left="708"/>
        <w:rPr>
          <w:rFonts w:ascii="Arial" w:hAnsi="Arial" w:cs="Arial"/>
          <w:b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002"/>
        <w:gridCol w:w="1826"/>
        <w:gridCol w:w="1595"/>
      </w:tblGrid>
      <w:tr w:rsidR="00DD484E" w:rsidRPr="000E189A" w:rsidTr="00DD484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710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A50518">
        <w:rPr>
          <w:rFonts w:ascii="Arial" w:hAnsi="Arial" w:cs="Arial"/>
        </w:rPr>
        <w:t xml:space="preserve"> 13</w:t>
      </w:r>
      <w:r w:rsidR="00191BB7">
        <w:rPr>
          <w:rFonts w:ascii="Arial" w:hAnsi="Arial" w:cs="Arial"/>
        </w:rPr>
        <w:t xml:space="preserve"> a 14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191BB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A50518">
        <w:rPr>
          <w:rFonts w:ascii="Arial" w:hAnsi="Arial" w:cs="Arial"/>
        </w:rPr>
        <w:t>2</w:t>
      </w:r>
      <w:r w:rsidR="00191BB7">
        <w:rPr>
          <w:rFonts w:ascii="Arial" w:hAnsi="Arial" w:cs="Arial"/>
        </w:rPr>
        <w:t>4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191BB7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. 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</w:t>
      </w:r>
      <w:r w:rsidR="00191BB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91BB7">
        <w:rPr>
          <w:rFonts w:ascii="Arial" w:hAnsi="Arial" w:cs="Arial"/>
        </w:rPr>
        <w:t>15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191BB7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8550DE">
        <w:rPr>
          <w:rFonts w:ascii="Arial" w:hAnsi="Arial" w:cs="Arial"/>
        </w:rPr>
        <w:t>28. 4.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A50518">
        <w:rPr>
          <w:rFonts w:ascii="Arial" w:hAnsi="Arial" w:cs="Arial"/>
        </w:rPr>
        <w:t>7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080B38">
        <w:rPr>
          <w:rFonts w:ascii="Arial" w:hAnsi="Arial" w:cs="Arial"/>
        </w:rPr>
        <w:t xml:space="preserve">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65141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0B" w:rsidRDefault="00F45B0B" w:rsidP="00F64B1A">
      <w:r>
        <w:separator/>
      </w:r>
    </w:p>
  </w:endnote>
  <w:endnote w:type="continuationSeparator" w:id="0">
    <w:p w:rsidR="00F45B0B" w:rsidRDefault="00F45B0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95" w:rsidRDefault="00631A95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31A95" w:rsidRPr="0001297B" w:rsidRDefault="00A468EF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31A95" w:rsidRPr="0001297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631A95" w:rsidRPr="0001297B">
      <w:rPr>
        <w:rFonts w:ascii="Arial" w:hAnsi="Arial" w:cs="Arial"/>
        <w:i/>
        <w:sz w:val="20"/>
        <w:szCs w:val="20"/>
      </w:rPr>
      <w:t xml:space="preserve">. </w:t>
    </w:r>
    <w:r w:rsidR="00191BB7">
      <w:rPr>
        <w:rFonts w:ascii="Arial" w:hAnsi="Arial" w:cs="Arial"/>
        <w:i/>
        <w:sz w:val="20"/>
        <w:szCs w:val="20"/>
      </w:rPr>
      <w:t>4</w:t>
    </w:r>
    <w:r w:rsidR="00631A95" w:rsidRPr="0001297B">
      <w:rPr>
        <w:rFonts w:ascii="Arial" w:hAnsi="Arial" w:cs="Arial"/>
        <w:i/>
        <w:sz w:val="20"/>
        <w:szCs w:val="20"/>
      </w:rPr>
      <w:t>. 201</w:t>
    </w:r>
    <w:r w:rsidR="00A50518">
      <w:rPr>
        <w:rFonts w:ascii="Arial" w:hAnsi="Arial" w:cs="Arial"/>
        <w:i/>
        <w:sz w:val="20"/>
        <w:szCs w:val="20"/>
      </w:rPr>
      <w:t>7</w:t>
    </w:r>
    <w:r w:rsidR="00631A95" w:rsidRPr="0001297B">
      <w:rPr>
        <w:rFonts w:ascii="Arial" w:hAnsi="Arial" w:cs="Arial"/>
        <w:i/>
        <w:sz w:val="20"/>
        <w:szCs w:val="20"/>
      </w:rPr>
      <w:t xml:space="preserve">                                         </w:t>
    </w:r>
    <w:r w:rsidR="00A22883">
      <w:rPr>
        <w:rFonts w:ascii="Arial" w:hAnsi="Arial" w:cs="Arial"/>
        <w:i/>
        <w:sz w:val="20"/>
        <w:szCs w:val="20"/>
      </w:rPr>
      <w:t xml:space="preserve">    </w:t>
    </w:r>
    <w:r w:rsidR="00631A95" w:rsidRPr="0001297B">
      <w:rPr>
        <w:rFonts w:ascii="Arial" w:hAnsi="Arial" w:cs="Arial"/>
        <w:i/>
        <w:sz w:val="20"/>
        <w:szCs w:val="20"/>
      </w:rPr>
      <w:t xml:space="preserve">   </w:t>
    </w:r>
    <w:r w:rsidR="00865141">
      <w:rPr>
        <w:rFonts w:ascii="Arial" w:hAnsi="Arial" w:cs="Arial"/>
        <w:i/>
        <w:sz w:val="20"/>
        <w:szCs w:val="20"/>
      </w:rPr>
      <w:t xml:space="preserve">   </w:t>
    </w:r>
    <w:r w:rsidR="00631A9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074A0A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31A9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31A95" w:rsidRPr="0001297B">
      <w:rPr>
        <w:rStyle w:val="slostrnky"/>
        <w:rFonts w:ascii="Arial" w:hAnsi="Arial" w:cs="Arial"/>
        <w:i/>
        <w:sz w:val="20"/>
        <w:szCs w:val="20"/>
      </w:rPr>
      <w:t>(celkem</w:t>
    </w:r>
    <w:r w:rsidR="00070627">
      <w:rPr>
        <w:rStyle w:val="slostrnky"/>
        <w:rFonts w:ascii="Arial" w:hAnsi="Arial" w:cs="Arial"/>
        <w:i/>
        <w:sz w:val="20"/>
        <w:szCs w:val="20"/>
      </w:rPr>
      <w:t xml:space="preserve"> 8</w:t>
    </w:r>
    <w:r w:rsidR="00631A95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631A95" w:rsidRPr="0001297B" w:rsidRDefault="00074A0A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r w:rsidR="00A468EF">
      <w:rPr>
        <w:rStyle w:val="slostrnky"/>
        <w:rFonts w:ascii="Arial" w:hAnsi="Arial" w:cs="Arial"/>
        <w:i/>
        <w:sz w:val="20"/>
        <w:szCs w:val="20"/>
      </w:rPr>
      <w:t>.</w:t>
    </w:r>
    <w:r w:rsidR="00631A95" w:rsidRPr="0001297B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631A95" w:rsidRPr="004A01B1" w:rsidRDefault="00631A95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01297B">
      <w:rPr>
        <w:rFonts w:ascii="Arial" w:hAnsi="Arial" w:cs="Arial"/>
        <w:i/>
        <w:sz w:val="20"/>
        <w:szCs w:val="20"/>
      </w:rPr>
      <w:t>Dodatek č. 1</w:t>
    </w:r>
    <w:r w:rsidR="00191BB7">
      <w:rPr>
        <w:rFonts w:ascii="Arial" w:hAnsi="Arial" w:cs="Arial"/>
        <w:i/>
        <w:sz w:val="20"/>
        <w:szCs w:val="20"/>
      </w:rPr>
      <w:t>5</w:t>
    </w:r>
    <w:r w:rsidRPr="0001297B">
      <w:rPr>
        <w:rFonts w:ascii="Arial" w:hAnsi="Arial" w:cs="Arial"/>
        <w:i/>
        <w:sz w:val="20"/>
        <w:szCs w:val="20"/>
      </w:rPr>
      <w:t xml:space="preserve">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0B" w:rsidRDefault="00F45B0B" w:rsidP="00F64B1A">
      <w:r>
        <w:separator/>
      </w:r>
    </w:p>
  </w:footnote>
  <w:footnote w:type="continuationSeparator" w:id="0">
    <w:p w:rsidR="00F45B0B" w:rsidRDefault="00F45B0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18" w:rsidRPr="00A50518" w:rsidRDefault="00A50518" w:rsidP="00A50518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>Dodatek č. 1</w:t>
    </w:r>
    <w:r w:rsidR="00191BB7">
      <w:rPr>
        <w:rFonts w:ascii="Arial" w:hAnsi="Arial" w:cs="Arial"/>
        <w:sz w:val="22"/>
        <w:szCs w:val="22"/>
      </w:rPr>
      <w:t>5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Nových Zámků – poskytovatele sociálních služeb,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A50518" w:rsidRPr="00A50518" w:rsidRDefault="00A50518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70627"/>
    <w:rsid w:val="00074A0A"/>
    <w:rsid w:val="00080B38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83CFC"/>
    <w:rsid w:val="001907DB"/>
    <w:rsid w:val="00191BB7"/>
    <w:rsid w:val="00193E5A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74FE3"/>
    <w:rsid w:val="0027547E"/>
    <w:rsid w:val="002A1A6B"/>
    <w:rsid w:val="002B2871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3D59"/>
    <w:rsid w:val="00544D9B"/>
    <w:rsid w:val="00567703"/>
    <w:rsid w:val="0057201D"/>
    <w:rsid w:val="00580DE3"/>
    <w:rsid w:val="00594919"/>
    <w:rsid w:val="005973B4"/>
    <w:rsid w:val="005A10F4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7364"/>
    <w:rsid w:val="006F78A3"/>
    <w:rsid w:val="00707964"/>
    <w:rsid w:val="0074668F"/>
    <w:rsid w:val="007A0074"/>
    <w:rsid w:val="007B1980"/>
    <w:rsid w:val="007B6E9F"/>
    <w:rsid w:val="007C7B9E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67CD"/>
    <w:rsid w:val="009725C1"/>
    <w:rsid w:val="009727C0"/>
    <w:rsid w:val="009A20DD"/>
    <w:rsid w:val="009C7925"/>
    <w:rsid w:val="009D465C"/>
    <w:rsid w:val="009E62BE"/>
    <w:rsid w:val="009E700C"/>
    <w:rsid w:val="00A148F8"/>
    <w:rsid w:val="00A22883"/>
    <w:rsid w:val="00A36DE9"/>
    <w:rsid w:val="00A468EF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C32DD"/>
    <w:rsid w:val="00DD484E"/>
    <w:rsid w:val="00DD6EDD"/>
    <w:rsid w:val="00E15058"/>
    <w:rsid w:val="00E24DF1"/>
    <w:rsid w:val="00E27835"/>
    <w:rsid w:val="00E32BB0"/>
    <w:rsid w:val="00E47B61"/>
    <w:rsid w:val="00E576FC"/>
    <w:rsid w:val="00E65B74"/>
    <w:rsid w:val="00E73044"/>
    <w:rsid w:val="00E735EA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8659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92066D9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A5B1-1160-400D-A27D-D427DEBA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53</cp:revision>
  <cp:lastPrinted>2015-10-05T13:31:00Z</cp:lastPrinted>
  <dcterms:created xsi:type="dcterms:W3CDTF">2015-07-30T13:03:00Z</dcterms:created>
  <dcterms:modified xsi:type="dcterms:W3CDTF">2017-04-04T06:50:00Z</dcterms:modified>
</cp:coreProperties>
</file>