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66" w:rsidRPr="00E14966" w:rsidRDefault="00E14966" w:rsidP="00E14966">
      <w:pPr>
        <w:rPr>
          <w:rFonts w:ascii="Arial" w:hAnsi="Arial" w:cs="Arial"/>
          <w:b/>
          <w:sz w:val="20"/>
          <w:szCs w:val="20"/>
        </w:rPr>
      </w:pPr>
      <w:bookmarkStart w:id="0" w:name="_Toc306700583"/>
      <w:bookmarkStart w:id="1" w:name="_Toc398728584"/>
      <w:bookmarkStart w:id="2" w:name="_GoBack"/>
      <w:bookmarkEnd w:id="2"/>
      <w:r w:rsidRPr="00E14966">
        <w:rPr>
          <w:rFonts w:ascii="Arial" w:hAnsi="Arial" w:cs="Arial"/>
          <w:b/>
          <w:sz w:val="20"/>
          <w:szCs w:val="20"/>
        </w:rPr>
        <w:t>Příloha č. 4: Sazebník pro stanovování výše prominutí povinnosti odvodu za porušení rozpočtové kázně a výklad jeho jednotlivých položek</w:t>
      </w:r>
      <w:bookmarkEnd w:id="0"/>
      <w:r w:rsidRPr="00E14966">
        <w:rPr>
          <w:rFonts w:ascii="Arial" w:hAnsi="Arial" w:cs="Arial"/>
          <w:b/>
          <w:sz w:val="20"/>
          <w:szCs w:val="20"/>
          <w:vertAlign w:val="superscript"/>
        </w:rPr>
        <w:footnoteReference w:id="1"/>
      </w:r>
      <w:bookmarkEnd w:id="1"/>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7"/>
        <w:gridCol w:w="708"/>
        <w:gridCol w:w="2836"/>
        <w:gridCol w:w="1132"/>
        <w:gridCol w:w="1412"/>
        <w:gridCol w:w="1987"/>
      </w:tblGrid>
      <w:tr w:rsidR="00E14966" w:rsidRPr="00E14966" w:rsidTr="00E14966">
        <w:trPr>
          <w:trHeight w:val="1275"/>
        </w:trPr>
        <w:tc>
          <w:tcPr>
            <w:tcW w:w="584" w:type="pct"/>
            <w:shd w:val="clear" w:color="auto" w:fill="auto"/>
            <w:noWrap/>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Oblast</w:t>
            </w:r>
          </w:p>
        </w:tc>
        <w:tc>
          <w:tcPr>
            <w:tcW w:w="387" w:type="pct"/>
            <w:shd w:val="clear" w:color="auto" w:fill="auto"/>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Číslo řádku</w:t>
            </w:r>
          </w:p>
        </w:tc>
        <w:tc>
          <w:tcPr>
            <w:tcW w:w="1551" w:type="pct"/>
            <w:shd w:val="clear" w:color="auto" w:fill="auto"/>
            <w:noWrap/>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Porušení</w:t>
            </w:r>
          </w:p>
        </w:tc>
        <w:tc>
          <w:tcPr>
            <w:tcW w:w="619" w:type="pct"/>
            <w:shd w:val="clear" w:color="auto" w:fill="auto"/>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Výše možného prominutí odvodu (pevná sazba/procentuální rozmezí)</w:t>
            </w:r>
            <w:r w:rsidRPr="00E14966">
              <w:rPr>
                <w:rFonts w:ascii="Arial" w:hAnsi="Arial" w:cs="Arial"/>
                <w:b/>
                <w:bCs/>
                <w:sz w:val="20"/>
                <w:szCs w:val="20"/>
                <w:vertAlign w:val="superscript"/>
              </w:rPr>
              <w:footnoteReference w:id="2"/>
            </w:r>
          </w:p>
        </w:tc>
        <w:tc>
          <w:tcPr>
            <w:tcW w:w="772" w:type="pct"/>
            <w:shd w:val="clear" w:color="auto" w:fill="auto"/>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Výchozí částka pro výpočet odvodu za PRK, resp. prominutí</w:t>
            </w:r>
          </w:p>
        </w:tc>
        <w:tc>
          <w:tcPr>
            <w:tcW w:w="1088" w:type="pct"/>
            <w:shd w:val="clear" w:color="auto" w:fill="auto"/>
            <w:vAlign w:val="center"/>
            <w:hideMark/>
          </w:tcPr>
          <w:p w:rsidR="00E14966" w:rsidRPr="00E14966" w:rsidRDefault="00E14966" w:rsidP="00E14966">
            <w:pPr>
              <w:rPr>
                <w:rFonts w:ascii="Arial" w:hAnsi="Arial" w:cs="Arial"/>
                <w:b/>
                <w:bCs/>
                <w:sz w:val="20"/>
                <w:szCs w:val="20"/>
              </w:rPr>
            </w:pPr>
            <w:r w:rsidRPr="00E14966">
              <w:rPr>
                <w:rFonts w:ascii="Arial" w:hAnsi="Arial" w:cs="Arial"/>
                <w:b/>
                <w:bCs/>
                <w:sz w:val="20"/>
                <w:szCs w:val="20"/>
              </w:rPr>
              <w:t>Komentář</w:t>
            </w:r>
          </w:p>
        </w:tc>
      </w:tr>
      <w:tr w:rsidR="00E14966" w:rsidRPr="00E14966" w:rsidTr="00E14966">
        <w:trPr>
          <w:trHeight w:val="1020"/>
        </w:trPr>
        <w:tc>
          <w:tcPr>
            <w:tcW w:w="584" w:type="pct"/>
            <w:vMerge w:val="restart"/>
            <w:shd w:val="clear" w:color="auto" w:fill="auto"/>
            <w:noWrap/>
            <w:textDirection w:val="btLr"/>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Financování</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neoprávněného výdaje z projektového účtu/pokladny (vrácení finančních prostředků na stanovený účet do 5 pracovních dnů od převodu, vč. 5. dne).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98 – 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neoprávněného výdaje</w:t>
            </w:r>
          </w:p>
        </w:tc>
        <w:tc>
          <w:tcPr>
            <w:tcW w:w="1088"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Dle těchto bodů se postupuje pouze v případě mylných plateb </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neoprávněného výdaje z projektového účtu/pokladny (vrácení finančních prostředků na stanovený účet nad 5 pracovních dnů od převodu do zjištění podezření na nesrovnalost ZS = den ukončení veřejnosprávní kontroly).</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neoprávněného výdaje</w:t>
            </w:r>
          </w:p>
        </w:tc>
        <w:tc>
          <w:tcPr>
            <w:tcW w:w="1088" w:type="pct"/>
            <w:vMerge/>
            <w:vAlign w:val="center"/>
            <w:hideMark/>
          </w:tcPr>
          <w:p w:rsidR="00E14966" w:rsidRPr="00E14966" w:rsidRDefault="00E14966" w:rsidP="00E14966">
            <w:pPr>
              <w:rPr>
                <w:rFonts w:ascii="Arial" w:hAnsi="Arial" w:cs="Arial"/>
                <w:sz w:val="20"/>
                <w:szCs w:val="20"/>
              </w:rPr>
            </w:pPr>
          </w:p>
        </w:tc>
      </w:tr>
      <w:tr w:rsidR="00E14966" w:rsidRPr="00E14966" w:rsidTr="00E14966">
        <w:trPr>
          <w:trHeight w:val="102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neoprávněného výdaje z projektového účtu/pokladny (pokud byly prostředky vráceny na stanovený účet v poskytovatelem stanoveném termínu po zjištění podezření na nesrovnalost).</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80 %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neoprávněného výdaje</w:t>
            </w:r>
          </w:p>
        </w:tc>
        <w:tc>
          <w:tcPr>
            <w:tcW w:w="1088" w:type="pct"/>
            <w:vMerge/>
            <w:vAlign w:val="center"/>
            <w:hideMark/>
          </w:tcPr>
          <w:p w:rsidR="00E14966" w:rsidRPr="00E14966" w:rsidRDefault="00E14966" w:rsidP="00E14966">
            <w:pPr>
              <w:rPr>
                <w:rFonts w:ascii="Arial" w:hAnsi="Arial" w:cs="Arial"/>
                <w:sz w:val="20"/>
                <w:szCs w:val="20"/>
              </w:rPr>
            </w:pP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4</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neoprávněného výdaje z projektového účtu/pokladny (nenavrácení na stanovený účet ve stanoveném termínu).</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neoprávněného výdaje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Postupuje se jako v případě neprokázaného výdaje.</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5</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Výdaje, které nebyly poskytovatelem uznány z důvodu porušení zásad 3E nebo z důvodu nedodržení právních předpisů.</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neoprávněného výdaje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Vyjma případu pochybení v postupech pro zadání veřejné zakázky. V těchto případech se postupuje dle bodu 33 - 36 Sazebníku.</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6</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Výdaje, které nebyly poskytovatelem uznány vyjma případů, kdy výdaj není uznán z důvodu porušení lhůty / </w:t>
            </w:r>
            <w:r w:rsidRPr="00E14966">
              <w:rPr>
                <w:rFonts w:ascii="Arial" w:hAnsi="Arial" w:cs="Arial"/>
                <w:sz w:val="20"/>
                <w:szCs w:val="20"/>
              </w:rPr>
              <w:lastRenderedPageBreak/>
              <w:t>termínu při realizaci výdaje.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nezpůsobilého výdaje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Převedení finančních prostředků způsobilých výdajů z projektového účtu na účet příjemce/finančního partnera před skutečnou úhradou (do 10 pracovních dnů od převodu, včetně 10. dne).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dotčená převodem</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Lze použít pouze za předpokladu, že nedošlo k dalšímu pochybení uvedenému v Sazebníku. </w:t>
            </w:r>
          </w:p>
        </w:tc>
      </w:tr>
      <w:tr w:rsidR="00E14966" w:rsidRPr="00E14966" w:rsidTr="00E14966">
        <w:trPr>
          <w:trHeight w:val="102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8</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Převedení finančních prostředků způsobilých výdajů z projektového účtu na účet příjemce/finančního partnera před skutečnou úhradou (nad 10 pracovních dnů od převodu).</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dotčená převodem</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Lze použít pouze za předpokladu, že nedošlo k dalšímu pochybení uvedenému v Sazebníku.</w:t>
            </w:r>
          </w:p>
        </w:tc>
      </w:tr>
      <w:tr w:rsidR="00E14966" w:rsidRPr="00E14966" w:rsidTr="00E14966">
        <w:trPr>
          <w:trHeight w:val="102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Použití investičních prostředků na úhradu neinvestičních výdajů za předpokladu, že dané neinvestiční výdaje jsou součástí schváleného rozpočtu a naopak.</w:t>
            </w:r>
            <w:r w:rsidRPr="00E14966">
              <w:rPr>
                <w:rFonts w:ascii="Arial" w:hAnsi="Arial" w:cs="Arial"/>
                <w:sz w:val="20"/>
                <w:szCs w:val="20"/>
                <w:vertAlign w:val="superscript"/>
              </w:rPr>
              <w:footnoteReference w:id="3"/>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výše výdaje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52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Z dotace proplacený výdaj, ale nebylo uskutečněno plnění.</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výše uskutečněného výdaje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20"/>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11</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Nevedení oddělené evidence ve vztahu k projektu.</w:t>
            </w:r>
          </w:p>
        </w:tc>
        <w:tc>
          <w:tcPr>
            <w:tcW w:w="619"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a) dotace</w:t>
            </w:r>
          </w:p>
          <w:p w:rsidR="00E14966" w:rsidRPr="00E14966" w:rsidRDefault="00E14966" w:rsidP="00E14966">
            <w:pPr>
              <w:rPr>
                <w:rFonts w:ascii="Arial" w:hAnsi="Arial" w:cs="Arial"/>
                <w:sz w:val="20"/>
                <w:szCs w:val="20"/>
              </w:rPr>
            </w:pPr>
            <w:r w:rsidRPr="00E14966">
              <w:rPr>
                <w:rFonts w:ascii="Arial" w:hAnsi="Arial" w:cs="Arial"/>
                <w:sz w:val="20"/>
                <w:szCs w:val="20"/>
              </w:rPr>
              <w:t>b) výše výdaje realizovaného mimo oddělenou evidenci</w:t>
            </w:r>
          </w:p>
        </w:tc>
        <w:tc>
          <w:tcPr>
            <w:tcW w:w="1088"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a) Pokud není oddělená evidence vedena vůbec.</w:t>
            </w:r>
          </w:p>
          <w:p w:rsidR="00E14966" w:rsidRPr="00E14966" w:rsidRDefault="00E14966" w:rsidP="00E14966">
            <w:pPr>
              <w:rPr>
                <w:rFonts w:ascii="Arial" w:hAnsi="Arial" w:cs="Arial"/>
                <w:sz w:val="20"/>
                <w:szCs w:val="20"/>
              </w:rPr>
            </w:pPr>
            <w:r w:rsidRPr="00E14966">
              <w:rPr>
                <w:rFonts w:ascii="Arial" w:hAnsi="Arial" w:cs="Arial"/>
                <w:sz w:val="20"/>
                <w:szCs w:val="20"/>
              </w:rPr>
              <w:t>b) Je-li oddělená evidence vedena, pouze některý výdaj/výdaje takto nejsou zaúčtovány.</w:t>
            </w:r>
          </w:p>
        </w:tc>
      </w:tr>
      <w:tr w:rsidR="00E14966" w:rsidRPr="00E14966" w:rsidTr="00E14966">
        <w:trPr>
          <w:trHeight w:val="855"/>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vMerge/>
            <w:vAlign w:val="center"/>
            <w:hideMark/>
          </w:tcPr>
          <w:p w:rsidR="00E14966" w:rsidRPr="00E14966" w:rsidRDefault="00E14966" w:rsidP="00E14966">
            <w:pPr>
              <w:rPr>
                <w:rFonts w:ascii="Arial" w:hAnsi="Arial" w:cs="Arial"/>
                <w:sz w:val="20"/>
                <w:szCs w:val="20"/>
              </w:rPr>
            </w:pPr>
          </w:p>
        </w:tc>
      </w:tr>
      <w:tr w:rsidR="00E14966" w:rsidRPr="00E14966" w:rsidTr="00E14966">
        <w:trPr>
          <w:trHeight w:val="120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12</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Nedodržení požadavku na zákaz dvojího financování.</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výše výdaje financovaného/uplatněného ze dvou/více veřejných zdrojů</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13</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Nenahlášení příjmů projektu (mimo kladné úroky z projektového bankovního účtu).</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výše neodečteného nebo nenahlášeného příjmu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58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14</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Překročení nastavených limitů jednotlivých kapitol rozpočtu při závěrečném vyúčtování projektu nebo při provedení nepodstatné změny projektu.</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100 nebo 95 %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překračující stanovený limit</w:t>
            </w:r>
          </w:p>
        </w:tc>
        <w:tc>
          <w:tcPr>
            <w:tcW w:w="1088" w:type="pct"/>
            <w:shd w:val="clear" w:color="000000" w:fill="FFFFFF"/>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100 % lze prominout pouze v případě překročení limitů kapitol při závěrečném vyúčtování projektu vyjma případu překročení limitu 60 % u kapitoly „Nákup služeb“ u projektů aplikujících NN. Činí-li podíl kapitoly „Nákup služeb“ u projektu aplikujícího NN více než 60 %, lze prominout pouze tu část odvodu, jejímž započtením do způsobilých výdajů projektu nedojde k překročení podílů 59 % kapitoly „Nákup služeb“ na celkových způsobilých výdajích projektu.  Byl-li překročen limit v průběhu realizace projektu při provedení nepodstatné změny rozpočtu, pak je možné prominout 95 %.  </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15</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Při závěrečném vyúčtování zjištěno překročení stanoveného limitu při čerpání nepřímých nákladů nebo limitu pro křížové financování.</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překračující stanovený limit</w:t>
            </w:r>
          </w:p>
        </w:tc>
        <w:tc>
          <w:tcPr>
            <w:tcW w:w="1088" w:type="pct"/>
            <w:shd w:val="clear" w:color="000000" w:fill="FFFFFF"/>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5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16</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Nezřízení zvláštního bankovního účtu finančního partnera – pokud byla zjednána náprava.</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w:t>
            </w:r>
          </w:p>
        </w:tc>
        <w:tc>
          <w:tcPr>
            <w:tcW w:w="772"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51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17</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Nezřízení zvláštního bankovního účtu příjemce – pokud byla zjednána náprava.</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25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18</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Nevrácení přeplatku z finančního vypořádání.</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přeplatku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020"/>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19</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Nezajištění povinné udržitelnosti projektu.</w:t>
            </w:r>
          </w:p>
        </w:tc>
        <w:tc>
          <w:tcPr>
            <w:tcW w:w="619"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99 %</w:t>
            </w:r>
          </w:p>
        </w:tc>
        <w:tc>
          <w:tcPr>
            <w:tcW w:w="77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Bod bude použit v případě porušení povinnosti udržitelnosti stanovené poskytovatelem.</w:t>
            </w:r>
          </w:p>
        </w:tc>
      </w:tr>
      <w:tr w:rsidR="00E14966" w:rsidRPr="00E14966" w:rsidTr="00E14966">
        <w:trPr>
          <w:trHeight w:val="1530"/>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Prominutí je však nepřípustné, pokud se jedná o nedodržení povinnosti zachování stálosti operací dle čl. 57 nařízení rady (ES) č. 1083/2006. </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Procento prominutí bude odpovídat procentu ze stanovené doby, po kterou byla udržitelnost naplněna. </w:t>
            </w:r>
          </w:p>
          <w:p w:rsidR="00E14966" w:rsidRPr="00E14966" w:rsidRDefault="00E14966" w:rsidP="00E14966">
            <w:pPr>
              <w:rPr>
                <w:rFonts w:ascii="Arial" w:hAnsi="Arial" w:cs="Arial"/>
                <w:sz w:val="20"/>
                <w:szCs w:val="20"/>
              </w:rPr>
            </w:pPr>
            <w:r w:rsidRPr="00E14966">
              <w:rPr>
                <w:rFonts w:ascii="Arial" w:hAnsi="Arial" w:cs="Arial"/>
                <w:sz w:val="20"/>
                <w:szCs w:val="20"/>
              </w:rPr>
              <w:t xml:space="preserve">Příklad: </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Udržitelnost stanovena v délce 4 roky. Udržitelnost byla příjemcem zajištěna pouze po dobu 1 roku. Prominutí tedy činí 25 %.</w:t>
            </w:r>
          </w:p>
        </w:tc>
      </w:tr>
      <w:tr w:rsidR="00E14966" w:rsidRPr="00E14966" w:rsidTr="00E14966">
        <w:trPr>
          <w:trHeight w:val="1020"/>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Z věcného hlediska, je-li udržitelnost plněna jen částečně, užije se obdobný postup. </w:t>
            </w:r>
          </w:p>
        </w:tc>
      </w:tr>
      <w:tr w:rsidR="00E14966" w:rsidRPr="00E14966" w:rsidTr="00E14966">
        <w:trPr>
          <w:trHeight w:val="255"/>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Příklad:</w:t>
            </w:r>
          </w:p>
        </w:tc>
      </w:tr>
      <w:tr w:rsidR="00E14966" w:rsidRPr="00E14966" w:rsidTr="00E14966">
        <w:trPr>
          <w:trHeight w:val="1275"/>
        </w:trPr>
        <w:tc>
          <w:tcPr>
            <w:tcW w:w="584"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19" w:type="pct"/>
            <w:vMerge/>
            <w:vAlign w:val="center"/>
            <w:hideMark/>
          </w:tcPr>
          <w:p w:rsidR="00E14966" w:rsidRPr="00E14966" w:rsidRDefault="00E14966" w:rsidP="00E14966">
            <w:pPr>
              <w:rPr>
                <w:rFonts w:ascii="Arial" w:hAnsi="Arial" w:cs="Arial"/>
                <w:sz w:val="20"/>
                <w:szCs w:val="20"/>
              </w:rPr>
            </w:pPr>
          </w:p>
        </w:tc>
        <w:tc>
          <w:tcPr>
            <w:tcW w:w="772" w:type="pct"/>
            <w:vMerge/>
            <w:vAlign w:val="center"/>
            <w:hideMark/>
          </w:tcPr>
          <w:p w:rsidR="00E14966" w:rsidRPr="00E14966" w:rsidRDefault="00E14966" w:rsidP="00E14966">
            <w:pPr>
              <w:rPr>
                <w:rFonts w:ascii="Arial" w:hAnsi="Arial" w:cs="Arial"/>
                <w:sz w:val="20"/>
                <w:szCs w:val="20"/>
              </w:rPr>
            </w:pP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Udržitelnost stanovena v délce 5 let. Příjemce se zavázal k realizaci 4 kurzů ročně, ale plní pouze 2 ročně. Prominutí činí 50 %.</w:t>
            </w:r>
          </w:p>
        </w:tc>
      </w:tr>
      <w:tr w:rsidR="00E14966" w:rsidRPr="00E14966" w:rsidTr="00E14966">
        <w:trPr>
          <w:trHeight w:val="2295"/>
        </w:trPr>
        <w:tc>
          <w:tcPr>
            <w:tcW w:w="584" w:type="pct"/>
            <w:shd w:val="clear" w:color="auto" w:fill="auto"/>
            <w:noWrap/>
            <w:textDirection w:val="btLr"/>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Publicita</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20</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Porušení povinnosti zajistit informační a propagační opatření, nemá-li nedodržení povinnosti vliv na naplnění účelu dotace.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dotace </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Pro stanovení konkrétní výše prominutí je nutno posuzovat závažnost daného pochybení např. nezajištění povinného prvku publicity je závažnější než situace, kdy je prvek publicity zajištěn, ale je uveden chybně. </w:t>
            </w:r>
          </w:p>
        </w:tc>
      </w:tr>
      <w:tr w:rsidR="00E14966" w:rsidRPr="00E14966" w:rsidTr="00E14966">
        <w:trPr>
          <w:trHeight w:val="510"/>
        </w:trPr>
        <w:tc>
          <w:tcPr>
            <w:tcW w:w="584" w:type="pct"/>
            <w:vMerge w:val="restart"/>
            <w:shd w:val="clear" w:color="auto" w:fill="auto"/>
            <w:textDirection w:val="btLr"/>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Nakládání s majetkem v době realizace a udržitelnosti projektu</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21</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Pronajmutí či převod majetku pořízeného z dotace.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výdaje vážící se k majetku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22</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Předčasné vyřazení dlouhodobého majetku pořízeného z projektu z evidence včetně příp. doby udržitelnosti projektu. </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vztahující se k majetku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p>
        </w:tc>
      </w:tr>
      <w:tr w:rsidR="00E14966" w:rsidRPr="00E14966" w:rsidTr="00E14966">
        <w:trPr>
          <w:trHeight w:val="111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23</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Nezařazení majetku podpořeného z dotace do účetní nebo majetkové evidence.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vztahující se k majetku</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 případě, kdy nelze zjednat nápravu nebo dohledat výdaj či obdobně.</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24a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Ztráta majetku podpořeného z dotace v rozporu se smlouvou o poskytnutí dotace – pokud nebyl obnoven.</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vztahující se k majetku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24b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Ztráta majetku podpořeného z dotace v rozporu se smlouvou o poskytnutí dotace – pokud byl obnoven.</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vztahující se k majetku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25</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Použití majetku pořízeného z dotace na jiné účely, které nesouvisí přímo s realizovaným projektem.</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vztahující se k majetku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765"/>
        </w:trPr>
        <w:tc>
          <w:tcPr>
            <w:tcW w:w="584" w:type="pct"/>
            <w:vMerge w:val="restart"/>
            <w:shd w:val="clear" w:color="auto" w:fill="auto"/>
            <w:textDirection w:val="btLr"/>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Uchovávání dokumentace</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26a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Nedostatečné uchovávání dokumentace – absence požadovaných účetních dokladů vztahujících se k projektu.</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výdaj, který se váže k chybějícím účetním dokladům</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51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26b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Porušení dalších povinností při uchovávání dokumentace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125"/>
        </w:trPr>
        <w:tc>
          <w:tcPr>
            <w:tcW w:w="584" w:type="pct"/>
            <w:vMerge w:val="restart"/>
            <w:shd w:val="clear" w:color="auto" w:fill="auto"/>
            <w:textDirection w:val="btLr"/>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Ostatní pravidla uvedená v </w:t>
            </w:r>
            <w:proofErr w:type="spellStart"/>
            <w:r w:rsidRPr="00E14966">
              <w:rPr>
                <w:rFonts w:ascii="Arial" w:hAnsi="Arial" w:cs="Arial"/>
                <w:sz w:val="20"/>
                <w:szCs w:val="20"/>
              </w:rPr>
              <w:t>PpP</w:t>
            </w:r>
            <w:proofErr w:type="spellEnd"/>
            <w:r w:rsidRPr="00E14966">
              <w:rPr>
                <w:rFonts w:ascii="Arial" w:hAnsi="Arial" w:cs="Arial"/>
                <w:sz w:val="20"/>
                <w:szCs w:val="20"/>
              </w:rPr>
              <w:t xml:space="preserve"> výše neuvedená</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27a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Neuzavření smlouvy s auditorem ve stanoveném termínu, byla-li smlouva uzavřena a auditní zpráva doložena.</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96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27b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Nedoložení externího auditu projektu, je-li tato povinnost stanovena.</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 95 %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275"/>
        </w:trPr>
        <w:tc>
          <w:tcPr>
            <w:tcW w:w="584"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Podstatná změna</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28a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podstatné změny projektu bez schválení poskytovatelem – v případě, kdy provedení změny není bezprostředně vázáno na uskutečněný výdaj.</w:t>
            </w:r>
          </w:p>
        </w:tc>
        <w:tc>
          <w:tcPr>
            <w:tcW w:w="619"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V případě, kdy je provedení podstatné změny spojeno s výdajem, posuzuje se vznik NES/PRK ve vztahu k tomuto výdaji. </w:t>
            </w:r>
          </w:p>
        </w:tc>
      </w:tr>
      <w:tr w:rsidR="00E14966" w:rsidRPr="00E14966" w:rsidTr="00E14966">
        <w:trPr>
          <w:trHeight w:val="153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29b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Provedení podstatné změny projektu bez schválení poskytovatelem – v případě, že by podstatná změna nebyla schválena.</w:t>
            </w:r>
          </w:p>
        </w:tc>
        <w:tc>
          <w:tcPr>
            <w:tcW w:w="619"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Týká se tzv. zakázaných podstatných změn – např. změna cílů projektu nebo změna mající vliv na možnost získat dotaci/být příjemcem.</w:t>
            </w:r>
          </w:p>
        </w:tc>
      </w:tr>
      <w:tr w:rsidR="00E14966" w:rsidRPr="00E14966" w:rsidTr="00E14966">
        <w:trPr>
          <w:trHeight w:val="765"/>
        </w:trPr>
        <w:tc>
          <w:tcPr>
            <w:tcW w:w="584"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Monitorovací indikátory</w:t>
            </w:r>
            <w:r w:rsidRPr="00E14966">
              <w:rPr>
                <w:rFonts w:ascii="Arial" w:hAnsi="Arial" w:cs="Arial"/>
                <w:sz w:val="20"/>
                <w:szCs w:val="20"/>
                <w:vertAlign w:val="superscript"/>
              </w:rPr>
              <w:footnoteReference w:id="4"/>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30a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Nenaplnění cílové hodnoty monitorovacích indikátorů – nenaplnění indikátorů o více než 50 %.</w:t>
            </w:r>
          </w:p>
        </w:tc>
        <w:tc>
          <w:tcPr>
            <w:tcW w:w="619"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53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30b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Nenaplnění cílové hodnoty monitorovacích indikátorů – neoprávněné použití dotace lze konkrétně vyčíslit (lze přesně vyčíslit hodnotu nedodrženého indikátoru) a odvod je uložen v dané konkrétní výši. Zároveň platí, že hodnota indikátorů byla naplněna minimálně z 50 %.</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nenaplněného indikátoru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5610"/>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30c</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Nenaplnění cílové hodnoty monitorovacích indikátorů – neoprávněné použití dotace nelze konkrétně vyčíslit (nelze přesně vyčíslit hodnotu nedodrženého indikátoru) a odvod je uložen ve výši poskytnutých prostředků. Zároveň platí, že hodnota indikátorů byla naplněna minimálně z 50 %.</w:t>
            </w:r>
          </w:p>
        </w:tc>
        <w:tc>
          <w:tcPr>
            <w:tcW w:w="619"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Procento prominutí bude odpovídat míře naplnění hodnot monitorovacích indikátorů</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Míra splnění hodnoty monitorovacího indikátoru se počítá způsobem aritmetického průměru procentního naplnění každého z monitorovacích indikátorů, ke kterým se příjemce zavázal ve smlouvě (zaokrouhlená matematicky na dvě desetinná místa). Při naplnění monitorovacího indikátoru nad hodnotu uvedenou ve smlouvě odpovídá míra naplnění tohoto MI 100 %. Míra dosažení indikátoru 07.41.20 Počet podpořených osob – poskytovatelé služeb je vždy 100 % bez ohledu na jeho skutečně dosaženou hodnotu.</w:t>
            </w:r>
            <w:r w:rsidRPr="00E14966">
              <w:rPr>
                <w:rFonts w:ascii="Arial" w:hAnsi="Arial" w:cs="Arial"/>
                <w:sz w:val="20"/>
                <w:szCs w:val="20"/>
                <w:vertAlign w:val="superscript"/>
              </w:rPr>
              <w:footnoteReference w:id="5"/>
            </w:r>
          </w:p>
        </w:tc>
      </w:tr>
      <w:tr w:rsidR="00E14966" w:rsidRPr="00E14966" w:rsidTr="00E14966">
        <w:trPr>
          <w:trHeight w:val="765"/>
        </w:trPr>
        <w:tc>
          <w:tcPr>
            <w:tcW w:w="584"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30d</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Nenaplnění cílové hodnoty indikátoru 07.41.20 Počet podpořených osob – poskytovatelé služeb.</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částka týkající se nenaplněného indikátoru</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020"/>
        </w:trPr>
        <w:tc>
          <w:tcPr>
            <w:tcW w:w="584"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Součinnost s </w:t>
            </w:r>
            <w:proofErr w:type="spellStart"/>
            <w:r w:rsidRPr="00E14966">
              <w:rPr>
                <w:rFonts w:ascii="Arial" w:hAnsi="Arial" w:cs="Arial"/>
                <w:sz w:val="20"/>
                <w:szCs w:val="20"/>
              </w:rPr>
              <w:t>poskyto-vatelem</w:t>
            </w:r>
            <w:proofErr w:type="spellEnd"/>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31</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Neposkytnutí povinné součinnosti poskytovateli/ŘO např. neoznámení změny projektu, neposkytnutí ZS/ŘO vyžádaných dokladů a informací.</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95 – 99 %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r w:rsidR="00E14966" w:rsidRPr="00E14966" w:rsidTr="00E14966">
        <w:trPr>
          <w:trHeight w:val="1275"/>
        </w:trPr>
        <w:tc>
          <w:tcPr>
            <w:tcW w:w="584"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Skuteč-</w:t>
            </w:r>
            <w:proofErr w:type="spellStart"/>
            <w:r w:rsidRPr="00E14966">
              <w:rPr>
                <w:rFonts w:ascii="Arial" w:hAnsi="Arial" w:cs="Arial"/>
                <w:sz w:val="20"/>
                <w:szCs w:val="20"/>
              </w:rPr>
              <w:t>nosti</w:t>
            </w:r>
            <w:proofErr w:type="spellEnd"/>
            <w:r w:rsidRPr="00E14966">
              <w:rPr>
                <w:rFonts w:ascii="Arial" w:hAnsi="Arial" w:cs="Arial"/>
                <w:sz w:val="20"/>
                <w:szCs w:val="20"/>
              </w:rPr>
              <w:t xml:space="preserve"> nezávislé na vůli příjemce</w:t>
            </w:r>
          </w:p>
        </w:tc>
        <w:tc>
          <w:tcPr>
            <w:tcW w:w="387"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32</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Porušení povinnosti z důvodu živelních katastrof (povodeň, vichřice atd.), prokázané chyby poskytovatele, vlivem státem změněné situace.</w:t>
            </w:r>
          </w:p>
        </w:tc>
        <w:tc>
          <w:tcPr>
            <w:tcW w:w="619"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100 %</w:t>
            </w:r>
          </w:p>
        </w:tc>
        <w:tc>
          <w:tcPr>
            <w:tcW w:w="77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dotace/výše dotčených výdajů</w:t>
            </w:r>
          </w:p>
        </w:tc>
        <w:tc>
          <w:tcPr>
            <w:tcW w:w="1088"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w:t>
            </w:r>
          </w:p>
        </w:tc>
      </w:tr>
    </w:tbl>
    <w:p w:rsidR="00E14966" w:rsidRPr="00E14966" w:rsidRDefault="00E14966" w:rsidP="00E14966">
      <w:pPr>
        <w:rPr>
          <w:rFonts w:ascii="Arial" w:hAnsi="Arial" w:cs="Arial"/>
          <w:b/>
          <w:sz w:val="20"/>
          <w:szCs w:val="20"/>
        </w:rPr>
      </w:pPr>
    </w:p>
    <w:p w:rsidR="00E14966" w:rsidRPr="00E14966" w:rsidRDefault="00E14966" w:rsidP="00E14966">
      <w:pPr>
        <w:rPr>
          <w:rFonts w:ascii="Arial" w:hAnsi="Arial" w:cs="Arial"/>
          <w:b/>
          <w:sz w:val="20"/>
          <w:szCs w:val="20"/>
        </w:rPr>
      </w:pPr>
      <w:r w:rsidRPr="00E14966">
        <w:rPr>
          <w:rFonts w:ascii="Arial" w:hAnsi="Arial" w:cs="Arial"/>
          <w:b/>
          <w:sz w:val="20"/>
          <w:szCs w:val="20"/>
        </w:rPr>
        <w:br w:type="page"/>
      </w:r>
    </w:p>
    <w:p w:rsidR="00E14966" w:rsidRPr="00E14966" w:rsidRDefault="00E14966" w:rsidP="00E14966">
      <w:pPr>
        <w:rPr>
          <w:rFonts w:ascii="Arial" w:hAnsi="Arial" w:cs="Arial"/>
          <w:b/>
          <w:sz w:val="20"/>
          <w:szCs w:val="20"/>
        </w:rPr>
      </w:pPr>
      <w:r w:rsidRPr="00E14966">
        <w:rPr>
          <w:rFonts w:ascii="Arial" w:hAnsi="Arial" w:cs="Arial"/>
          <w:b/>
          <w:sz w:val="20"/>
          <w:szCs w:val="20"/>
        </w:rPr>
        <w:lastRenderedPageBreak/>
        <w:t xml:space="preserve">Veřejné zakázky: </w:t>
      </w:r>
    </w:p>
    <w:p w:rsidR="00E14966" w:rsidRPr="00E14966" w:rsidRDefault="00E14966" w:rsidP="00E14966">
      <w:pPr>
        <w:rPr>
          <w:rFonts w:ascii="Arial" w:hAnsi="Arial" w:cs="Arial"/>
          <w:sz w:val="20"/>
          <w:szCs w:val="20"/>
        </w:rPr>
      </w:pPr>
      <w:r w:rsidRPr="00E14966">
        <w:rPr>
          <w:rFonts w:ascii="Arial" w:hAnsi="Arial" w:cs="Arial"/>
          <w:sz w:val="20"/>
          <w:szCs w:val="20"/>
        </w:rPr>
        <w:t>Pokud dojde k souběhu porušení více pravidel v rámci jednotlivého výběrového/zadávacího řízení, procentní částky se nesčítají a sazba finanční opravy je uložena podle nejzávažnějšího porušení.</w:t>
      </w:r>
    </w:p>
    <w:p w:rsidR="00E14966" w:rsidRPr="00E14966" w:rsidRDefault="00E14966" w:rsidP="00E14966">
      <w:pPr>
        <w:rPr>
          <w:rFonts w:ascii="Arial" w:hAnsi="Arial" w:cs="Arial"/>
          <w:sz w:val="20"/>
          <w:szCs w:val="20"/>
        </w:rPr>
      </w:pPr>
      <w:r w:rsidRPr="00E14966">
        <w:rPr>
          <w:rFonts w:ascii="Arial" w:hAnsi="Arial" w:cs="Arial"/>
          <w:sz w:val="20"/>
          <w:szCs w:val="20"/>
        </w:rPr>
        <w:t xml:space="preserve">Dle nového Rozhodnutí EK ze dne 13. 12. 2013 se mají tyto finanční opravy uplatňovat v případě nesrovnalostí, které představují porušení pravidel pro zadávání veřejných zakázek platných pro zakázky financované z rozpočtu Unie v rámci metodiky sdíleného řízení. Sankce, týkající se pouze veřejných zakázek dle ZVZ, jsou vybarveny šedě.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5"/>
        <w:gridCol w:w="708"/>
        <w:gridCol w:w="2836"/>
        <w:gridCol w:w="1265"/>
        <w:gridCol w:w="1280"/>
        <w:gridCol w:w="1978"/>
      </w:tblGrid>
      <w:tr w:rsidR="00E14966" w:rsidRPr="00E14966" w:rsidTr="00E14966">
        <w:trPr>
          <w:trHeight w:val="1785"/>
        </w:trPr>
        <w:tc>
          <w:tcPr>
            <w:tcW w:w="588" w:type="pct"/>
            <w:vMerge w:val="restart"/>
            <w:hideMark/>
          </w:tcPr>
          <w:p w:rsidR="00E14966" w:rsidRPr="00E14966" w:rsidRDefault="00E14966" w:rsidP="00E14966">
            <w:pPr>
              <w:rPr>
                <w:rFonts w:ascii="Arial" w:hAnsi="Arial" w:cs="Arial"/>
                <w:sz w:val="20"/>
                <w:szCs w:val="20"/>
              </w:rPr>
            </w:pPr>
            <w:r w:rsidRPr="00E14966">
              <w:rPr>
                <w:rFonts w:ascii="Arial" w:hAnsi="Arial" w:cs="Arial"/>
                <w:sz w:val="20"/>
                <w:szCs w:val="20"/>
              </w:rPr>
              <w:t>1. Zadávací podmínky</w:t>
            </w:r>
          </w:p>
        </w:tc>
        <w:tc>
          <w:tcPr>
            <w:tcW w:w="387"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33a</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Zakázka byla zadána, aniž by bylo výběrové/zadávací řízení zahájeno požadovaným způsobem dle ZP nebo ZVZ. </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- 75 %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nebo</w:t>
            </w:r>
          </w:p>
          <w:p w:rsidR="00E14966" w:rsidRPr="00E14966" w:rsidRDefault="00E14966" w:rsidP="00E14966">
            <w:pPr>
              <w:rPr>
                <w:rFonts w:ascii="Arial" w:hAnsi="Arial" w:cs="Arial"/>
                <w:sz w:val="20"/>
                <w:szCs w:val="20"/>
              </w:rPr>
            </w:pPr>
            <w:r w:rsidRPr="00E14966">
              <w:rPr>
                <w:rFonts w:ascii="Arial" w:hAnsi="Arial" w:cs="Arial"/>
                <w:sz w:val="20"/>
                <w:szCs w:val="20"/>
              </w:rPr>
              <w:t xml:space="preserve">max. 75% pokud byla dodržena určitá míra zveřejnění. </w:t>
            </w:r>
          </w:p>
        </w:tc>
      </w:tr>
      <w:tr w:rsidR="00E14966" w:rsidRPr="00E14966" w:rsidTr="00E14966">
        <w:trPr>
          <w:trHeight w:val="1020"/>
        </w:trPr>
        <w:tc>
          <w:tcPr>
            <w:tcW w:w="588"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Předmět zakázky je rozdělen tak, že došlo ke snížení předpokládané hodnoty pod limity stanovené ZP nebo ZVZ a tím došlo k jeho zadání v mírnějším režimu, než je stanoven pro předmět zakázky před jejím rozdělením.</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- 75 %</w:t>
            </w:r>
          </w:p>
        </w:tc>
        <w:tc>
          <w:tcPr>
            <w:tcW w:w="700"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nebo</w:t>
            </w:r>
          </w:p>
          <w:p w:rsidR="00E14966" w:rsidRPr="00E14966" w:rsidRDefault="00E14966" w:rsidP="00E14966">
            <w:pPr>
              <w:rPr>
                <w:rFonts w:ascii="Arial" w:hAnsi="Arial" w:cs="Arial"/>
                <w:sz w:val="20"/>
                <w:szCs w:val="20"/>
              </w:rPr>
            </w:pPr>
            <w:r w:rsidRPr="00E14966">
              <w:rPr>
                <w:rFonts w:ascii="Arial" w:hAnsi="Arial" w:cs="Arial"/>
                <w:sz w:val="20"/>
                <w:szCs w:val="20"/>
              </w:rPr>
              <w:t xml:space="preserve">max. 75 % pokud byla dodržena určitá míra uveřejnění a zadavatel umožnil podávat nabídky i dodavatelům, které k podání nabídky nevyzval. </w:t>
            </w:r>
          </w:p>
        </w:tc>
      </w:tr>
      <w:tr w:rsidR="00E14966" w:rsidRPr="00E14966" w:rsidTr="00E14966">
        <w:trPr>
          <w:trHeight w:val="76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33c</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Lhůty pro podání nabídek </w:t>
            </w:r>
            <w:r w:rsidRPr="00E14966">
              <w:rPr>
                <w:rFonts w:ascii="Arial" w:hAnsi="Arial" w:cs="Arial"/>
                <w:b/>
                <w:bCs/>
                <w:sz w:val="20"/>
                <w:szCs w:val="20"/>
              </w:rPr>
              <w:t xml:space="preserve">/ </w:t>
            </w:r>
            <w:r w:rsidRPr="00E14966">
              <w:rPr>
                <w:rFonts w:ascii="Arial" w:hAnsi="Arial" w:cs="Arial"/>
                <w:sz w:val="20"/>
                <w:szCs w:val="20"/>
              </w:rPr>
              <w:t>žádostí o účast byly kratší než lhůty uvedené v ZVZ nebo v ZP.</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- 98 %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pokud je délka lhůty kratší alespoň o 50 % její stanovené délky, nebo</w:t>
            </w:r>
          </w:p>
        </w:tc>
      </w:tr>
      <w:tr w:rsidR="00E14966" w:rsidRPr="00E14966" w:rsidTr="00E14966">
        <w:trPr>
          <w:trHeight w:val="76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pokud je délka lhůty kratší alespoň o 30 % její stanovené délky, nebo</w:t>
            </w:r>
          </w:p>
        </w:tc>
      </w:tr>
      <w:tr w:rsidR="00E14966" w:rsidRPr="00E14966" w:rsidTr="00E14966">
        <w:trPr>
          <w:trHeight w:val="76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95 - 98 %, v případě jiného zkrácení lhůty pro podání nabídek/žádosti o účast. </w:t>
            </w:r>
          </w:p>
        </w:tc>
      </w:tr>
      <w:tr w:rsidR="00E14966" w:rsidRPr="00E14966" w:rsidTr="00E14966">
        <w:trPr>
          <w:trHeight w:val="765"/>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33d</w:t>
            </w:r>
          </w:p>
        </w:tc>
        <w:tc>
          <w:tcPr>
            <w:tcW w:w="1551"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Doba k tomu, aby si potenciální uchazeči opatřili zadávací dokumentaci, je příliš krátká, a vytváří tak neodůvodněnou překážku pro otevření zakázky hospodářské soutěži.</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pokud je doba, ve které potenciální uchazeči musí získat zadávací dokumentaci, kratší než 50 % časové lhůty pro doručení nabídek (v souladu s příslušnými ustanoveními), nebo</w:t>
            </w:r>
          </w:p>
        </w:tc>
      </w:tr>
      <w:tr w:rsidR="00E14966" w:rsidRPr="00E14966" w:rsidTr="00E14966">
        <w:trPr>
          <w:trHeight w:val="204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pokud je doba, ve které potenciální uchazeči musí získat zadávací dokumentaci, kratší než 60 % časové lhůty pro doručení nabídek, nebo</w:t>
            </w:r>
          </w:p>
        </w:tc>
      </w:tr>
      <w:tr w:rsidR="00E14966" w:rsidRPr="00E14966" w:rsidTr="00E14966">
        <w:trPr>
          <w:trHeight w:val="178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95 %, pokud je doba, ve které potenciální uchazeči musí získat zadávací dokumentaci, kratší než 80 % časového lhůty pro doručení nabídek.</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33e</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Došlo k prodloužení lhůty pro podání nabídek, ale toto prodloužení nebylo uveřejněno / odesláno stejným způsobem, jakým bylo zahájeno výběrové/zadávací  řízení.</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90 - 95 %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 nebo max.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33f</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Hodnotící kritéria, případně jejich podrobná specifikace nejsou uvedena v zadávacích podmínkách. </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127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pokud byla hodnotící kritéria v zadávacích podmínkách uvedena, ale nedostatečně podrobně popsána.</w:t>
            </w:r>
          </w:p>
        </w:tc>
      </w:tr>
      <w:tr w:rsidR="00E14966" w:rsidRPr="00E14966" w:rsidTr="00E14966">
        <w:trPr>
          <w:trHeight w:val="638"/>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33g</w:t>
            </w:r>
          </w:p>
        </w:tc>
        <w:tc>
          <w:tcPr>
            <w:tcW w:w="1551"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Zadavatel zadává zakázky v jednacím řízení s uveřejněním, ale takový postup není odůvodněn příslušnými ustanoveními ZVZ.</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637"/>
        </w:trPr>
        <w:tc>
          <w:tcPr>
            <w:tcW w:w="588" w:type="pct"/>
            <w:vMerge/>
            <w:vAlign w:val="center"/>
          </w:tcPr>
          <w:p w:rsidR="00E14966" w:rsidRPr="00E14966" w:rsidRDefault="00E14966" w:rsidP="00E14966">
            <w:pPr>
              <w:rPr>
                <w:rFonts w:ascii="Arial" w:hAnsi="Arial" w:cs="Arial"/>
                <w:sz w:val="20"/>
                <w:szCs w:val="20"/>
              </w:rPr>
            </w:pPr>
          </w:p>
        </w:tc>
        <w:tc>
          <w:tcPr>
            <w:tcW w:w="387" w:type="pct"/>
            <w:vMerge/>
            <w:vAlign w:val="center"/>
          </w:tcPr>
          <w:p w:rsidR="00E14966" w:rsidRPr="00E14966" w:rsidRDefault="00E14966" w:rsidP="00E14966">
            <w:pPr>
              <w:rPr>
                <w:rFonts w:ascii="Arial" w:hAnsi="Arial" w:cs="Arial"/>
                <w:sz w:val="20"/>
                <w:szCs w:val="20"/>
              </w:rPr>
            </w:pPr>
          </w:p>
        </w:tc>
        <w:tc>
          <w:tcPr>
            <w:tcW w:w="1551" w:type="pct"/>
            <w:vMerge/>
            <w:vAlign w:val="center"/>
          </w:tcPr>
          <w:p w:rsidR="00E14966" w:rsidRPr="00E14966" w:rsidRDefault="00E14966" w:rsidP="00E14966">
            <w:pPr>
              <w:rPr>
                <w:rFonts w:ascii="Arial" w:hAnsi="Arial" w:cs="Arial"/>
                <w:sz w:val="20"/>
                <w:szCs w:val="20"/>
              </w:rPr>
            </w:pPr>
          </w:p>
        </w:tc>
        <w:tc>
          <w:tcPr>
            <w:tcW w:w="692" w:type="pct"/>
            <w:vMerge/>
            <w:shd w:val="clear" w:color="auto" w:fill="auto"/>
            <w:vAlign w:val="center"/>
          </w:tcPr>
          <w:p w:rsidR="00E14966" w:rsidRPr="00E14966" w:rsidRDefault="00E14966" w:rsidP="00E14966">
            <w:pPr>
              <w:rPr>
                <w:rFonts w:ascii="Arial" w:hAnsi="Arial" w:cs="Arial"/>
                <w:sz w:val="20"/>
                <w:szCs w:val="20"/>
              </w:rPr>
            </w:pPr>
          </w:p>
        </w:tc>
        <w:tc>
          <w:tcPr>
            <w:tcW w:w="700" w:type="pct"/>
            <w:vMerge/>
            <w:shd w:val="clear" w:color="auto" w:fill="auto"/>
            <w:noWrap/>
            <w:vAlign w:val="center"/>
          </w:tcPr>
          <w:p w:rsidR="00E14966" w:rsidRPr="00E14966" w:rsidRDefault="00E14966" w:rsidP="00E14966">
            <w:pPr>
              <w:rPr>
                <w:rFonts w:ascii="Arial" w:hAnsi="Arial" w:cs="Arial"/>
                <w:sz w:val="20"/>
                <w:szCs w:val="20"/>
              </w:rPr>
            </w:pP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33h</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Stanovení diskriminačních kvalifikačních požadavků (např. týkající se umístění provozovny či zkušenosti v dané zemi či regionu, či kvalifikační požadavky neodpovídají předmětu zakázky).</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76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76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33i</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Stanovení hodnotících kritérií, která nevyjadřují vztah užitné hodnoty a ceny, nebo která neodpovídají či nejsou úměrná předmětu zakázky.</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33j</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Předmět zakázky je </w:t>
            </w:r>
            <w:r w:rsidRPr="00E14966">
              <w:rPr>
                <w:rFonts w:ascii="Arial" w:hAnsi="Arial" w:cs="Arial"/>
                <w:sz w:val="20"/>
                <w:szCs w:val="20"/>
              </w:rPr>
              <w:lastRenderedPageBreak/>
              <w:t>v zadávacích podmínkách vymezen příliš konkrétně tak, že není zajištěn rovný přístup k jednotlivým dodavatelům, resp. někteří dodavatelé jsou takto vymezeným předmětem zakázky zvýhodněni.</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předložený </w:t>
            </w:r>
            <w:r w:rsidRPr="00E14966">
              <w:rPr>
                <w:rFonts w:ascii="Arial" w:hAnsi="Arial" w:cs="Arial"/>
                <w:sz w:val="20"/>
                <w:szCs w:val="20"/>
              </w:rPr>
              <w:lastRenderedPageBreak/>
              <w:t>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33k</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Předmět zakázky je v zadávacích podmínkách vymezen nedostatečně tak, že zadávací podmínky neobsahují veškeré informace podstatné pro zpracování nabídky.</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90 %,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95 % s ohledem na závažnost porušení.</w:t>
            </w:r>
          </w:p>
        </w:tc>
      </w:tr>
      <w:tr w:rsidR="00E14966" w:rsidRPr="00E14966" w:rsidTr="00E14966">
        <w:trPr>
          <w:trHeight w:val="255"/>
        </w:trPr>
        <w:tc>
          <w:tcPr>
            <w:tcW w:w="588" w:type="pct"/>
            <w:vMerge w:val="restart"/>
            <w:shd w:val="clear" w:color="auto" w:fill="auto"/>
            <w:hideMark/>
          </w:tcPr>
          <w:p w:rsidR="00E14966" w:rsidRPr="00E14966" w:rsidRDefault="00E14966" w:rsidP="00E14966">
            <w:pPr>
              <w:rPr>
                <w:rFonts w:ascii="Arial" w:hAnsi="Arial" w:cs="Arial"/>
                <w:sz w:val="20"/>
                <w:szCs w:val="20"/>
              </w:rPr>
            </w:pPr>
            <w:r w:rsidRPr="00E14966">
              <w:rPr>
                <w:rFonts w:ascii="Arial" w:hAnsi="Arial" w:cs="Arial"/>
                <w:sz w:val="20"/>
                <w:szCs w:val="20"/>
              </w:rPr>
              <w:t>2. Hodnocení nabídek</w:t>
            </w: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34a</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Kvalifikační předpoklady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 </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34b</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Při hodnocení nabídek byla použita jiná hodnotící kritéria (případně sub-kritéria nebo jejich váhy), než byla uvedena v zadávacích podmínkách a tato skutečnost měla vliv na výběr nejvhodnější nabídky. </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34c</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Protokol/zápis o hodnocení nabídek je nejasný, neexistuje nebo neobsahuje všechny povinné náležitosti dle ZVZ nebo ZP (např. bodové hodnocení nabídky je neodůvodněné). </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34d</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V průběhu lhůty pro podání nabídek jsou některému dodavateli nebo některým dodavatelům poskytnuty informace, které nejsou poskytnuty jiným, případně je některý dodavatel (nebo někteří dodavatelé) jiným způsobem zvýhodněn a tyto skutečnosti mají vliv/mohou mít vliv na výběr nejvhodnější nabídky. </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shd w:val="clear" w:color="auto" w:fill="auto"/>
            <w:vAlign w:val="center"/>
            <w:hideMark/>
          </w:tcPr>
          <w:p w:rsidR="00E14966" w:rsidRPr="00E14966" w:rsidRDefault="00E14966" w:rsidP="00E14966">
            <w:pPr>
              <w:rPr>
                <w:rFonts w:ascii="Arial" w:hAnsi="Arial" w:cs="Arial"/>
                <w:sz w:val="20"/>
                <w:szCs w:val="20"/>
              </w:rPr>
            </w:pPr>
          </w:p>
        </w:tc>
        <w:tc>
          <w:tcPr>
            <w:tcW w:w="700" w:type="pct"/>
            <w:vMerge/>
            <w:shd w:val="clear" w:color="auto" w:fill="auto"/>
            <w:noWrap/>
            <w:vAlign w:val="center"/>
            <w:hideMark/>
          </w:tcPr>
          <w:p w:rsidR="00E14966" w:rsidRPr="00E14966" w:rsidRDefault="00E14966" w:rsidP="00E14966">
            <w:pPr>
              <w:rPr>
                <w:rFonts w:ascii="Arial" w:hAnsi="Arial" w:cs="Arial"/>
                <w:sz w:val="20"/>
                <w:szCs w:val="20"/>
              </w:rPr>
            </w:pP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34e</w:t>
            </w:r>
          </w:p>
        </w:tc>
        <w:tc>
          <w:tcPr>
            <w:tcW w:w="1551"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 xml:space="preserve">V rámci otevřeného nebo užšího řízení dle ZVZ zadavatel vyjednává s uchazeči během fáze hodnocení, což vede k podstatné změně výchozích </w:t>
            </w:r>
            <w:r w:rsidRPr="00E14966">
              <w:rPr>
                <w:rFonts w:ascii="Arial" w:hAnsi="Arial" w:cs="Arial"/>
                <w:sz w:val="20"/>
                <w:szCs w:val="20"/>
              </w:rPr>
              <w:lastRenderedPageBreak/>
              <w:t>podmínek stanovených v oznámení o zakázce nebo ve specifikaci zadávacího řízení.</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75 % - 95 %</w:t>
            </w:r>
          </w:p>
        </w:tc>
        <w:tc>
          <w:tcPr>
            <w:tcW w:w="700" w:type="pct"/>
            <w:vMerge w:val="restart"/>
            <w:shd w:val="clear" w:color="auto" w:fill="auto"/>
            <w:noWrap/>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255"/>
        </w:trPr>
        <w:tc>
          <w:tcPr>
            <w:tcW w:w="588" w:type="pct"/>
            <w:vMerge/>
            <w:vAlign w:val="center"/>
          </w:tcPr>
          <w:p w:rsidR="00E14966" w:rsidRPr="00E14966" w:rsidRDefault="00E14966" w:rsidP="00E14966">
            <w:pPr>
              <w:rPr>
                <w:rFonts w:ascii="Arial" w:hAnsi="Arial" w:cs="Arial"/>
                <w:sz w:val="20"/>
                <w:szCs w:val="20"/>
              </w:rPr>
            </w:pPr>
          </w:p>
        </w:tc>
        <w:tc>
          <w:tcPr>
            <w:tcW w:w="387" w:type="pct"/>
            <w:vMerge/>
            <w:vAlign w:val="center"/>
          </w:tcPr>
          <w:p w:rsidR="00E14966" w:rsidRPr="00E14966" w:rsidRDefault="00E14966" w:rsidP="00E14966">
            <w:pPr>
              <w:rPr>
                <w:rFonts w:ascii="Arial" w:hAnsi="Arial" w:cs="Arial"/>
                <w:sz w:val="20"/>
                <w:szCs w:val="20"/>
              </w:rPr>
            </w:pPr>
          </w:p>
        </w:tc>
        <w:tc>
          <w:tcPr>
            <w:tcW w:w="1551" w:type="pct"/>
            <w:vMerge/>
            <w:vAlign w:val="center"/>
          </w:tcPr>
          <w:p w:rsidR="00E14966" w:rsidRPr="00E14966" w:rsidRDefault="00E14966" w:rsidP="00E14966">
            <w:pPr>
              <w:rPr>
                <w:rFonts w:ascii="Arial" w:hAnsi="Arial" w:cs="Arial"/>
                <w:sz w:val="20"/>
                <w:szCs w:val="20"/>
              </w:rPr>
            </w:pPr>
          </w:p>
        </w:tc>
        <w:tc>
          <w:tcPr>
            <w:tcW w:w="692" w:type="pct"/>
            <w:vMerge/>
            <w:shd w:val="clear" w:color="auto" w:fill="auto"/>
            <w:vAlign w:val="center"/>
          </w:tcPr>
          <w:p w:rsidR="00E14966" w:rsidRPr="00E14966" w:rsidRDefault="00E14966" w:rsidP="00E14966">
            <w:pPr>
              <w:rPr>
                <w:rFonts w:ascii="Arial" w:hAnsi="Arial" w:cs="Arial"/>
                <w:sz w:val="20"/>
                <w:szCs w:val="20"/>
              </w:rPr>
            </w:pPr>
          </w:p>
        </w:tc>
        <w:tc>
          <w:tcPr>
            <w:tcW w:w="700" w:type="pct"/>
            <w:vMerge/>
            <w:shd w:val="clear" w:color="auto" w:fill="auto"/>
            <w:noWrap/>
            <w:vAlign w:val="center"/>
          </w:tcPr>
          <w:p w:rsidR="00E14966" w:rsidRPr="00E14966" w:rsidRDefault="00E14966" w:rsidP="00E14966">
            <w:pPr>
              <w:rPr>
                <w:rFonts w:ascii="Arial" w:hAnsi="Arial" w:cs="Arial"/>
                <w:sz w:val="20"/>
                <w:szCs w:val="20"/>
              </w:rPr>
            </w:pP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255"/>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34f</w:t>
            </w:r>
          </w:p>
        </w:tc>
        <w:tc>
          <w:tcPr>
            <w:tcW w:w="1551" w:type="pct"/>
            <w:vMerge w:val="restart"/>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V souvislosti s jednacím řízením s uveřejněním byly původní podmínky zakázky podstatně změněny.</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255"/>
        </w:trPr>
        <w:tc>
          <w:tcPr>
            <w:tcW w:w="588" w:type="pct"/>
            <w:vMerge/>
            <w:vAlign w:val="center"/>
          </w:tcPr>
          <w:p w:rsidR="00E14966" w:rsidRPr="00E14966" w:rsidRDefault="00E14966" w:rsidP="00E14966">
            <w:pPr>
              <w:rPr>
                <w:rFonts w:ascii="Arial" w:hAnsi="Arial" w:cs="Arial"/>
                <w:sz w:val="20"/>
                <w:szCs w:val="20"/>
              </w:rPr>
            </w:pPr>
          </w:p>
        </w:tc>
        <w:tc>
          <w:tcPr>
            <w:tcW w:w="387" w:type="pct"/>
            <w:vMerge/>
            <w:vAlign w:val="center"/>
          </w:tcPr>
          <w:p w:rsidR="00E14966" w:rsidRPr="00E14966" w:rsidRDefault="00E14966" w:rsidP="00E14966">
            <w:pPr>
              <w:rPr>
                <w:rFonts w:ascii="Arial" w:hAnsi="Arial" w:cs="Arial"/>
                <w:sz w:val="20"/>
                <w:szCs w:val="20"/>
              </w:rPr>
            </w:pPr>
          </w:p>
        </w:tc>
        <w:tc>
          <w:tcPr>
            <w:tcW w:w="1551" w:type="pct"/>
            <w:vMerge/>
            <w:vAlign w:val="center"/>
          </w:tcPr>
          <w:p w:rsidR="00E14966" w:rsidRPr="00E14966" w:rsidRDefault="00E14966" w:rsidP="00E14966">
            <w:pPr>
              <w:rPr>
                <w:rFonts w:ascii="Arial" w:hAnsi="Arial" w:cs="Arial"/>
                <w:sz w:val="20"/>
                <w:szCs w:val="20"/>
              </w:rPr>
            </w:pPr>
          </w:p>
        </w:tc>
        <w:tc>
          <w:tcPr>
            <w:tcW w:w="692" w:type="pct"/>
            <w:vMerge/>
            <w:shd w:val="clear" w:color="auto" w:fill="auto"/>
            <w:vAlign w:val="center"/>
          </w:tcPr>
          <w:p w:rsidR="00E14966" w:rsidRPr="00E14966" w:rsidRDefault="00E14966" w:rsidP="00E14966">
            <w:pPr>
              <w:rPr>
                <w:rFonts w:ascii="Arial" w:hAnsi="Arial" w:cs="Arial"/>
                <w:sz w:val="20"/>
                <w:szCs w:val="20"/>
              </w:rPr>
            </w:pPr>
          </w:p>
        </w:tc>
        <w:tc>
          <w:tcPr>
            <w:tcW w:w="700" w:type="pct"/>
            <w:vMerge/>
            <w:shd w:val="clear" w:color="auto" w:fill="auto"/>
            <w:noWrap/>
            <w:vAlign w:val="center"/>
          </w:tcPr>
          <w:p w:rsidR="00E14966" w:rsidRPr="00E14966" w:rsidRDefault="00E14966" w:rsidP="00E14966">
            <w:pPr>
              <w:rPr>
                <w:rFonts w:ascii="Arial" w:hAnsi="Arial" w:cs="Arial"/>
                <w:sz w:val="20"/>
                <w:szCs w:val="20"/>
              </w:rPr>
            </w:pP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1063"/>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34g</w:t>
            </w:r>
          </w:p>
        </w:tc>
        <w:tc>
          <w:tcPr>
            <w:tcW w:w="1551" w:type="pct"/>
            <w:vMerge w:val="restar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Původní zadávací podmínky se podstatně změní po podání nabídek.</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noWrap/>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523"/>
        </w:trPr>
        <w:tc>
          <w:tcPr>
            <w:tcW w:w="588" w:type="pct"/>
            <w:vMerge/>
            <w:vAlign w:val="center"/>
          </w:tcPr>
          <w:p w:rsidR="00E14966" w:rsidRPr="00E14966" w:rsidRDefault="00E14966" w:rsidP="00E14966">
            <w:pPr>
              <w:rPr>
                <w:rFonts w:ascii="Arial" w:hAnsi="Arial" w:cs="Arial"/>
                <w:sz w:val="20"/>
                <w:szCs w:val="20"/>
              </w:rPr>
            </w:pPr>
          </w:p>
        </w:tc>
        <w:tc>
          <w:tcPr>
            <w:tcW w:w="387" w:type="pct"/>
            <w:vMerge/>
            <w:shd w:val="clear" w:color="auto" w:fill="auto"/>
          </w:tcPr>
          <w:p w:rsidR="00E14966" w:rsidRPr="00E14966" w:rsidRDefault="00E14966" w:rsidP="00E14966">
            <w:pPr>
              <w:rPr>
                <w:rFonts w:ascii="Arial" w:hAnsi="Arial" w:cs="Arial"/>
                <w:sz w:val="20"/>
                <w:szCs w:val="20"/>
              </w:rPr>
            </w:pPr>
          </w:p>
        </w:tc>
        <w:tc>
          <w:tcPr>
            <w:tcW w:w="1551" w:type="pct"/>
            <w:vMerge/>
            <w:shd w:val="clear" w:color="auto" w:fill="auto"/>
          </w:tcPr>
          <w:p w:rsidR="00E14966" w:rsidRPr="00E14966" w:rsidRDefault="00E14966" w:rsidP="00E14966">
            <w:pPr>
              <w:rPr>
                <w:rFonts w:ascii="Arial" w:hAnsi="Arial" w:cs="Arial"/>
                <w:sz w:val="20"/>
                <w:szCs w:val="20"/>
              </w:rPr>
            </w:pPr>
          </w:p>
        </w:tc>
        <w:tc>
          <w:tcPr>
            <w:tcW w:w="692" w:type="pct"/>
            <w:vMerge/>
            <w:shd w:val="clear" w:color="auto" w:fill="auto"/>
            <w:vAlign w:val="center"/>
          </w:tcPr>
          <w:p w:rsidR="00E14966" w:rsidRPr="00E14966" w:rsidRDefault="00E14966" w:rsidP="00E14966">
            <w:pPr>
              <w:rPr>
                <w:rFonts w:ascii="Arial" w:hAnsi="Arial" w:cs="Arial"/>
                <w:sz w:val="20"/>
                <w:szCs w:val="20"/>
              </w:rPr>
            </w:pPr>
          </w:p>
        </w:tc>
        <w:tc>
          <w:tcPr>
            <w:tcW w:w="700" w:type="pct"/>
            <w:vMerge/>
            <w:shd w:val="clear" w:color="auto" w:fill="auto"/>
            <w:vAlign w:val="center"/>
          </w:tcPr>
          <w:p w:rsidR="00E14966" w:rsidRPr="00E14966" w:rsidRDefault="00E14966" w:rsidP="00E14966">
            <w:pPr>
              <w:rPr>
                <w:rFonts w:ascii="Arial" w:hAnsi="Arial" w:cs="Arial"/>
                <w:sz w:val="20"/>
                <w:szCs w:val="20"/>
              </w:rPr>
            </w:pP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405"/>
        </w:trPr>
        <w:tc>
          <w:tcPr>
            <w:tcW w:w="588" w:type="pct"/>
            <w:vMerge/>
            <w:vAlign w:val="center"/>
          </w:tcPr>
          <w:p w:rsidR="00E14966" w:rsidRPr="00E14966" w:rsidRDefault="00E14966" w:rsidP="00E14966">
            <w:pPr>
              <w:rPr>
                <w:rFonts w:ascii="Arial" w:hAnsi="Arial" w:cs="Arial"/>
                <w:sz w:val="20"/>
                <w:szCs w:val="20"/>
              </w:rPr>
            </w:pPr>
          </w:p>
        </w:tc>
        <w:tc>
          <w:tcPr>
            <w:tcW w:w="387" w:type="pct"/>
            <w:vMerge w:val="restar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34 h</w:t>
            </w:r>
          </w:p>
        </w:tc>
        <w:tc>
          <w:tcPr>
            <w:tcW w:w="1551" w:type="pct"/>
            <w:vMerge w:val="restar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Zadavatel umožní upravit uchazeči nabídku během hodnocení nabídek.</w:t>
            </w:r>
          </w:p>
        </w:tc>
        <w:tc>
          <w:tcPr>
            <w:tcW w:w="692"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vMerge w:val="restar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 nebo</w:t>
            </w:r>
          </w:p>
        </w:tc>
      </w:tr>
      <w:tr w:rsidR="00E14966" w:rsidRPr="00E14966" w:rsidTr="00E14966">
        <w:trPr>
          <w:trHeight w:val="405"/>
        </w:trPr>
        <w:tc>
          <w:tcPr>
            <w:tcW w:w="588" w:type="pct"/>
            <w:vMerge/>
            <w:vAlign w:val="center"/>
          </w:tcPr>
          <w:p w:rsidR="00E14966" w:rsidRPr="00E14966" w:rsidRDefault="00E14966" w:rsidP="00E14966">
            <w:pPr>
              <w:rPr>
                <w:rFonts w:ascii="Arial" w:hAnsi="Arial" w:cs="Arial"/>
                <w:sz w:val="20"/>
                <w:szCs w:val="20"/>
              </w:rPr>
            </w:pPr>
          </w:p>
        </w:tc>
        <w:tc>
          <w:tcPr>
            <w:tcW w:w="387" w:type="pct"/>
            <w:vMerge/>
            <w:shd w:val="clear" w:color="auto" w:fill="auto"/>
          </w:tcPr>
          <w:p w:rsidR="00E14966" w:rsidRPr="00E14966" w:rsidRDefault="00E14966" w:rsidP="00E14966">
            <w:pPr>
              <w:rPr>
                <w:rFonts w:ascii="Arial" w:hAnsi="Arial" w:cs="Arial"/>
                <w:sz w:val="20"/>
                <w:szCs w:val="20"/>
              </w:rPr>
            </w:pPr>
          </w:p>
        </w:tc>
        <w:tc>
          <w:tcPr>
            <w:tcW w:w="1551" w:type="pct"/>
            <w:vMerge/>
            <w:shd w:val="clear" w:color="auto" w:fill="auto"/>
          </w:tcPr>
          <w:p w:rsidR="00E14966" w:rsidRPr="00E14966" w:rsidRDefault="00E14966" w:rsidP="00E14966">
            <w:pPr>
              <w:rPr>
                <w:rFonts w:ascii="Arial" w:hAnsi="Arial" w:cs="Arial"/>
                <w:sz w:val="20"/>
                <w:szCs w:val="20"/>
              </w:rPr>
            </w:pPr>
          </w:p>
        </w:tc>
        <w:tc>
          <w:tcPr>
            <w:tcW w:w="692" w:type="pct"/>
            <w:vMerge/>
            <w:shd w:val="clear" w:color="auto" w:fill="auto"/>
            <w:vAlign w:val="center"/>
          </w:tcPr>
          <w:p w:rsidR="00E14966" w:rsidRPr="00E14966" w:rsidRDefault="00E14966" w:rsidP="00E14966">
            <w:pPr>
              <w:rPr>
                <w:rFonts w:ascii="Arial" w:hAnsi="Arial" w:cs="Arial"/>
                <w:sz w:val="20"/>
                <w:szCs w:val="20"/>
              </w:rPr>
            </w:pPr>
          </w:p>
        </w:tc>
        <w:tc>
          <w:tcPr>
            <w:tcW w:w="700" w:type="pct"/>
            <w:vMerge/>
            <w:shd w:val="clear" w:color="auto" w:fill="auto"/>
            <w:vAlign w:val="center"/>
          </w:tcPr>
          <w:p w:rsidR="00E14966" w:rsidRPr="00E14966" w:rsidRDefault="00E14966" w:rsidP="00E14966">
            <w:pPr>
              <w:rPr>
                <w:rFonts w:ascii="Arial" w:hAnsi="Arial" w:cs="Arial"/>
                <w:sz w:val="20"/>
                <w:szCs w:val="20"/>
              </w:rPr>
            </w:pP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max. 90 % nebo 95 % s ohledem na závažnost porušení.</w:t>
            </w:r>
          </w:p>
        </w:tc>
      </w:tr>
      <w:tr w:rsidR="00E14966" w:rsidRPr="00E14966" w:rsidTr="00E14966">
        <w:trPr>
          <w:trHeight w:val="1730"/>
        </w:trPr>
        <w:tc>
          <w:tcPr>
            <w:tcW w:w="588" w:type="pct"/>
            <w:vMerge/>
            <w:vAlign w:val="center"/>
          </w:tcPr>
          <w:p w:rsidR="00E14966" w:rsidRPr="00E14966" w:rsidRDefault="00E14966" w:rsidP="00E14966">
            <w:pPr>
              <w:rPr>
                <w:rFonts w:ascii="Arial" w:hAnsi="Arial" w:cs="Arial"/>
                <w:sz w:val="20"/>
                <w:szCs w:val="20"/>
              </w:rPr>
            </w:pPr>
          </w:p>
        </w:tc>
        <w:tc>
          <w:tcPr>
            <w:tcW w:w="387" w:type="pc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34i</w:t>
            </w:r>
          </w:p>
        </w:tc>
        <w:tc>
          <w:tcPr>
            <w:tcW w:w="1551" w:type="pct"/>
            <w:shd w:val="clear" w:color="auto" w:fill="auto"/>
          </w:tcPr>
          <w:p w:rsidR="00E14966" w:rsidRPr="00E14966" w:rsidRDefault="00E14966" w:rsidP="00E14966">
            <w:pPr>
              <w:rPr>
                <w:rFonts w:ascii="Arial" w:hAnsi="Arial" w:cs="Arial"/>
                <w:sz w:val="20"/>
                <w:szCs w:val="20"/>
              </w:rPr>
            </w:pPr>
            <w:r w:rsidRPr="00E14966">
              <w:rPr>
                <w:rFonts w:ascii="Arial" w:hAnsi="Arial" w:cs="Arial"/>
                <w:sz w:val="20"/>
                <w:szCs w:val="20"/>
              </w:rPr>
              <w:t>Nabídkové ceny zboží, prací nebo služeb se zdají být neobvykle nízké, avšak zadavatel tyto nabídky vyřadí, aniž by nejdříve písemně požádal o vysvětlení, případně nepostupuje v souladu s § 77 ZVZ.</w:t>
            </w:r>
          </w:p>
        </w:tc>
        <w:tc>
          <w:tcPr>
            <w:tcW w:w="69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 xml:space="preserve">75 % </w:t>
            </w:r>
          </w:p>
        </w:tc>
        <w:tc>
          <w:tcPr>
            <w:tcW w:w="700"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75 %.</w:t>
            </w:r>
          </w:p>
        </w:tc>
      </w:tr>
      <w:tr w:rsidR="00E14966" w:rsidRPr="00E14966" w:rsidTr="00E14966">
        <w:trPr>
          <w:trHeight w:val="1020"/>
        </w:trPr>
        <w:tc>
          <w:tcPr>
            <w:tcW w:w="588"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34j</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Zadání zakázky v rozporu s obecnými zásadami Smlouvy o fungování EU při zadávání zakázek (princip transparentnosti, nediskriminace a rovného zacházení). (Střet zájmů)</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Zadavatel nesmí uzavřít smlouvu s uchazečem: a) pokud se na zpracování uchazečovy nabídky podílel zaměstnanec zadavatele či člen statutárního orgánu, státní orgán, člen realizačního týmu projektu či osoba, která na základě smluvního vztahu podílela na zadání předmětného výběrového řízení, b) resp. s uchazečem ve sdružení, který je zaměstnancem zadavatele či členem realizačního týmu, či osobou, která se na základě smluvního vztahu podílela na zadání předmětného výběrového řízení, nebo c) jehož </w:t>
            </w:r>
            <w:r w:rsidRPr="00E14966">
              <w:rPr>
                <w:rFonts w:ascii="Arial" w:hAnsi="Arial" w:cs="Arial"/>
                <w:sz w:val="20"/>
                <w:szCs w:val="20"/>
              </w:rPr>
              <w:lastRenderedPageBreak/>
              <w:t xml:space="preserve">subdodavatelem je zaměstnanec zadavatele, člen realizačního týmu či osoba, která se na základě smluvního vztahu podílela na zadání předmětného výběrového řízení. </w:t>
            </w:r>
          </w:p>
        </w:tc>
      </w:tr>
      <w:tr w:rsidR="00E14966" w:rsidRPr="00E14966" w:rsidTr="00E14966">
        <w:trPr>
          <w:trHeight w:val="350"/>
        </w:trPr>
        <w:tc>
          <w:tcPr>
            <w:tcW w:w="588" w:type="pct"/>
            <w:vMerge w:val="restart"/>
            <w:shd w:val="clear" w:color="auto" w:fill="auto"/>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3. Plnění zakázky</w:t>
            </w: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35a</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Podstatná změna smlouvy na plnění zakázky, která by mohla mít vliv na výběr nejvhodnější nabídky nebo by umožnila účast jiných uchazečů nebo by měnila ekonomickou rovnováhu smlouvy ve prospěch vybraného uchazeče. (Týká se nedovolené úpravy předmětu zakázky, ceny, doby trvání, povahy prací, subdodavatelů a množství, apod., které byly ve smlouvě specifikovány jinak, než byly uvedeny v zadávacích podmínkách nebo v nabídce.)</w:t>
            </w:r>
          </w:p>
        </w:tc>
        <w:tc>
          <w:tcPr>
            <w:tcW w:w="69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00"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 a částka přesahující původní nabídkovou cenu</w:t>
            </w:r>
          </w:p>
        </w:tc>
        <w:tc>
          <w:tcPr>
            <w:tcW w:w="1082"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z ceny původní zakázky a 0 % prominutí částky přesahující původní nabídkovou cenu.</w:t>
            </w:r>
          </w:p>
        </w:tc>
      </w:tr>
      <w:tr w:rsidR="00E14966" w:rsidRPr="00E14966" w:rsidTr="00E14966">
        <w:trPr>
          <w:trHeight w:val="35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vMerge/>
            <w:vAlign w:val="center"/>
            <w:hideMark/>
          </w:tcPr>
          <w:p w:rsidR="00E14966" w:rsidRPr="00E14966" w:rsidRDefault="00E14966" w:rsidP="00E14966">
            <w:pPr>
              <w:rPr>
                <w:rFonts w:ascii="Arial" w:hAnsi="Arial" w:cs="Arial"/>
                <w:sz w:val="20"/>
                <w:szCs w:val="20"/>
              </w:rPr>
            </w:pPr>
          </w:p>
        </w:tc>
        <w:tc>
          <w:tcPr>
            <w:tcW w:w="700" w:type="pct"/>
            <w:vMerge/>
            <w:vAlign w:val="center"/>
            <w:hideMark/>
          </w:tcPr>
          <w:p w:rsidR="00E14966" w:rsidRPr="00E14966" w:rsidRDefault="00E14966" w:rsidP="00E14966">
            <w:pPr>
              <w:rPr>
                <w:rFonts w:ascii="Arial" w:hAnsi="Arial" w:cs="Arial"/>
                <w:sz w:val="20"/>
                <w:szCs w:val="20"/>
              </w:rPr>
            </w:pPr>
          </w:p>
        </w:tc>
        <w:tc>
          <w:tcPr>
            <w:tcW w:w="1082" w:type="pct"/>
            <w:vMerge/>
            <w:vAlign w:val="center"/>
            <w:hideMark/>
          </w:tcPr>
          <w:p w:rsidR="00E14966" w:rsidRPr="00E14966" w:rsidRDefault="00E14966" w:rsidP="00E14966">
            <w:pPr>
              <w:rPr>
                <w:rFonts w:ascii="Arial" w:hAnsi="Arial" w:cs="Arial"/>
                <w:sz w:val="20"/>
                <w:szCs w:val="20"/>
              </w:rPr>
            </w:pPr>
          </w:p>
        </w:tc>
      </w:tr>
      <w:tr w:rsidR="00E14966" w:rsidRPr="00E14966" w:rsidTr="00E14966">
        <w:trPr>
          <w:trHeight w:val="1530"/>
        </w:trPr>
        <w:tc>
          <w:tcPr>
            <w:tcW w:w="588" w:type="pct"/>
            <w:vMerge/>
            <w:vAlign w:val="center"/>
            <w:hideMark/>
          </w:tcPr>
          <w:p w:rsidR="00E14966" w:rsidRPr="00E14966" w:rsidRDefault="00E14966" w:rsidP="00E14966">
            <w:pPr>
              <w:rPr>
                <w:rFonts w:ascii="Arial" w:hAnsi="Arial" w:cs="Arial"/>
                <w:sz w:val="20"/>
                <w:szCs w:val="20"/>
              </w:rPr>
            </w:pPr>
          </w:p>
        </w:tc>
        <w:tc>
          <w:tcPr>
            <w:tcW w:w="387"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35b</w:t>
            </w:r>
          </w:p>
        </w:tc>
        <w:tc>
          <w:tcPr>
            <w:tcW w:w="1551"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Snížení rozsahu smlouvy na plnění veřejné zakázky, které by mohlo mít vliv na výběr nejvhodnější nabídky nebo umožnilo účast jiných uchazečů nebo by měnilo ekonomickou rovnováhu smlouvy ve prospěch vybraného uchazeče.</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ze smluvní ceny po jejím snížení.</w:t>
            </w:r>
          </w:p>
        </w:tc>
      </w:tr>
      <w:tr w:rsidR="00E14966" w:rsidRPr="00E14966" w:rsidTr="00E14966">
        <w:trPr>
          <w:trHeight w:val="510"/>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35c</w:t>
            </w:r>
          </w:p>
        </w:tc>
        <w:tc>
          <w:tcPr>
            <w:tcW w:w="1551" w:type="pct"/>
            <w:vMerge w:val="restar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Původní zakázka byla zadána v souladu se ZVZ či ZP, ale dodatečné zakázky byly zadány v rozporu s důvody uvedenými v ZVZ či ZP  </w:t>
            </w: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hodnoty dodatečných zakázek</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0 % nebo,</w:t>
            </w:r>
          </w:p>
        </w:tc>
      </w:tr>
      <w:tr w:rsidR="00E14966" w:rsidRPr="00E14966" w:rsidTr="00E14966">
        <w:trPr>
          <w:trHeight w:val="1275"/>
        </w:trPr>
        <w:tc>
          <w:tcPr>
            <w:tcW w:w="588" w:type="pct"/>
            <w:vMerge/>
            <w:vAlign w:val="center"/>
            <w:hideMark/>
          </w:tcPr>
          <w:p w:rsidR="00E14966" w:rsidRPr="00E14966" w:rsidRDefault="00E14966" w:rsidP="00E14966">
            <w:pPr>
              <w:rPr>
                <w:rFonts w:ascii="Arial" w:hAnsi="Arial" w:cs="Arial"/>
                <w:sz w:val="20"/>
                <w:szCs w:val="20"/>
              </w:rPr>
            </w:pPr>
          </w:p>
        </w:tc>
        <w:tc>
          <w:tcPr>
            <w:tcW w:w="387" w:type="pct"/>
            <w:vMerge/>
            <w:vAlign w:val="center"/>
            <w:hideMark/>
          </w:tcPr>
          <w:p w:rsidR="00E14966" w:rsidRPr="00E14966" w:rsidRDefault="00E14966" w:rsidP="00E14966">
            <w:pPr>
              <w:rPr>
                <w:rFonts w:ascii="Arial" w:hAnsi="Arial" w:cs="Arial"/>
                <w:sz w:val="20"/>
                <w:szCs w:val="20"/>
              </w:rPr>
            </w:pPr>
          </w:p>
        </w:tc>
        <w:tc>
          <w:tcPr>
            <w:tcW w:w="1551" w:type="pct"/>
            <w:vMerge/>
            <w:vAlign w:val="center"/>
            <w:hideMark/>
          </w:tcPr>
          <w:p w:rsidR="00E14966" w:rsidRPr="00E14966" w:rsidRDefault="00E14966" w:rsidP="00E14966">
            <w:pPr>
              <w:rPr>
                <w:rFonts w:ascii="Arial" w:hAnsi="Arial" w:cs="Arial"/>
                <w:sz w:val="20"/>
                <w:szCs w:val="20"/>
              </w:rPr>
            </w:pPr>
          </w:p>
        </w:tc>
        <w:tc>
          <w:tcPr>
            <w:tcW w:w="69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w:t>
            </w:r>
          </w:p>
        </w:tc>
        <w:tc>
          <w:tcPr>
            <w:tcW w:w="700" w:type="pct"/>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 hodnoty dodatečných zakázek</w:t>
            </w:r>
          </w:p>
        </w:tc>
        <w:tc>
          <w:tcPr>
            <w:tcW w:w="1082" w:type="pct"/>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z hodnoty dodatečných zakázek v případě, kdy dodatečné zakázky nepřekročí 50 % hodnoty původní zakázky.</w:t>
            </w:r>
          </w:p>
        </w:tc>
      </w:tr>
      <w:tr w:rsidR="00E14966" w:rsidRPr="00E14966" w:rsidTr="00E14966">
        <w:trPr>
          <w:trHeight w:val="1275"/>
        </w:trPr>
        <w:tc>
          <w:tcPr>
            <w:tcW w:w="588" w:type="pct"/>
            <w:vMerge/>
            <w:tcBorders>
              <w:bottom w:val="single" w:sz="4" w:space="0" w:color="auto"/>
            </w:tcBorders>
            <w:vAlign w:val="center"/>
            <w:hideMark/>
          </w:tcPr>
          <w:p w:rsidR="00E14966" w:rsidRPr="00E14966" w:rsidRDefault="00E14966" w:rsidP="00E14966">
            <w:pPr>
              <w:rPr>
                <w:rFonts w:ascii="Arial" w:hAnsi="Arial" w:cs="Arial"/>
                <w:sz w:val="20"/>
                <w:szCs w:val="20"/>
              </w:rPr>
            </w:pPr>
          </w:p>
        </w:tc>
        <w:tc>
          <w:tcPr>
            <w:tcW w:w="387" w:type="pct"/>
            <w:tcBorders>
              <w:bottom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35d</w:t>
            </w:r>
          </w:p>
        </w:tc>
        <w:tc>
          <w:tcPr>
            <w:tcW w:w="1551" w:type="pct"/>
            <w:tcBorders>
              <w:bottom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Původní zakázka byla zadána v souladu s ZP a ZVZ , dodatečné stavební práce nebo služby byly zadány z důvodů uvedených v ZVZ a ZP, ale v objemu vyšším než povolené % původní hodnoty zakázky.</w:t>
            </w:r>
          </w:p>
        </w:tc>
        <w:tc>
          <w:tcPr>
            <w:tcW w:w="692" w:type="pct"/>
            <w:tcBorders>
              <w:bottom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w:t>
            </w:r>
          </w:p>
          <w:p w:rsidR="00E14966" w:rsidRPr="00E14966" w:rsidRDefault="00E14966" w:rsidP="00E14966">
            <w:pPr>
              <w:rPr>
                <w:rFonts w:ascii="Arial" w:hAnsi="Arial" w:cs="Arial"/>
                <w:sz w:val="20"/>
                <w:szCs w:val="20"/>
              </w:rPr>
            </w:pPr>
            <w:r w:rsidRPr="00E14966">
              <w:rPr>
                <w:rFonts w:ascii="Arial" w:hAnsi="Arial" w:cs="Arial"/>
                <w:sz w:val="20"/>
                <w:szCs w:val="20"/>
              </w:rPr>
              <w:t>0 %</w:t>
            </w:r>
          </w:p>
        </w:tc>
        <w:tc>
          <w:tcPr>
            <w:tcW w:w="700" w:type="pct"/>
            <w:tcBorders>
              <w:bottom w:val="single" w:sz="4" w:space="0" w:color="auto"/>
            </w:tcBorders>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částky přesahující povolené % ceny původní zakázky nebo z částky přesahující 50 % z ceny původní zakázky</w:t>
            </w:r>
          </w:p>
        </w:tc>
        <w:tc>
          <w:tcPr>
            <w:tcW w:w="1082" w:type="pct"/>
            <w:tcBorders>
              <w:bottom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 xml:space="preserve">75 % z částky přesahující povolené % ceny původní zakázky a 0 % z částky přesahující 50 % ceny původní zakázky. </w:t>
            </w:r>
          </w:p>
        </w:tc>
      </w:tr>
      <w:tr w:rsidR="00E14966" w:rsidRPr="00E14966" w:rsidTr="00E14966">
        <w:trPr>
          <w:trHeight w:val="1210"/>
        </w:trPr>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14966" w:rsidRPr="00E14966" w:rsidRDefault="00E14966" w:rsidP="00E14966">
            <w:pPr>
              <w:rPr>
                <w:rFonts w:ascii="Arial" w:hAnsi="Arial" w:cs="Arial"/>
                <w:sz w:val="20"/>
                <w:szCs w:val="20"/>
              </w:rPr>
            </w:pPr>
            <w:r w:rsidRPr="00E14966">
              <w:rPr>
                <w:rFonts w:ascii="Arial" w:hAnsi="Arial" w:cs="Arial"/>
                <w:sz w:val="20"/>
                <w:szCs w:val="20"/>
              </w:rPr>
              <w:lastRenderedPageBreak/>
              <w:t>4. Jiné porušení</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36a</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Jiné porušení ZVZ nebo ZP, výše neuvedené, které mělo nebo mohlo mít vliv na výběr nejvhodnější nabídky.</w:t>
            </w:r>
          </w:p>
        </w:tc>
        <w:tc>
          <w:tcPr>
            <w:tcW w:w="692" w:type="pct"/>
            <w:tcBorders>
              <w:top w:val="single" w:sz="4" w:space="0" w:color="auto"/>
              <w:left w:val="single" w:sz="4" w:space="0" w:color="auto"/>
              <w:right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- 95 %</w:t>
            </w:r>
          </w:p>
        </w:tc>
        <w:tc>
          <w:tcPr>
            <w:tcW w:w="700" w:type="pct"/>
            <w:tcBorders>
              <w:top w:val="single" w:sz="4" w:space="0" w:color="auto"/>
              <w:left w:val="single" w:sz="4" w:space="0" w:color="auto"/>
              <w:right w:val="single" w:sz="4" w:space="0" w:color="auto"/>
            </w:tcBorders>
            <w:shd w:val="clear" w:color="auto" w:fill="auto"/>
            <w:noWrap/>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předložený výdaj z VŘ</w:t>
            </w:r>
          </w:p>
        </w:tc>
        <w:tc>
          <w:tcPr>
            <w:tcW w:w="1082" w:type="pct"/>
            <w:tcBorders>
              <w:top w:val="single" w:sz="4" w:space="0" w:color="auto"/>
              <w:left w:val="single" w:sz="4" w:space="0" w:color="auto"/>
              <w:right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75 %, nebo max. 90 % nebo 95 % s ohledem na závažnost porušení.</w:t>
            </w:r>
          </w:p>
          <w:p w:rsidR="00E14966" w:rsidRPr="00E14966" w:rsidRDefault="00E14966" w:rsidP="00E14966">
            <w:pPr>
              <w:rPr>
                <w:rFonts w:ascii="Arial" w:hAnsi="Arial" w:cs="Arial"/>
                <w:sz w:val="20"/>
                <w:szCs w:val="20"/>
              </w:rPr>
            </w:pPr>
          </w:p>
        </w:tc>
      </w:tr>
      <w:tr w:rsidR="00E14966" w:rsidRPr="00E14966" w:rsidTr="00E14966">
        <w:trPr>
          <w:trHeight w:val="1530"/>
        </w:trPr>
        <w:tc>
          <w:tcPr>
            <w:tcW w:w="588" w:type="pct"/>
            <w:vMerge/>
            <w:tcBorders>
              <w:top w:val="single" w:sz="4" w:space="0" w:color="auto"/>
            </w:tcBorders>
            <w:vAlign w:val="center"/>
            <w:hideMark/>
          </w:tcPr>
          <w:p w:rsidR="00E14966" w:rsidRPr="00E14966" w:rsidRDefault="00E14966" w:rsidP="00E14966">
            <w:pPr>
              <w:rPr>
                <w:rFonts w:ascii="Arial" w:hAnsi="Arial" w:cs="Arial"/>
                <w:sz w:val="20"/>
                <w:szCs w:val="20"/>
              </w:rPr>
            </w:pPr>
          </w:p>
        </w:tc>
        <w:tc>
          <w:tcPr>
            <w:tcW w:w="387" w:type="pct"/>
            <w:tcBorders>
              <w:top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36b</w:t>
            </w:r>
          </w:p>
        </w:tc>
        <w:tc>
          <w:tcPr>
            <w:tcW w:w="1551" w:type="pct"/>
            <w:tcBorders>
              <w:top w:val="single" w:sz="4" w:space="0" w:color="auto"/>
            </w:tcBorders>
            <w:shd w:val="clear" w:color="auto" w:fill="auto"/>
            <w:vAlign w:val="center"/>
          </w:tcPr>
          <w:p w:rsidR="00E14966" w:rsidRPr="00E14966" w:rsidRDefault="00E14966" w:rsidP="00E14966">
            <w:pPr>
              <w:rPr>
                <w:rFonts w:ascii="Arial" w:hAnsi="Arial" w:cs="Arial"/>
                <w:sz w:val="20"/>
                <w:szCs w:val="20"/>
              </w:rPr>
            </w:pPr>
            <w:r w:rsidRPr="00E14966">
              <w:rPr>
                <w:rFonts w:ascii="Arial" w:hAnsi="Arial" w:cs="Arial"/>
                <w:sz w:val="20"/>
                <w:szCs w:val="20"/>
              </w:rPr>
              <w:t>Jiné porušení ZVZ nebo ZP výše neuvedené, které nemělo, resp. nemohlo mít vliv na výběr nejvhodnější nabídky.</w:t>
            </w:r>
          </w:p>
        </w:tc>
        <w:tc>
          <w:tcPr>
            <w:tcW w:w="692" w:type="pct"/>
            <w:tcBorders>
              <w:top w:val="single" w:sz="4" w:space="0" w:color="auto"/>
            </w:tcBorders>
            <w:shd w:val="clear" w:color="auto" w:fill="auto"/>
            <w:noWrap/>
            <w:vAlign w:val="center"/>
          </w:tcPr>
          <w:p w:rsidR="00E14966" w:rsidRPr="00E14966" w:rsidRDefault="00E14966" w:rsidP="00E14966">
            <w:pPr>
              <w:rPr>
                <w:rFonts w:ascii="Arial" w:hAnsi="Arial" w:cs="Arial"/>
                <w:sz w:val="20"/>
                <w:szCs w:val="20"/>
              </w:rPr>
            </w:pPr>
          </w:p>
        </w:tc>
        <w:tc>
          <w:tcPr>
            <w:tcW w:w="700" w:type="pct"/>
            <w:tcBorders>
              <w:top w:val="single" w:sz="4" w:space="0" w:color="auto"/>
            </w:tcBorders>
            <w:shd w:val="clear" w:color="auto" w:fill="auto"/>
            <w:noWrap/>
            <w:vAlign w:val="center"/>
            <w:hideMark/>
          </w:tcPr>
          <w:p w:rsidR="00E14966" w:rsidRPr="00E14966" w:rsidRDefault="00E14966" w:rsidP="00E14966">
            <w:pPr>
              <w:rPr>
                <w:rFonts w:ascii="Arial" w:hAnsi="Arial" w:cs="Arial"/>
                <w:sz w:val="20"/>
                <w:szCs w:val="20"/>
              </w:rPr>
            </w:pPr>
          </w:p>
        </w:tc>
        <w:tc>
          <w:tcPr>
            <w:tcW w:w="1082" w:type="pct"/>
            <w:tcBorders>
              <w:top w:val="single" w:sz="4" w:space="0" w:color="auto"/>
            </w:tcBorders>
            <w:shd w:val="clear" w:color="auto" w:fill="auto"/>
            <w:vAlign w:val="center"/>
            <w:hideMark/>
          </w:tcPr>
          <w:p w:rsidR="00E14966" w:rsidRPr="00E14966" w:rsidRDefault="00E14966" w:rsidP="00E14966">
            <w:pPr>
              <w:rPr>
                <w:rFonts w:ascii="Arial" w:hAnsi="Arial" w:cs="Arial"/>
                <w:sz w:val="20"/>
                <w:szCs w:val="20"/>
              </w:rPr>
            </w:pPr>
            <w:r w:rsidRPr="00E14966">
              <w:rPr>
                <w:rFonts w:ascii="Arial" w:hAnsi="Arial" w:cs="Arial"/>
                <w:sz w:val="20"/>
                <w:szCs w:val="20"/>
              </w:rPr>
              <w:t>Toto porušení nezakládá žádnou finanční sankci.</w:t>
            </w:r>
          </w:p>
        </w:tc>
      </w:tr>
    </w:tbl>
    <w:p w:rsidR="006240DB" w:rsidRDefault="006240DB" w:rsidP="00E14966">
      <w:pPr>
        <w:rPr>
          <w:rFonts w:ascii="Arial" w:hAnsi="Arial" w:cs="Arial"/>
          <w:sz w:val="20"/>
          <w:szCs w:val="20"/>
        </w:rPr>
      </w:pPr>
    </w:p>
    <w:p w:rsidR="00E14966" w:rsidRPr="00E14966" w:rsidRDefault="00E14966" w:rsidP="00E14966">
      <w:pPr>
        <w:rPr>
          <w:rFonts w:ascii="Arial" w:hAnsi="Arial" w:cs="Arial"/>
          <w:sz w:val="20"/>
          <w:szCs w:val="20"/>
        </w:rPr>
      </w:pPr>
      <w:r w:rsidRPr="00E14966">
        <w:rPr>
          <w:rFonts w:ascii="Arial" w:hAnsi="Arial" w:cs="Arial"/>
          <w:sz w:val="20"/>
          <w:szCs w:val="20"/>
        </w:rPr>
        <w:t>Vysvětlení pojmů:</w:t>
      </w:r>
    </w:p>
    <w:p w:rsidR="00E14966" w:rsidRPr="00E14966" w:rsidRDefault="00E14966" w:rsidP="00E14966">
      <w:pPr>
        <w:rPr>
          <w:rFonts w:ascii="Arial" w:hAnsi="Arial" w:cs="Arial"/>
          <w:sz w:val="20"/>
          <w:szCs w:val="20"/>
        </w:rPr>
      </w:pPr>
      <w:r w:rsidRPr="00E14966">
        <w:rPr>
          <w:rFonts w:ascii="Arial" w:hAnsi="Arial" w:cs="Arial"/>
          <w:sz w:val="20"/>
          <w:szCs w:val="20"/>
        </w:rPr>
        <w:t>Dotace = částka dosud poskytnutých finančních prostředků.</w:t>
      </w:r>
    </w:p>
    <w:p w:rsidR="00E14966" w:rsidRPr="00E14966" w:rsidRDefault="00E14966" w:rsidP="00E14966">
      <w:pPr>
        <w:rPr>
          <w:rFonts w:ascii="Arial" w:hAnsi="Arial" w:cs="Arial"/>
          <w:sz w:val="20"/>
          <w:szCs w:val="20"/>
        </w:rPr>
      </w:pPr>
      <w:r w:rsidRPr="00E14966">
        <w:rPr>
          <w:rFonts w:ascii="Arial" w:hAnsi="Arial" w:cs="Arial"/>
          <w:sz w:val="20"/>
          <w:szCs w:val="20"/>
        </w:rPr>
        <w:t>Vrácení finančních prostředků = jejich odepsání z účtu příjemce.</w:t>
      </w:r>
    </w:p>
    <w:p w:rsidR="00E14966" w:rsidRPr="00E14966" w:rsidRDefault="00E14966" w:rsidP="00E14966">
      <w:pPr>
        <w:rPr>
          <w:rFonts w:ascii="Arial" w:hAnsi="Arial" w:cs="Arial"/>
          <w:sz w:val="20"/>
          <w:szCs w:val="20"/>
        </w:rPr>
      </w:pPr>
      <w:r w:rsidRPr="00E14966">
        <w:rPr>
          <w:rFonts w:ascii="Arial" w:hAnsi="Arial" w:cs="Arial"/>
          <w:sz w:val="20"/>
          <w:szCs w:val="20"/>
        </w:rPr>
        <w:t xml:space="preserve">Za vrácení finančních prostředků se pro účely prominutí odvodu považuje mimo vrácení na projektový účet rovněž vrácení prostředků do </w:t>
      </w:r>
      <w:r w:rsidRPr="00E14966">
        <w:rPr>
          <w:rFonts w:ascii="Arial" w:hAnsi="Arial" w:cs="Arial"/>
          <w:sz w:val="20"/>
          <w:szCs w:val="20"/>
          <w:u w:val="single"/>
        </w:rPr>
        <w:t>projektové</w:t>
      </w:r>
      <w:r w:rsidRPr="00E14966">
        <w:rPr>
          <w:rFonts w:ascii="Arial" w:hAnsi="Arial" w:cs="Arial"/>
          <w:sz w:val="20"/>
          <w:szCs w:val="20"/>
        </w:rPr>
        <w:t xml:space="preserve"> pokladny, vč. uznání splnění termínu pro vrácení.</w:t>
      </w:r>
    </w:p>
    <w:p w:rsidR="00E14966" w:rsidRPr="00E14966" w:rsidRDefault="00E14966" w:rsidP="00E14966">
      <w:pPr>
        <w:rPr>
          <w:rFonts w:ascii="Arial" w:hAnsi="Arial" w:cs="Arial"/>
          <w:sz w:val="20"/>
          <w:szCs w:val="20"/>
        </w:rPr>
      </w:pPr>
      <w:r w:rsidRPr="00E14966">
        <w:rPr>
          <w:rFonts w:ascii="Arial" w:hAnsi="Arial" w:cs="Arial"/>
          <w:sz w:val="20"/>
          <w:szCs w:val="20"/>
        </w:rPr>
        <w:t>V případě, že projekt je financován v rámci systému nepřímých nákladů, pak při prominutí přímého nákladu (nebo jeho části) je současně promíjen i s ním spojený náklad nepřímý (nebo jeho část poměrově odpovídající částečnému prominutí nákladu přímého).</w:t>
      </w:r>
    </w:p>
    <w:p w:rsidR="00E14966" w:rsidRPr="00E14966" w:rsidRDefault="00E14966" w:rsidP="00E14966">
      <w:pPr>
        <w:rPr>
          <w:rFonts w:ascii="Arial" w:hAnsi="Arial" w:cs="Arial"/>
          <w:sz w:val="20"/>
          <w:szCs w:val="20"/>
        </w:rPr>
      </w:pPr>
      <w:r w:rsidRPr="00E14966">
        <w:rPr>
          <w:rFonts w:ascii="Arial" w:hAnsi="Arial" w:cs="Arial"/>
          <w:sz w:val="20"/>
          <w:szCs w:val="20"/>
        </w:rPr>
        <w:t>Ve smyslu kapitoly 4. 2. 1. 1 je tento sazebník rovněž určením výše finančních oprav za pochybení ve VZ vyžadované ŘO OP VK a je možné jej aplikovat v oblasti VZ také pro sankce plynoucí z právních aktů uzavřených po 1. 5. 2012, stanovují-li tyto opravy přísnější.</w:t>
      </w:r>
    </w:p>
    <w:p w:rsidR="007E07CC" w:rsidRPr="00E14966" w:rsidRDefault="007E07CC" w:rsidP="00E14966">
      <w:pPr>
        <w:rPr>
          <w:rFonts w:ascii="Arial" w:hAnsi="Arial" w:cs="Arial"/>
          <w:sz w:val="20"/>
          <w:szCs w:val="20"/>
        </w:rPr>
      </w:pPr>
    </w:p>
    <w:sectPr w:rsidR="007E07CC" w:rsidRPr="00E14966" w:rsidSect="00AB2C8B">
      <w:headerReference w:type="default" r:id="rId8"/>
      <w:footerReference w:type="default" r:id="rId9"/>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23F" w:rsidRDefault="009E023F" w:rsidP="007E07CC">
      <w:r>
        <w:separator/>
      </w:r>
    </w:p>
  </w:endnote>
  <w:endnote w:type="continuationSeparator" w:id="0">
    <w:p w:rsidR="009E023F" w:rsidRDefault="009E023F" w:rsidP="007E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CC" w:rsidRPr="006679FD" w:rsidRDefault="007C443A">
    <w:pPr>
      <w:pStyle w:val="Zpat"/>
      <w:pBdr>
        <w:top w:val="single" w:sz="4" w:space="1" w:color="000000"/>
      </w:pBdr>
      <w:jc w:val="both"/>
      <w:rPr>
        <w:rFonts w:ascii="Arial" w:hAnsi="Arial" w:cs="Arial"/>
        <w:i/>
        <w:sz w:val="20"/>
        <w:szCs w:val="20"/>
      </w:rPr>
    </w:pPr>
    <w:r>
      <w:rPr>
        <w:rFonts w:ascii="Arial" w:hAnsi="Arial" w:cs="Arial"/>
        <w:i/>
        <w:sz w:val="20"/>
        <w:szCs w:val="20"/>
      </w:rPr>
      <w:t>Zastupitelstvo</w:t>
    </w:r>
    <w:r w:rsidR="007E07CC">
      <w:rPr>
        <w:rFonts w:ascii="Arial" w:hAnsi="Arial" w:cs="Arial"/>
        <w:i/>
        <w:sz w:val="20"/>
        <w:szCs w:val="20"/>
      </w:rPr>
      <w:t xml:space="preserve"> Olomouckého kraje </w:t>
    </w:r>
    <w:r w:rsidR="0050145D">
      <w:rPr>
        <w:rFonts w:ascii="Arial" w:hAnsi="Arial" w:cs="Arial"/>
        <w:i/>
        <w:sz w:val="20"/>
        <w:szCs w:val="20"/>
      </w:rPr>
      <w:t>2</w:t>
    </w:r>
    <w:r>
      <w:rPr>
        <w:rFonts w:ascii="Arial" w:hAnsi="Arial" w:cs="Arial"/>
        <w:i/>
        <w:sz w:val="20"/>
        <w:szCs w:val="20"/>
      </w:rPr>
      <w:t>4</w:t>
    </w:r>
    <w:r w:rsidR="00C86678">
      <w:rPr>
        <w:rFonts w:ascii="Arial" w:hAnsi="Arial" w:cs="Arial"/>
        <w:i/>
        <w:sz w:val="20"/>
        <w:szCs w:val="20"/>
      </w:rPr>
      <w:t>.</w:t>
    </w:r>
    <w:r w:rsidR="006123CC">
      <w:rPr>
        <w:rFonts w:ascii="Arial" w:hAnsi="Arial" w:cs="Arial"/>
        <w:i/>
        <w:sz w:val="20"/>
        <w:szCs w:val="20"/>
      </w:rPr>
      <w:t xml:space="preserve"> </w:t>
    </w:r>
    <w:r w:rsidR="0050145D">
      <w:rPr>
        <w:rFonts w:ascii="Arial" w:hAnsi="Arial" w:cs="Arial"/>
        <w:i/>
        <w:sz w:val="20"/>
        <w:szCs w:val="20"/>
      </w:rPr>
      <w:t>4</w:t>
    </w:r>
    <w:r w:rsidR="00643F30">
      <w:rPr>
        <w:rFonts w:ascii="Arial" w:hAnsi="Arial" w:cs="Arial"/>
        <w:i/>
        <w:sz w:val="20"/>
        <w:szCs w:val="20"/>
      </w:rPr>
      <w:t xml:space="preserve">. </w:t>
    </w:r>
    <w:r w:rsidR="007E07CC">
      <w:rPr>
        <w:rFonts w:ascii="Arial" w:hAnsi="Arial" w:cs="Arial"/>
        <w:i/>
        <w:sz w:val="20"/>
        <w:szCs w:val="20"/>
      </w:rPr>
      <w:t>201</w:t>
    </w:r>
    <w:r w:rsidR="0050145D">
      <w:rPr>
        <w:rFonts w:ascii="Arial" w:hAnsi="Arial" w:cs="Arial"/>
        <w:i/>
        <w:sz w:val="20"/>
        <w:szCs w:val="20"/>
      </w:rPr>
      <w:t>5</w:t>
    </w:r>
    <w:r w:rsidR="007E07CC">
      <w:rPr>
        <w:rFonts w:ascii="Arial" w:hAnsi="Arial" w:cs="Arial"/>
        <w:i/>
        <w:sz w:val="20"/>
        <w:szCs w:val="20"/>
      </w:rPr>
      <w:tab/>
    </w:r>
    <w:r w:rsidR="007E07CC">
      <w:rPr>
        <w:rFonts w:ascii="Arial" w:hAnsi="Arial" w:cs="Arial"/>
        <w:i/>
        <w:sz w:val="20"/>
        <w:szCs w:val="20"/>
      </w:rPr>
      <w:tab/>
    </w:r>
    <w:r w:rsidR="007E07CC" w:rsidRPr="006679FD">
      <w:rPr>
        <w:rFonts w:ascii="Arial" w:hAnsi="Arial" w:cs="Arial"/>
        <w:i/>
        <w:sz w:val="20"/>
        <w:szCs w:val="20"/>
      </w:rPr>
      <w:t xml:space="preserve">Strana </w:t>
    </w:r>
    <w:r w:rsidR="007E07CC" w:rsidRPr="00C97E8C">
      <w:rPr>
        <w:rStyle w:val="slostrnky"/>
        <w:rFonts w:ascii="Arial" w:hAnsi="Arial" w:cs="Arial"/>
        <w:i/>
        <w:sz w:val="20"/>
        <w:szCs w:val="20"/>
      </w:rPr>
      <w:fldChar w:fldCharType="begin"/>
    </w:r>
    <w:r w:rsidR="007E07CC" w:rsidRPr="00C97E8C">
      <w:rPr>
        <w:rStyle w:val="slostrnky"/>
        <w:rFonts w:ascii="Arial" w:hAnsi="Arial" w:cs="Arial"/>
        <w:i/>
        <w:sz w:val="20"/>
        <w:szCs w:val="20"/>
      </w:rPr>
      <w:instrText xml:space="preserve"> PAGE </w:instrText>
    </w:r>
    <w:r w:rsidR="007E07CC" w:rsidRPr="00C97E8C">
      <w:rPr>
        <w:rStyle w:val="slostrnky"/>
        <w:rFonts w:ascii="Arial" w:hAnsi="Arial" w:cs="Arial"/>
        <w:i/>
        <w:sz w:val="20"/>
        <w:szCs w:val="20"/>
      </w:rPr>
      <w:fldChar w:fldCharType="separate"/>
    </w:r>
    <w:r w:rsidR="003F70FC">
      <w:rPr>
        <w:rStyle w:val="slostrnky"/>
        <w:rFonts w:ascii="Arial" w:hAnsi="Arial" w:cs="Arial"/>
        <w:i/>
        <w:noProof/>
        <w:sz w:val="20"/>
        <w:szCs w:val="20"/>
      </w:rPr>
      <w:t>8</w:t>
    </w:r>
    <w:r w:rsidR="007E07CC" w:rsidRPr="00C97E8C">
      <w:rPr>
        <w:rStyle w:val="slostrnky"/>
        <w:rFonts w:ascii="Arial" w:hAnsi="Arial" w:cs="Arial"/>
        <w:i/>
        <w:sz w:val="20"/>
        <w:szCs w:val="20"/>
      </w:rPr>
      <w:fldChar w:fldCharType="end"/>
    </w:r>
    <w:r w:rsidR="007E07CC" w:rsidRPr="006679FD">
      <w:rPr>
        <w:rStyle w:val="slostrnky"/>
        <w:rFonts w:ascii="Arial" w:hAnsi="Arial" w:cs="Arial"/>
        <w:i/>
        <w:sz w:val="20"/>
        <w:szCs w:val="20"/>
      </w:rPr>
      <w:t xml:space="preserve"> (</w:t>
    </w:r>
    <w:r w:rsidR="007E07CC" w:rsidRPr="006679FD">
      <w:rPr>
        <w:rFonts w:ascii="Arial" w:hAnsi="Arial" w:cs="Arial"/>
        <w:i/>
        <w:sz w:val="20"/>
        <w:szCs w:val="20"/>
      </w:rPr>
      <w:t>celkem</w:t>
    </w:r>
    <w:r w:rsidR="0067695C">
      <w:rPr>
        <w:rFonts w:ascii="Arial" w:hAnsi="Arial" w:cs="Arial"/>
        <w:i/>
        <w:sz w:val="20"/>
        <w:szCs w:val="20"/>
      </w:rPr>
      <w:t xml:space="preserve"> </w:t>
    </w:r>
    <w:r w:rsidR="00CB0609">
      <w:rPr>
        <w:rFonts w:ascii="Arial" w:hAnsi="Arial" w:cs="Arial"/>
        <w:i/>
        <w:sz w:val="20"/>
        <w:szCs w:val="20"/>
      </w:rPr>
      <w:t>3</w:t>
    </w:r>
    <w:r w:rsidR="00B05CBE">
      <w:rPr>
        <w:rFonts w:ascii="Arial" w:hAnsi="Arial" w:cs="Arial"/>
        <w:i/>
        <w:sz w:val="20"/>
        <w:szCs w:val="20"/>
      </w:rPr>
      <w:t>2</w:t>
    </w:r>
    <w:r w:rsidR="007E07CC" w:rsidRPr="006679FD">
      <w:rPr>
        <w:rFonts w:ascii="Arial" w:hAnsi="Arial" w:cs="Arial"/>
        <w:i/>
        <w:sz w:val="20"/>
        <w:szCs w:val="20"/>
      </w:rPr>
      <w:t>)</w:t>
    </w:r>
  </w:p>
  <w:p w:rsidR="007E07CC" w:rsidRDefault="007C443A">
    <w:pPr>
      <w:pStyle w:val="Zpat"/>
      <w:pBdr>
        <w:top w:val="single" w:sz="4" w:space="1" w:color="000000"/>
      </w:pBdr>
      <w:jc w:val="both"/>
      <w:rPr>
        <w:rFonts w:ascii="Arial" w:hAnsi="Arial" w:cs="Arial"/>
        <w:i/>
        <w:sz w:val="20"/>
        <w:szCs w:val="20"/>
      </w:rPr>
    </w:pPr>
    <w:r>
      <w:rPr>
        <w:rFonts w:ascii="Arial" w:hAnsi="Arial" w:cs="Arial"/>
        <w:i/>
        <w:sz w:val="20"/>
        <w:szCs w:val="20"/>
      </w:rPr>
      <w:t>2</w:t>
    </w:r>
    <w:r w:rsidR="003F70FC">
      <w:rPr>
        <w:rFonts w:ascii="Arial" w:hAnsi="Arial" w:cs="Arial"/>
        <w:i/>
        <w:sz w:val="20"/>
        <w:szCs w:val="20"/>
      </w:rPr>
      <w:t>7</w:t>
    </w:r>
    <w:r w:rsidR="007D3DFB" w:rsidRPr="005E5861">
      <w:rPr>
        <w:rFonts w:ascii="Arial" w:hAnsi="Arial" w:cs="Arial"/>
        <w:i/>
        <w:sz w:val="20"/>
        <w:szCs w:val="20"/>
      </w:rPr>
      <w:t>.</w:t>
    </w:r>
    <w:r w:rsidR="007D3DFB">
      <w:rPr>
        <w:rFonts w:ascii="Arial" w:hAnsi="Arial" w:cs="Arial"/>
        <w:i/>
        <w:sz w:val="20"/>
        <w:szCs w:val="20"/>
      </w:rPr>
      <w:t xml:space="preserve"> </w:t>
    </w:r>
    <w:r w:rsidR="007E07CC">
      <w:rPr>
        <w:rFonts w:ascii="Arial" w:hAnsi="Arial" w:cs="Arial"/>
        <w:i/>
        <w:sz w:val="20"/>
        <w:szCs w:val="20"/>
      </w:rPr>
      <w:t>– Plnění podmínek Smluv o realizaci grantových projektů u příjemců finanční podpory v rámci globálních grantů Operačního programu Vzdělávání pro konkurenceschopnost</w:t>
    </w:r>
  </w:p>
  <w:p w:rsidR="007E07CC" w:rsidRDefault="007E07CC">
    <w:pPr>
      <w:pStyle w:val="Zpat"/>
      <w:pBdr>
        <w:top w:val="single" w:sz="4" w:space="1" w:color="000000"/>
      </w:pBdr>
      <w:jc w:val="both"/>
      <w:rPr>
        <w:rFonts w:ascii="Arial" w:hAnsi="Arial" w:cs="Arial"/>
        <w:i/>
        <w:sz w:val="20"/>
        <w:szCs w:val="20"/>
      </w:rPr>
    </w:pPr>
    <w:r w:rsidRPr="00ED33D8">
      <w:rPr>
        <w:rFonts w:ascii="Arial" w:hAnsi="Arial" w:cs="Arial"/>
        <w:i/>
        <w:sz w:val="20"/>
        <w:szCs w:val="20"/>
      </w:rPr>
      <w:t xml:space="preserve">Příloha č. 1 – </w:t>
    </w:r>
    <w:r w:rsidRPr="00ED33D8">
      <w:rPr>
        <w:rFonts w:ascii="Arial" w:hAnsi="Arial" w:cs="Arial"/>
        <w:i/>
        <w:sz w:val="20"/>
        <w:szCs w:val="20"/>
      </w:rPr>
      <w:tab/>
      <w:t>Sazebník pro stanovování výše prominutí povinnosti odvodu za porušení rozpočtové kázně a výklad jeho jednotlivých položek</w:t>
    </w:r>
    <w:r>
      <w:rPr>
        <w:rFonts w:ascii="Arial" w:hAnsi="Arial" w:cs="Arial"/>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23F" w:rsidRDefault="009E023F" w:rsidP="007E07CC">
      <w:r>
        <w:separator/>
      </w:r>
    </w:p>
  </w:footnote>
  <w:footnote w:type="continuationSeparator" w:id="0">
    <w:p w:rsidR="009E023F" w:rsidRDefault="009E023F" w:rsidP="007E07CC">
      <w:r>
        <w:continuationSeparator/>
      </w:r>
    </w:p>
  </w:footnote>
  <w:footnote w:id="1">
    <w:p w:rsidR="00E14966" w:rsidRDefault="00E14966" w:rsidP="00E14966">
      <w:pPr>
        <w:pStyle w:val="Textpoznpodarou"/>
      </w:pPr>
      <w:r>
        <w:rPr>
          <w:rStyle w:val="Znakapoznpodarou"/>
        </w:rPr>
        <w:footnoteRef/>
      </w:r>
      <w:r>
        <w:t xml:space="preserve"> Sazby či procentní rozmezí pro možnost prominutí odvodu za PRK představují maximální částku, kterou lze z prostředků OP VK financovat. ZS si mohou v rámci interních postupů sazby upravit, ale pouze za předpokladu přísnějšího postihu porušitele rozpočtové kázně.</w:t>
      </w:r>
    </w:p>
  </w:footnote>
  <w:footnote w:id="2">
    <w:p w:rsidR="00E14966" w:rsidRDefault="00E14966" w:rsidP="00E14966">
      <w:pPr>
        <w:pStyle w:val="Textpoznpodarou"/>
      </w:pPr>
      <w:r w:rsidRPr="004E1D65">
        <w:rPr>
          <w:rStyle w:val="Znakapoznpodarou"/>
        </w:rPr>
        <w:footnoteRef/>
      </w:r>
      <w:r w:rsidRPr="004E1D65">
        <w:t xml:space="preserve"> V případě, že je stanoveno procentuální rozmezí, pak konkrétní procentní sazbu zvolí poskytovatel s přihlédnutím k individuálním okolnostem daného případu a míře pochybení příjemce.</w:t>
      </w:r>
    </w:p>
  </w:footnote>
  <w:footnote w:id="3">
    <w:p w:rsidR="00E14966" w:rsidRDefault="00E14966" w:rsidP="00E14966">
      <w:pPr>
        <w:pStyle w:val="Textpoznpodarou"/>
      </w:pPr>
      <w:r>
        <w:rPr>
          <w:rStyle w:val="Znakapoznpodarou"/>
        </w:rPr>
        <w:footnoteRef/>
      </w:r>
      <w:r>
        <w:t xml:space="preserve"> </w:t>
      </w:r>
      <w:r w:rsidRPr="0011367D">
        <w:t xml:space="preserve">Pod bod č. 9 Sazebníku nemůže být zařazeno pochybení, které vzniklo na základě schválení výdaje v rozpočtu jako neinvestičního a poté došlo k jeho proplacení. Následnou kontrolou bylo zjištěno, že se jedná o investici. Dodatek na podstatnou změnu možný není a prominutí v tomto případě také ne, takové výdaje budou řazeny pod bod </w:t>
      </w:r>
      <w:proofErr w:type="gramStart"/>
      <w:r w:rsidRPr="0011367D">
        <w:t>č. 4</w:t>
      </w:r>
      <w:r>
        <w:t xml:space="preserve"> </w:t>
      </w:r>
      <w:r w:rsidRPr="0011367D">
        <w:t>Sazebníku</w:t>
      </w:r>
      <w:proofErr w:type="gramEnd"/>
      <w:r w:rsidRPr="0011367D">
        <w:t>.</w:t>
      </w:r>
    </w:p>
  </w:footnote>
  <w:footnote w:id="4">
    <w:p w:rsidR="00E14966" w:rsidRDefault="00E14966" w:rsidP="00E14966">
      <w:pPr>
        <w:pStyle w:val="Textpoznpodarou"/>
      </w:pPr>
      <w:r>
        <w:rPr>
          <w:rStyle w:val="Znakapoznpodarou"/>
        </w:rPr>
        <w:footnoteRef/>
      </w:r>
      <w:r>
        <w:t xml:space="preserve"> </w:t>
      </w:r>
      <w:r w:rsidRPr="00022E3C">
        <w:t xml:space="preserve">Pro úplnost je nutno uvést, že stanovení cílových hodnot monitorovacích indikátorů dle pohlaví v projektové žádosti je na relevantních oblastech podpory pouze orientační a jejich nenaplnění není </w:t>
      </w:r>
      <w:proofErr w:type="spellStart"/>
      <w:r w:rsidRPr="00022E3C">
        <w:t>sankcionovatelné</w:t>
      </w:r>
      <w:proofErr w:type="spellEnd"/>
      <w:r w:rsidRPr="00022E3C">
        <w:t>, tj. nejedná se o porušení rozpočtové kázně, viz Metodika monitorovacích indikátorů</w:t>
      </w:r>
    </w:p>
  </w:footnote>
  <w:footnote w:id="5">
    <w:p w:rsidR="00E14966" w:rsidRDefault="00E14966" w:rsidP="00E14966">
      <w:pPr>
        <w:pStyle w:val="Textpoznpodarou"/>
      </w:pPr>
      <w:r w:rsidRPr="00022E3C">
        <w:rPr>
          <w:rStyle w:val="Znakapoznpodarou"/>
        </w:rPr>
        <w:footnoteRef/>
      </w:r>
      <w:r w:rsidRPr="00022E3C">
        <w:t xml:space="preserve"> Důvodem je skutečnost, že indikátor nevypovídá o kvalitě projektu nebo dosažených výsledcích a výstupech, jedná se o statistický indikátor. I přes tuto skutečnost je nutné nedodržení tohoto indikátoru identifikovat jako porušení rozpočtové kázně, protože se jedná o porušení povinnosti stanovené smlouvou. Avšak z výše uvedeného důvodu je v případě tohoto MI možné odvod prominout ze 100 %.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CC" w:rsidRDefault="007E07CC">
    <w:pPr>
      <w:pStyle w:val="Zhlav"/>
      <w:jc w:val="both"/>
      <w:rPr>
        <w:rFonts w:ascii="Arial" w:hAnsi="Arial" w:cs="Arial"/>
        <w:i/>
      </w:rPr>
    </w:pPr>
    <w:r>
      <w:rPr>
        <w:rFonts w:ascii="Arial" w:hAnsi="Arial" w:cs="Arial"/>
        <w:i/>
      </w:rPr>
      <w:t xml:space="preserve">Příloha č. 1 – </w:t>
    </w:r>
    <w:r w:rsidRPr="00801A79">
      <w:rPr>
        <w:rFonts w:ascii="Arial" w:hAnsi="Arial" w:cs="Arial"/>
        <w:i/>
      </w:rPr>
      <w:tab/>
      <w:t>Sazebník pro stanovování výše prominutí povinnosti odvodu za porušení rozpočtové kázně a výklad jeho jednotlivých položek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F7663AC"/>
    <w:multiLevelType w:val="multilevel"/>
    <w:tmpl w:val="E1948C2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3269"/>
        </w:tabs>
        <w:ind w:left="3269"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2141"/>
        </w:tabs>
        <w:ind w:left="2141" w:hanging="864"/>
      </w:pPr>
      <w:rPr>
        <w:rFonts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CC"/>
    <w:rsid w:val="00037469"/>
    <w:rsid w:val="00102E52"/>
    <w:rsid w:val="001424F2"/>
    <w:rsid w:val="001D5DDF"/>
    <w:rsid w:val="00384A19"/>
    <w:rsid w:val="003F70FC"/>
    <w:rsid w:val="0050145D"/>
    <w:rsid w:val="006123CC"/>
    <w:rsid w:val="006240DB"/>
    <w:rsid w:val="00643F30"/>
    <w:rsid w:val="0065650D"/>
    <w:rsid w:val="0067695C"/>
    <w:rsid w:val="00683D0C"/>
    <w:rsid w:val="00735693"/>
    <w:rsid w:val="007C443A"/>
    <w:rsid w:val="007D3DFB"/>
    <w:rsid w:val="007E07CC"/>
    <w:rsid w:val="0092676F"/>
    <w:rsid w:val="00987BB6"/>
    <w:rsid w:val="009D5019"/>
    <w:rsid w:val="009E023F"/>
    <w:rsid w:val="00AB2C8B"/>
    <w:rsid w:val="00B05CBE"/>
    <w:rsid w:val="00B80C36"/>
    <w:rsid w:val="00BB3F75"/>
    <w:rsid w:val="00C86678"/>
    <w:rsid w:val="00CB0609"/>
    <w:rsid w:val="00DF7CF7"/>
    <w:rsid w:val="00E14966"/>
    <w:rsid w:val="00E9551F"/>
    <w:rsid w:val="00F70DDB"/>
    <w:rsid w:val="00FD4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07CC"/>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Zkladntext"/>
    <w:link w:val="Nadpis1Char"/>
    <w:uiPriority w:val="9"/>
    <w:qFormat/>
    <w:rsid w:val="007E07CC"/>
    <w:pPr>
      <w:keepNext/>
      <w:numPr>
        <w:numId w:val="2"/>
      </w:numPr>
      <w:tabs>
        <w:tab w:val="clear" w:pos="432"/>
        <w:tab w:val="num" w:pos="0"/>
      </w:tabs>
      <w:spacing w:before="240" w:after="120"/>
      <w:outlineLvl w:val="0"/>
    </w:pPr>
    <w:rPr>
      <w:rFonts w:ascii="Arial" w:eastAsia="SimSun" w:hAnsi="Arial" w:cs="Tahoma"/>
      <w:b/>
      <w:bCs/>
      <w:sz w:val="32"/>
      <w:szCs w:val="32"/>
    </w:rPr>
  </w:style>
  <w:style w:type="paragraph" w:styleId="Nadpis2">
    <w:name w:val="heading 2"/>
    <w:basedOn w:val="Normln"/>
    <w:next w:val="Zkladntext"/>
    <w:link w:val="Nadpis2Char"/>
    <w:uiPriority w:val="9"/>
    <w:qFormat/>
    <w:rsid w:val="007E07CC"/>
    <w:pPr>
      <w:keepNext/>
      <w:numPr>
        <w:ilvl w:val="1"/>
        <w:numId w:val="2"/>
      </w:numPr>
      <w:tabs>
        <w:tab w:val="clear" w:pos="3269"/>
        <w:tab w:val="num" w:pos="0"/>
      </w:tabs>
      <w:spacing w:before="240" w:after="120"/>
      <w:ind w:left="576"/>
      <w:outlineLvl w:val="1"/>
    </w:pPr>
    <w:rPr>
      <w:rFonts w:ascii="Arial" w:eastAsia="SimSun" w:hAnsi="Arial" w:cs="Tahoma"/>
      <w:b/>
      <w:bCs/>
      <w:i/>
      <w:iCs/>
      <w:sz w:val="28"/>
      <w:szCs w:val="28"/>
    </w:rPr>
  </w:style>
  <w:style w:type="paragraph" w:styleId="Nadpis3">
    <w:name w:val="heading 3"/>
    <w:basedOn w:val="Normln"/>
    <w:next w:val="Normln"/>
    <w:link w:val="Nadpis3Char"/>
    <w:qFormat/>
    <w:rsid w:val="007E07CC"/>
    <w:pPr>
      <w:keepNext/>
      <w:numPr>
        <w:ilvl w:val="2"/>
        <w:numId w:val="2"/>
      </w:numPr>
      <w:suppressAutoHyphens w:val="0"/>
      <w:spacing w:before="240" w:after="60"/>
      <w:jc w:val="both"/>
      <w:outlineLvl w:val="2"/>
    </w:pPr>
    <w:rPr>
      <w:b/>
      <w:bCs/>
      <w:sz w:val="28"/>
      <w:szCs w:val="26"/>
      <w:lang w:eastAsia="cs-CZ"/>
    </w:rPr>
  </w:style>
  <w:style w:type="paragraph" w:styleId="Nadpis4">
    <w:name w:val="heading 4"/>
    <w:basedOn w:val="Normln"/>
    <w:next w:val="Zkladntext"/>
    <w:link w:val="Nadpis4Char"/>
    <w:qFormat/>
    <w:rsid w:val="007E07CC"/>
    <w:pPr>
      <w:keepNext/>
      <w:numPr>
        <w:ilvl w:val="3"/>
        <w:numId w:val="2"/>
      </w:numPr>
      <w:tabs>
        <w:tab w:val="clear" w:pos="2141"/>
        <w:tab w:val="num" w:pos="0"/>
      </w:tabs>
      <w:spacing w:before="240" w:after="120"/>
      <w:ind w:left="864"/>
      <w:outlineLvl w:val="3"/>
    </w:pPr>
    <w:rPr>
      <w:rFonts w:ascii="Arial" w:eastAsia="SimSun" w:hAnsi="Arial" w:cs="Tahoma"/>
      <w:b/>
      <w:bCs/>
      <w:i/>
      <w:iCs/>
    </w:rPr>
  </w:style>
  <w:style w:type="paragraph" w:styleId="Nadpis8">
    <w:name w:val="heading 8"/>
    <w:basedOn w:val="Normln"/>
    <w:next w:val="Normln"/>
    <w:link w:val="Nadpis8Char"/>
    <w:qFormat/>
    <w:rsid w:val="007E07CC"/>
    <w:pPr>
      <w:numPr>
        <w:ilvl w:val="7"/>
        <w:numId w:val="2"/>
      </w:numPr>
      <w:suppressAutoHyphens w:val="0"/>
      <w:spacing w:before="240" w:after="60"/>
      <w:jc w:val="both"/>
      <w:outlineLvl w:val="7"/>
    </w:pPr>
    <w:rPr>
      <w:i/>
      <w:i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7E07CC"/>
    <w:rPr>
      <w:rFonts w:ascii="Arial" w:eastAsia="SimSun" w:hAnsi="Arial" w:cs="Tahoma"/>
      <w:b/>
      <w:bCs/>
      <w:sz w:val="32"/>
      <w:szCs w:val="32"/>
      <w:lang w:eastAsia="ar-SA"/>
    </w:rPr>
  </w:style>
  <w:style w:type="character" w:customStyle="1" w:styleId="Nadpis2Char">
    <w:name w:val="Nadpis 2 Char"/>
    <w:basedOn w:val="Standardnpsmoodstavce"/>
    <w:link w:val="Nadpis2"/>
    <w:uiPriority w:val="9"/>
    <w:rsid w:val="007E07CC"/>
    <w:rPr>
      <w:rFonts w:ascii="Arial" w:eastAsia="SimSun" w:hAnsi="Arial" w:cs="Tahoma"/>
      <w:b/>
      <w:bCs/>
      <w:i/>
      <w:iCs/>
      <w:sz w:val="28"/>
      <w:szCs w:val="28"/>
      <w:lang w:eastAsia="ar-SA"/>
    </w:rPr>
  </w:style>
  <w:style w:type="character" w:customStyle="1" w:styleId="Nadpis3Char">
    <w:name w:val="Nadpis 3 Char"/>
    <w:basedOn w:val="Standardnpsmoodstavce"/>
    <w:link w:val="Nadpis3"/>
    <w:rsid w:val="007E07CC"/>
    <w:rPr>
      <w:rFonts w:ascii="Times New Roman" w:eastAsia="Times New Roman" w:hAnsi="Times New Roman" w:cs="Times New Roman"/>
      <w:b/>
      <w:bCs/>
      <w:sz w:val="28"/>
      <w:szCs w:val="26"/>
      <w:lang w:eastAsia="cs-CZ"/>
    </w:rPr>
  </w:style>
  <w:style w:type="character" w:customStyle="1" w:styleId="Nadpis4Char">
    <w:name w:val="Nadpis 4 Char"/>
    <w:basedOn w:val="Standardnpsmoodstavce"/>
    <w:link w:val="Nadpis4"/>
    <w:rsid w:val="007E07CC"/>
    <w:rPr>
      <w:rFonts w:ascii="Arial" w:eastAsia="SimSun" w:hAnsi="Arial" w:cs="Tahoma"/>
      <w:b/>
      <w:bCs/>
      <w:i/>
      <w:iCs/>
      <w:sz w:val="24"/>
      <w:szCs w:val="24"/>
      <w:lang w:eastAsia="ar-SA"/>
    </w:rPr>
  </w:style>
  <w:style w:type="character" w:customStyle="1" w:styleId="Nadpis8Char">
    <w:name w:val="Nadpis 8 Char"/>
    <w:basedOn w:val="Standardnpsmoodstavce"/>
    <w:link w:val="Nadpis8"/>
    <w:rsid w:val="007E07CC"/>
    <w:rPr>
      <w:rFonts w:ascii="Times New Roman" w:eastAsia="Times New Roman" w:hAnsi="Times New Roman" w:cs="Times New Roman"/>
      <w:i/>
      <w:iCs/>
      <w:sz w:val="24"/>
      <w:szCs w:val="24"/>
      <w:lang w:eastAsia="cs-CZ"/>
    </w:rPr>
  </w:style>
  <w:style w:type="character" w:styleId="slostrnky">
    <w:name w:val="page number"/>
    <w:rsid w:val="007E07CC"/>
    <w:rPr>
      <w:rFonts w:cs="Times New Roman"/>
    </w:rPr>
  </w:style>
  <w:style w:type="paragraph" w:styleId="Zhlav">
    <w:name w:val="header"/>
    <w:basedOn w:val="Normln"/>
    <w:link w:val="ZhlavChar"/>
    <w:rsid w:val="007E07CC"/>
    <w:pPr>
      <w:tabs>
        <w:tab w:val="center" w:pos="4536"/>
        <w:tab w:val="right" w:pos="9072"/>
      </w:tabs>
    </w:pPr>
  </w:style>
  <w:style w:type="character" w:customStyle="1" w:styleId="ZhlavChar">
    <w:name w:val="Záhlaví Char"/>
    <w:basedOn w:val="Standardnpsmoodstavce"/>
    <w:link w:val="Zhlav"/>
    <w:rsid w:val="007E07CC"/>
    <w:rPr>
      <w:rFonts w:ascii="Times New Roman" w:eastAsia="Times New Roman" w:hAnsi="Times New Roman" w:cs="Times New Roman"/>
      <w:sz w:val="24"/>
      <w:szCs w:val="24"/>
      <w:lang w:eastAsia="ar-SA"/>
    </w:rPr>
  </w:style>
  <w:style w:type="paragraph" w:styleId="Zpat">
    <w:name w:val="footer"/>
    <w:basedOn w:val="Normln"/>
    <w:link w:val="ZpatChar"/>
    <w:rsid w:val="007E07CC"/>
    <w:pPr>
      <w:tabs>
        <w:tab w:val="center" w:pos="4536"/>
        <w:tab w:val="right" w:pos="9072"/>
      </w:tabs>
    </w:pPr>
  </w:style>
  <w:style w:type="character" w:customStyle="1" w:styleId="ZpatChar">
    <w:name w:val="Zápatí Char"/>
    <w:basedOn w:val="Standardnpsmoodstavce"/>
    <w:link w:val="Zpat"/>
    <w:rsid w:val="007E07CC"/>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7E07CC"/>
    <w:pPr>
      <w:suppressAutoHyphens w:val="0"/>
      <w:ind w:left="708"/>
      <w:jc w:val="both"/>
    </w:pPr>
    <w:rPr>
      <w:lang w:eastAsia="cs-CZ"/>
    </w:rPr>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nhideWhenUsed/>
    <w:rsid w:val="007E07CC"/>
    <w:pPr>
      <w:suppressAutoHyphens w:val="0"/>
      <w:jc w:val="both"/>
    </w:pPr>
    <w:rPr>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rsid w:val="007E07CC"/>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iPriority w:val="99"/>
    <w:unhideWhenUsed/>
    <w:rsid w:val="007E07CC"/>
    <w:rPr>
      <w:vertAlign w:val="superscript"/>
    </w:rPr>
  </w:style>
  <w:style w:type="paragraph" w:customStyle="1" w:styleId="Default">
    <w:name w:val="Default"/>
    <w:rsid w:val="007E07C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itulek">
    <w:name w:val="caption"/>
    <w:basedOn w:val="Normln"/>
    <w:next w:val="Normln"/>
    <w:qFormat/>
    <w:rsid w:val="007E07CC"/>
    <w:pPr>
      <w:suppressAutoHyphens w:val="0"/>
    </w:pPr>
    <w:rPr>
      <w:b/>
      <w:sz w:val="28"/>
      <w:szCs w:val="20"/>
      <w:lang w:eastAsia="cs-CZ"/>
    </w:rPr>
  </w:style>
  <w:style w:type="paragraph" w:styleId="Zkladntext">
    <w:name w:val="Body Text"/>
    <w:basedOn w:val="Normln"/>
    <w:link w:val="ZkladntextChar"/>
    <w:uiPriority w:val="99"/>
    <w:semiHidden/>
    <w:unhideWhenUsed/>
    <w:rsid w:val="007E07CC"/>
    <w:pPr>
      <w:spacing w:after="120"/>
    </w:pPr>
  </w:style>
  <w:style w:type="character" w:customStyle="1" w:styleId="ZkladntextChar">
    <w:name w:val="Základní text Char"/>
    <w:basedOn w:val="Standardnpsmoodstavce"/>
    <w:link w:val="Zkladntext"/>
    <w:uiPriority w:val="99"/>
    <w:semiHidden/>
    <w:rsid w:val="007E07C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07CC"/>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Zkladntext"/>
    <w:link w:val="Nadpis1Char"/>
    <w:uiPriority w:val="9"/>
    <w:qFormat/>
    <w:rsid w:val="007E07CC"/>
    <w:pPr>
      <w:keepNext/>
      <w:numPr>
        <w:numId w:val="2"/>
      </w:numPr>
      <w:tabs>
        <w:tab w:val="clear" w:pos="432"/>
        <w:tab w:val="num" w:pos="0"/>
      </w:tabs>
      <w:spacing w:before="240" w:after="120"/>
      <w:outlineLvl w:val="0"/>
    </w:pPr>
    <w:rPr>
      <w:rFonts w:ascii="Arial" w:eastAsia="SimSun" w:hAnsi="Arial" w:cs="Tahoma"/>
      <w:b/>
      <w:bCs/>
      <w:sz w:val="32"/>
      <w:szCs w:val="32"/>
    </w:rPr>
  </w:style>
  <w:style w:type="paragraph" w:styleId="Nadpis2">
    <w:name w:val="heading 2"/>
    <w:basedOn w:val="Normln"/>
    <w:next w:val="Zkladntext"/>
    <w:link w:val="Nadpis2Char"/>
    <w:uiPriority w:val="9"/>
    <w:qFormat/>
    <w:rsid w:val="007E07CC"/>
    <w:pPr>
      <w:keepNext/>
      <w:numPr>
        <w:ilvl w:val="1"/>
        <w:numId w:val="2"/>
      </w:numPr>
      <w:tabs>
        <w:tab w:val="clear" w:pos="3269"/>
        <w:tab w:val="num" w:pos="0"/>
      </w:tabs>
      <w:spacing w:before="240" w:after="120"/>
      <w:ind w:left="576"/>
      <w:outlineLvl w:val="1"/>
    </w:pPr>
    <w:rPr>
      <w:rFonts w:ascii="Arial" w:eastAsia="SimSun" w:hAnsi="Arial" w:cs="Tahoma"/>
      <w:b/>
      <w:bCs/>
      <w:i/>
      <w:iCs/>
      <w:sz w:val="28"/>
      <w:szCs w:val="28"/>
    </w:rPr>
  </w:style>
  <w:style w:type="paragraph" w:styleId="Nadpis3">
    <w:name w:val="heading 3"/>
    <w:basedOn w:val="Normln"/>
    <w:next w:val="Normln"/>
    <w:link w:val="Nadpis3Char"/>
    <w:qFormat/>
    <w:rsid w:val="007E07CC"/>
    <w:pPr>
      <w:keepNext/>
      <w:numPr>
        <w:ilvl w:val="2"/>
        <w:numId w:val="2"/>
      </w:numPr>
      <w:suppressAutoHyphens w:val="0"/>
      <w:spacing w:before="240" w:after="60"/>
      <w:jc w:val="both"/>
      <w:outlineLvl w:val="2"/>
    </w:pPr>
    <w:rPr>
      <w:b/>
      <w:bCs/>
      <w:sz w:val="28"/>
      <w:szCs w:val="26"/>
      <w:lang w:eastAsia="cs-CZ"/>
    </w:rPr>
  </w:style>
  <w:style w:type="paragraph" w:styleId="Nadpis4">
    <w:name w:val="heading 4"/>
    <w:basedOn w:val="Normln"/>
    <w:next w:val="Zkladntext"/>
    <w:link w:val="Nadpis4Char"/>
    <w:qFormat/>
    <w:rsid w:val="007E07CC"/>
    <w:pPr>
      <w:keepNext/>
      <w:numPr>
        <w:ilvl w:val="3"/>
        <w:numId w:val="2"/>
      </w:numPr>
      <w:tabs>
        <w:tab w:val="clear" w:pos="2141"/>
        <w:tab w:val="num" w:pos="0"/>
      </w:tabs>
      <w:spacing w:before="240" w:after="120"/>
      <w:ind w:left="864"/>
      <w:outlineLvl w:val="3"/>
    </w:pPr>
    <w:rPr>
      <w:rFonts w:ascii="Arial" w:eastAsia="SimSun" w:hAnsi="Arial" w:cs="Tahoma"/>
      <w:b/>
      <w:bCs/>
      <w:i/>
      <w:iCs/>
    </w:rPr>
  </w:style>
  <w:style w:type="paragraph" w:styleId="Nadpis8">
    <w:name w:val="heading 8"/>
    <w:basedOn w:val="Normln"/>
    <w:next w:val="Normln"/>
    <w:link w:val="Nadpis8Char"/>
    <w:qFormat/>
    <w:rsid w:val="007E07CC"/>
    <w:pPr>
      <w:numPr>
        <w:ilvl w:val="7"/>
        <w:numId w:val="2"/>
      </w:numPr>
      <w:suppressAutoHyphens w:val="0"/>
      <w:spacing w:before="240" w:after="60"/>
      <w:jc w:val="both"/>
      <w:outlineLvl w:val="7"/>
    </w:pPr>
    <w:rPr>
      <w:i/>
      <w:i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7E07CC"/>
    <w:rPr>
      <w:rFonts w:ascii="Arial" w:eastAsia="SimSun" w:hAnsi="Arial" w:cs="Tahoma"/>
      <w:b/>
      <w:bCs/>
      <w:sz w:val="32"/>
      <w:szCs w:val="32"/>
      <w:lang w:eastAsia="ar-SA"/>
    </w:rPr>
  </w:style>
  <w:style w:type="character" w:customStyle="1" w:styleId="Nadpis2Char">
    <w:name w:val="Nadpis 2 Char"/>
    <w:basedOn w:val="Standardnpsmoodstavce"/>
    <w:link w:val="Nadpis2"/>
    <w:uiPriority w:val="9"/>
    <w:rsid w:val="007E07CC"/>
    <w:rPr>
      <w:rFonts w:ascii="Arial" w:eastAsia="SimSun" w:hAnsi="Arial" w:cs="Tahoma"/>
      <w:b/>
      <w:bCs/>
      <w:i/>
      <w:iCs/>
      <w:sz w:val="28"/>
      <w:szCs w:val="28"/>
      <w:lang w:eastAsia="ar-SA"/>
    </w:rPr>
  </w:style>
  <w:style w:type="character" w:customStyle="1" w:styleId="Nadpis3Char">
    <w:name w:val="Nadpis 3 Char"/>
    <w:basedOn w:val="Standardnpsmoodstavce"/>
    <w:link w:val="Nadpis3"/>
    <w:rsid w:val="007E07CC"/>
    <w:rPr>
      <w:rFonts w:ascii="Times New Roman" w:eastAsia="Times New Roman" w:hAnsi="Times New Roman" w:cs="Times New Roman"/>
      <w:b/>
      <w:bCs/>
      <w:sz w:val="28"/>
      <w:szCs w:val="26"/>
      <w:lang w:eastAsia="cs-CZ"/>
    </w:rPr>
  </w:style>
  <w:style w:type="character" w:customStyle="1" w:styleId="Nadpis4Char">
    <w:name w:val="Nadpis 4 Char"/>
    <w:basedOn w:val="Standardnpsmoodstavce"/>
    <w:link w:val="Nadpis4"/>
    <w:rsid w:val="007E07CC"/>
    <w:rPr>
      <w:rFonts w:ascii="Arial" w:eastAsia="SimSun" w:hAnsi="Arial" w:cs="Tahoma"/>
      <w:b/>
      <w:bCs/>
      <w:i/>
      <w:iCs/>
      <w:sz w:val="24"/>
      <w:szCs w:val="24"/>
      <w:lang w:eastAsia="ar-SA"/>
    </w:rPr>
  </w:style>
  <w:style w:type="character" w:customStyle="1" w:styleId="Nadpis8Char">
    <w:name w:val="Nadpis 8 Char"/>
    <w:basedOn w:val="Standardnpsmoodstavce"/>
    <w:link w:val="Nadpis8"/>
    <w:rsid w:val="007E07CC"/>
    <w:rPr>
      <w:rFonts w:ascii="Times New Roman" w:eastAsia="Times New Roman" w:hAnsi="Times New Roman" w:cs="Times New Roman"/>
      <w:i/>
      <w:iCs/>
      <w:sz w:val="24"/>
      <w:szCs w:val="24"/>
      <w:lang w:eastAsia="cs-CZ"/>
    </w:rPr>
  </w:style>
  <w:style w:type="character" w:styleId="slostrnky">
    <w:name w:val="page number"/>
    <w:rsid w:val="007E07CC"/>
    <w:rPr>
      <w:rFonts w:cs="Times New Roman"/>
    </w:rPr>
  </w:style>
  <w:style w:type="paragraph" w:styleId="Zhlav">
    <w:name w:val="header"/>
    <w:basedOn w:val="Normln"/>
    <w:link w:val="ZhlavChar"/>
    <w:rsid w:val="007E07CC"/>
    <w:pPr>
      <w:tabs>
        <w:tab w:val="center" w:pos="4536"/>
        <w:tab w:val="right" w:pos="9072"/>
      </w:tabs>
    </w:pPr>
  </w:style>
  <w:style w:type="character" w:customStyle="1" w:styleId="ZhlavChar">
    <w:name w:val="Záhlaví Char"/>
    <w:basedOn w:val="Standardnpsmoodstavce"/>
    <w:link w:val="Zhlav"/>
    <w:rsid w:val="007E07CC"/>
    <w:rPr>
      <w:rFonts w:ascii="Times New Roman" w:eastAsia="Times New Roman" w:hAnsi="Times New Roman" w:cs="Times New Roman"/>
      <w:sz w:val="24"/>
      <w:szCs w:val="24"/>
      <w:lang w:eastAsia="ar-SA"/>
    </w:rPr>
  </w:style>
  <w:style w:type="paragraph" w:styleId="Zpat">
    <w:name w:val="footer"/>
    <w:basedOn w:val="Normln"/>
    <w:link w:val="ZpatChar"/>
    <w:rsid w:val="007E07CC"/>
    <w:pPr>
      <w:tabs>
        <w:tab w:val="center" w:pos="4536"/>
        <w:tab w:val="right" w:pos="9072"/>
      </w:tabs>
    </w:pPr>
  </w:style>
  <w:style w:type="character" w:customStyle="1" w:styleId="ZpatChar">
    <w:name w:val="Zápatí Char"/>
    <w:basedOn w:val="Standardnpsmoodstavce"/>
    <w:link w:val="Zpat"/>
    <w:rsid w:val="007E07CC"/>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7E07CC"/>
    <w:pPr>
      <w:suppressAutoHyphens w:val="0"/>
      <w:ind w:left="708"/>
      <w:jc w:val="both"/>
    </w:pPr>
    <w:rPr>
      <w:lang w:eastAsia="cs-CZ"/>
    </w:rPr>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nhideWhenUsed/>
    <w:rsid w:val="007E07CC"/>
    <w:pPr>
      <w:suppressAutoHyphens w:val="0"/>
      <w:jc w:val="both"/>
    </w:pPr>
    <w:rPr>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rsid w:val="007E07CC"/>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iPriority w:val="99"/>
    <w:unhideWhenUsed/>
    <w:rsid w:val="007E07CC"/>
    <w:rPr>
      <w:vertAlign w:val="superscript"/>
    </w:rPr>
  </w:style>
  <w:style w:type="paragraph" w:customStyle="1" w:styleId="Default">
    <w:name w:val="Default"/>
    <w:rsid w:val="007E07C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itulek">
    <w:name w:val="caption"/>
    <w:basedOn w:val="Normln"/>
    <w:next w:val="Normln"/>
    <w:qFormat/>
    <w:rsid w:val="007E07CC"/>
    <w:pPr>
      <w:suppressAutoHyphens w:val="0"/>
    </w:pPr>
    <w:rPr>
      <w:b/>
      <w:sz w:val="28"/>
      <w:szCs w:val="20"/>
      <w:lang w:eastAsia="cs-CZ"/>
    </w:rPr>
  </w:style>
  <w:style w:type="paragraph" w:styleId="Zkladntext">
    <w:name w:val="Body Text"/>
    <w:basedOn w:val="Normln"/>
    <w:link w:val="ZkladntextChar"/>
    <w:uiPriority w:val="99"/>
    <w:semiHidden/>
    <w:unhideWhenUsed/>
    <w:rsid w:val="007E07CC"/>
    <w:pPr>
      <w:spacing w:after="120"/>
    </w:pPr>
  </w:style>
  <w:style w:type="character" w:customStyle="1" w:styleId="ZkladntextChar">
    <w:name w:val="Základní text Char"/>
    <w:basedOn w:val="Standardnpsmoodstavce"/>
    <w:link w:val="Zkladntext"/>
    <w:uiPriority w:val="99"/>
    <w:semiHidden/>
    <w:rsid w:val="007E07C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2883</Words>
  <Characters>17014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Russnák Ivan</dc:creator>
  <cp:keywords/>
  <dc:description/>
  <cp:lastModifiedBy>Hrubý Martin</cp:lastModifiedBy>
  <cp:revision>32</cp:revision>
  <dcterms:created xsi:type="dcterms:W3CDTF">2014-03-20T22:20:00Z</dcterms:created>
  <dcterms:modified xsi:type="dcterms:W3CDTF">2015-04-03T04:32:00Z</dcterms:modified>
</cp:coreProperties>
</file>