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D3" w:rsidRPr="00C71642" w:rsidRDefault="004570D3">
      <w:pPr>
        <w:pStyle w:val="Radadvodovzprva"/>
        <w:rPr>
          <w:rFonts w:cs="Arial"/>
        </w:rPr>
      </w:pPr>
      <w:r w:rsidRPr="00C71642">
        <w:rPr>
          <w:rFonts w:cs="Arial"/>
        </w:rPr>
        <w:t>Důvodová zpráva:</w:t>
      </w:r>
    </w:p>
    <w:p w:rsidR="006E23B5" w:rsidRDefault="006E23B5" w:rsidP="006E23B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E23B5">
        <w:rPr>
          <w:rFonts w:ascii="Arial" w:hAnsi="Arial" w:cs="Arial"/>
        </w:rPr>
        <w:t xml:space="preserve">a základě dopisu předsedy Regionální rady regionu soudržnosti Střední Morava </w:t>
      </w:r>
      <w:r w:rsidR="00B6047B">
        <w:rPr>
          <w:rFonts w:ascii="Arial" w:hAnsi="Arial" w:cs="Arial"/>
        </w:rPr>
        <w:t xml:space="preserve">Ing. Michala </w:t>
      </w:r>
      <w:proofErr w:type="spellStart"/>
      <w:r w:rsidR="00B6047B">
        <w:rPr>
          <w:rFonts w:ascii="Arial" w:hAnsi="Arial" w:cs="Arial"/>
        </w:rPr>
        <w:t>Symerského</w:t>
      </w:r>
      <w:proofErr w:type="spellEnd"/>
      <w:r w:rsidR="00B6047B">
        <w:rPr>
          <w:rFonts w:ascii="Arial" w:hAnsi="Arial" w:cs="Arial"/>
        </w:rPr>
        <w:t xml:space="preserve"> ze dne 16. </w:t>
      </w:r>
      <w:r w:rsidRPr="006E23B5">
        <w:rPr>
          <w:rFonts w:ascii="Arial" w:hAnsi="Arial" w:cs="Arial"/>
        </w:rPr>
        <w:t>7.</w:t>
      </w:r>
      <w:r w:rsidR="00B6047B">
        <w:rPr>
          <w:rFonts w:ascii="Arial" w:hAnsi="Arial" w:cs="Arial"/>
        </w:rPr>
        <w:t> </w:t>
      </w:r>
      <w:r w:rsidRPr="006E23B5">
        <w:rPr>
          <w:rFonts w:ascii="Arial" w:hAnsi="Arial" w:cs="Arial"/>
        </w:rPr>
        <w:t xml:space="preserve">2019 </w:t>
      </w:r>
      <w:r>
        <w:rPr>
          <w:rFonts w:ascii="Arial" w:hAnsi="Arial" w:cs="Arial"/>
        </w:rPr>
        <w:t xml:space="preserve">jsou </w:t>
      </w:r>
      <w:r w:rsidR="00467F6C">
        <w:rPr>
          <w:rFonts w:ascii="Arial" w:hAnsi="Arial" w:cs="Arial"/>
        </w:rPr>
        <w:t>Zastupitelstvu</w:t>
      </w:r>
      <w:r>
        <w:rPr>
          <w:rFonts w:ascii="Arial" w:hAnsi="Arial" w:cs="Arial"/>
        </w:rPr>
        <w:t xml:space="preserve"> Olomouckého kraje předloženy</w:t>
      </w:r>
      <w:r w:rsidRPr="006E23B5">
        <w:rPr>
          <w:rFonts w:ascii="Arial" w:hAnsi="Arial" w:cs="Arial"/>
        </w:rPr>
        <w:t xml:space="preserve"> informace ve věci financování závazků Regionální rady, tedy řešení tzv. „sporných případů“</w:t>
      </w:r>
      <w:r>
        <w:rPr>
          <w:rFonts w:ascii="Arial" w:hAnsi="Arial" w:cs="Arial"/>
        </w:rPr>
        <w:t>.</w:t>
      </w:r>
    </w:p>
    <w:p w:rsidR="00A0164B" w:rsidRDefault="00A0164B" w:rsidP="006E23B5">
      <w:pPr>
        <w:pStyle w:val="Dopisosloven"/>
        <w:spacing w:before="0"/>
      </w:pPr>
      <w:r>
        <w:t>Jako sporné jsou označeny ty případy, kde již byl příjemcem vyvolán spor z veřejnoprávní smlouvy anebo podáno odvolání proti rozhodnutí správce daně. Dle odhadu finančního dopadu z nyní známých sporných případů pro Olomoucký kraj vyplývá závazek ve výši 6 610 698,00 Kč, a to při maximálním možném dopadu. Závazek pro Zlínský kraj byl vyčíslen na 18 423 961,00 Kč.</w:t>
      </w:r>
      <w:r w:rsidRPr="00A0164B">
        <w:t xml:space="preserve"> </w:t>
      </w:r>
      <w:r>
        <w:t>V rámci ROP Střední Morava byly v období 2007-2015 podpořeny rozvojové projekty na území Olomouckého kraje ve výši cca 9,1 mld. Kč.</w:t>
      </w:r>
    </w:p>
    <w:p w:rsidR="004C0B68" w:rsidRDefault="006E23B5" w:rsidP="006E23B5">
      <w:pPr>
        <w:pStyle w:val="Dopisosloven"/>
        <w:spacing w:before="0"/>
      </w:pPr>
      <w:r>
        <w:t>Navržené zajištění spolufinancování sporných př</w:t>
      </w:r>
      <w:r w:rsidR="004C0B68">
        <w:t>ípadů Olomouckým krajem vychází:</w:t>
      </w:r>
    </w:p>
    <w:p w:rsidR="006E23B5" w:rsidRDefault="004C0B68" w:rsidP="00674235">
      <w:pPr>
        <w:pStyle w:val="Dopisosloven"/>
        <w:numPr>
          <w:ilvl w:val="0"/>
          <w:numId w:val="3"/>
        </w:numPr>
        <w:spacing w:before="0"/>
      </w:pPr>
      <w:r>
        <w:t>ze společného jednání ministryně pro místní rozvoj, ministryně financí, hejtmanů, předsedů regionálních rad a ředitelů úřadů regionálních rad na MMR dne 3. 6. 2019, kde byl společně projednán návrh postupu,</w:t>
      </w:r>
    </w:p>
    <w:p w:rsidR="004C0B68" w:rsidRDefault="004C0B68" w:rsidP="00674235">
      <w:pPr>
        <w:pStyle w:val="Dopisosloven"/>
        <w:numPr>
          <w:ilvl w:val="0"/>
          <w:numId w:val="3"/>
        </w:numPr>
        <w:spacing w:before="0"/>
      </w:pPr>
      <w:r>
        <w:t>z projednání v Asociaci krajů České republiky, která dne 11.</w:t>
      </w:r>
      <w:r w:rsidR="00B6047B">
        <w:t> 6. </w:t>
      </w:r>
      <w:r>
        <w:t>2019 přijala usnesení, v němž souhlasila, aby zajištění financování sporných případů (úroky z prodlení, náklady řízení apod.) bylo zajištěno 50 % ze zdrojů státního rozpočtu a 50 % ze zdrojů krajů,</w:t>
      </w:r>
    </w:p>
    <w:p w:rsidR="004C0B68" w:rsidRDefault="004C0B68" w:rsidP="00674235">
      <w:pPr>
        <w:pStyle w:val="Dopisosloven"/>
        <w:numPr>
          <w:ilvl w:val="0"/>
          <w:numId w:val="3"/>
        </w:numPr>
        <w:spacing w:before="0"/>
      </w:pPr>
      <w:r>
        <w:t>z projednání ve vládě ČR, která dne 1.</w:t>
      </w:r>
      <w:r w:rsidR="00B6047B">
        <w:t> </w:t>
      </w:r>
      <w:r>
        <w:t>7.</w:t>
      </w:r>
      <w:r w:rsidR="00B6047B">
        <w:t> </w:t>
      </w:r>
      <w:r>
        <w:t>2019 přijala usnesení, v němž schválila použití finančních prostředků státního rozpočtu ke krytí závazků a dalších výdajů regionálních rad regionů soudržnosti, a to do maximálně 50 % výše tohoto závazku.</w:t>
      </w:r>
    </w:p>
    <w:p w:rsidR="004C0B68" w:rsidRDefault="004C0B68" w:rsidP="004C0B68">
      <w:pPr>
        <w:pStyle w:val="Dopisosloven"/>
        <w:spacing w:before="0"/>
      </w:pPr>
      <w:r>
        <w:t>Podmínkou financování 50 % ze státního rozpočtu je, aby Regionální rada měla uzavřenu smlouvu s každým krajem na dofinancování zbývajících 50 %.</w:t>
      </w:r>
    </w:p>
    <w:p w:rsidR="006E23B5" w:rsidRDefault="006E23B5" w:rsidP="006E23B5">
      <w:pPr>
        <w:pStyle w:val="Dopisosloven"/>
        <w:spacing w:before="0"/>
      </w:pPr>
      <w:r>
        <w:t>Dle předloženého postupu bude spolufinancování jednotlivými kraji vázáno na projekty podle místa realizace (</w:t>
      </w:r>
      <w:proofErr w:type="gramStart"/>
      <w:r>
        <w:t>tzn.</w:t>
      </w:r>
      <w:proofErr w:type="gramEnd"/>
      <w:r>
        <w:t xml:space="preserve"> projekt s místem realizace v Olomouckém kraji by </w:t>
      </w:r>
      <w:proofErr w:type="gramStart"/>
      <w:r>
        <w:t>hradil</w:t>
      </w:r>
      <w:proofErr w:type="gramEnd"/>
      <w:r>
        <w:t xml:space="preserve"> pouze Olomoucký kraj) a </w:t>
      </w:r>
      <w:r w:rsidRPr="00876DE4">
        <w:t>projekty a závazky Regionální rady by byly jednotlivými kraji hrazeny v poměru 50 % na 50 %.</w:t>
      </w:r>
    </w:p>
    <w:p w:rsidR="006E23B5" w:rsidRDefault="006E23B5" w:rsidP="006E23B5">
      <w:pPr>
        <w:pStyle w:val="Dopisosloven"/>
        <w:spacing w:before="0"/>
      </w:pPr>
      <w:r>
        <w:t xml:space="preserve">Součástí </w:t>
      </w:r>
      <w:r w:rsidR="00D521AF">
        <w:t>navrženého postupu</w:t>
      </w:r>
      <w:r w:rsidR="00CF29BD">
        <w:t xml:space="preserve"> je také návrh S</w:t>
      </w:r>
      <w:r>
        <w:t>mlouvy o poskytnutí dotace z rozpočtu Olomouckého kraje</w:t>
      </w:r>
      <w:r w:rsidR="00D521AF">
        <w:t xml:space="preserve"> (viz příloha č. 1 důvodové zprávy)</w:t>
      </w:r>
      <w:r>
        <w:t>, přičemž v případě uzavření této smlouvy by jednotlivé platby Olomouckého kraje byly prováděny na základě dílčích žádostí Regionální rady. Dle podmínek uvedených v předmětné smlouvě bude Regionální rada mít povinnost čtvrtletně provádět aktualizaci vyčíslení finančn</w:t>
      </w:r>
      <w:r w:rsidR="0063234B">
        <w:t>ího dopadu ze sporných případů.</w:t>
      </w:r>
    </w:p>
    <w:p w:rsidR="005969C4" w:rsidRDefault="005969C4" w:rsidP="006E23B5">
      <w:pPr>
        <w:spacing w:before="24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Navrhovaný postup neodpovídá standardnímu postupu administrace žádostí o individuální dotaci, a to zejména tím, že nebude použita vzorová smlouva či nebudou jednotlivé dílčí žádosti obdržené do konce tohoto roku a v průběhu let 2020 a 2021 projednávány na poradách vedení. Regionální rada je subjekt založený Olomouckým </w:t>
      </w:r>
      <w:r>
        <w:rPr>
          <w:rFonts w:ascii="Arial" w:hAnsi="Arial"/>
          <w:szCs w:val="20"/>
        </w:rPr>
        <w:lastRenderedPageBreak/>
        <w:t xml:space="preserve">a Zlínským krajem.  Dále je důvodem specifický účel dotace, který nebude použit na provozní zajištění činnosti Regionální rady, ale na zajištění financování závazků a dalších výdajů Regionální rady vzniklých v souvislosti s řízením o sporných nárocích. Dalším  důvodem je to, že dotace nebude Regionální radě vyplacena jednorázově, ale bude postupně čerpána </w:t>
      </w:r>
      <w:r w:rsidR="00672AE7">
        <w:rPr>
          <w:rFonts w:ascii="Arial" w:hAnsi="Arial"/>
          <w:szCs w:val="20"/>
        </w:rPr>
        <w:t>na základě</w:t>
      </w:r>
      <w:r>
        <w:rPr>
          <w:rFonts w:ascii="Arial" w:hAnsi="Arial"/>
          <w:szCs w:val="20"/>
        </w:rPr>
        <w:t xml:space="preserve"> dílčích žádostí až </w:t>
      </w:r>
      <w:r w:rsidR="00672AE7">
        <w:rPr>
          <w:rFonts w:ascii="Arial" w:hAnsi="Arial"/>
          <w:szCs w:val="20"/>
        </w:rPr>
        <w:t>do konce r.</w:t>
      </w:r>
      <w:r>
        <w:rPr>
          <w:rFonts w:ascii="Arial" w:hAnsi="Arial"/>
          <w:szCs w:val="20"/>
        </w:rPr>
        <w:t xml:space="preserve"> 2021.</w:t>
      </w:r>
    </w:p>
    <w:p w:rsidR="00CE2E04" w:rsidRDefault="00CE2E04" w:rsidP="006E23B5">
      <w:pPr>
        <w:spacing w:before="24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Finanční prostředky na r. 2020 a 2021 budou zajištěny </w:t>
      </w:r>
      <w:r w:rsidR="001A638D">
        <w:rPr>
          <w:rFonts w:ascii="Arial" w:hAnsi="Arial"/>
          <w:szCs w:val="20"/>
        </w:rPr>
        <w:t xml:space="preserve">v rámci </w:t>
      </w:r>
      <w:r w:rsidR="00B6047B">
        <w:rPr>
          <w:rFonts w:ascii="Arial" w:hAnsi="Arial"/>
          <w:szCs w:val="20"/>
        </w:rPr>
        <w:t xml:space="preserve">návrhu </w:t>
      </w:r>
      <w:r w:rsidR="001A638D">
        <w:rPr>
          <w:rFonts w:ascii="Arial" w:hAnsi="Arial"/>
          <w:szCs w:val="20"/>
        </w:rPr>
        <w:t>rozpočtu</w:t>
      </w:r>
      <w:r w:rsidR="00F86245">
        <w:rPr>
          <w:rFonts w:ascii="Arial" w:hAnsi="Arial"/>
          <w:szCs w:val="20"/>
        </w:rPr>
        <w:t>.</w:t>
      </w:r>
      <w:r>
        <w:rPr>
          <w:rFonts w:ascii="Arial" w:hAnsi="Arial"/>
          <w:szCs w:val="20"/>
        </w:rPr>
        <w:t xml:space="preserve"> </w:t>
      </w:r>
      <w:r w:rsidR="00B6047B">
        <w:rPr>
          <w:rFonts w:ascii="Arial" w:hAnsi="Arial"/>
          <w:szCs w:val="20"/>
        </w:rPr>
        <w:t>Případně</w:t>
      </w:r>
      <w:r w:rsidR="00F86245">
        <w:rPr>
          <w:rFonts w:ascii="Arial" w:hAnsi="Arial"/>
          <w:szCs w:val="20"/>
        </w:rPr>
        <w:t xml:space="preserve"> žádné finanční prostředky</w:t>
      </w:r>
      <w:r w:rsidR="00B6047B">
        <w:rPr>
          <w:rFonts w:ascii="Arial" w:hAnsi="Arial"/>
          <w:szCs w:val="20"/>
        </w:rPr>
        <w:t xml:space="preserve"> v roce 2019 budou pokryty z rezervy v</w:t>
      </w:r>
      <w:r w:rsidR="00F178AF">
        <w:rPr>
          <w:rFonts w:ascii="Arial" w:hAnsi="Arial"/>
          <w:szCs w:val="20"/>
        </w:rPr>
        <w:t> </w:t>
      </w:r>
      <w:r w:rsidR="00B6047B">
        <w:rPr>
          <w:rFonts w:ascii="Arial" w:hAnsi="Arial"/>
          <w:szCs w:val="20"/>
        </w:rPr>
        <w:t>rozpočtu</w:t>
      </w:r>
      <w:r w:rsidR="00F178AF">
        <w:rPr>
          <w:rFonts w:ascii="Arial" w:hAnsi="Arial"/>
          <w:szCs w:val="20"/>
        </w:rPr>
        <w:t>.</w:t>
      </w:r>
      <w:r w:rsidR="001A638D">
        <w:rPr>
          <w:rFonts w:ascii="Arial" w:hAnsi="Arial"/>
          <w:szCs w:val="20"/>
        </w:rPr>
        <w:t xml:space="preserve"> </w:t>
      </w:r>
      <w:bookmarkStart w:id="0" w:name="_GoBack"/>
      <w:bookmarkEnd w:id="0"/>
      <w:r w:rsidR="001A638D">
        <w:rPr>
          <w:rFonts w:ascii="Arial" w:hAnsi="Arial"/>
          <w:szCs w:val="20"/>
        </w:rPr>
        <w:t>Výše požadovaných plateb v jednotlivých letech se budou odvíjet od rozhodování odvolacích či soudních orgánů, a proto je nelze předem odhadnout.</w:t>
      </w:r>
    </w:p>
    <w:p w:rsidR="00D521AF" w:rsidRDefault="00467F6C" w:rsidP="00A0164B">
      <w:pPr>
        <w:pStyle w:val="Zkladntextodsazen"/>
        <w:spacing w:before="240" w:after="120"/>
        <w:ind w:left="0" w:firstLine="0"/>
        <w:jc w:val="both"/>
        <w:rPr>
          <w:b/>
        </w:rPr>
      </w:pPr>
      <w:r w:rsidRPr="00467F6C">
        <w:rPr>
          <w:b/>
          <w:sz w:val="24"/>
        </w:rPr>
        <w:t>Rada Olomouckého kraje doporučuje svým usnesením č. </w:t>
      </w:r>
      <w:r w:rsidR="00B6047B" w:rsidRPr="00B6047B">
        <w:rPr>
          <w:b/>
          <w:sz w:val="24"/>
        </w:rPr>
        <w:t>UR/71/35/2019</w:t>
      </w:r>
      <w:r w:rsidRPr="00467F6C">
        <w:rPr>
          <w:b/>
          <w:sz w:val="24"/>
        </w:rPr>
        <w:t xml:space="preserve"> ze dne </w:t>
      </w:r>
      <w:r>
        <w:rPr>
          <w:b/>
          <w:sz w:val="24"/>
        </w:rPr>
        <w:t>2. 9</w:t>
      </w:r>
      <w:r w:rsidRPr="00467F6C">
        <w:rPr>
          <w:b/>
          <w:sz w:val="24"/>
        </w:rPr>
        <w:t>. 201</w:t>
      </w:r>
      <w:r>
        <w:rPr>
          <w:b/>
          <w:sz w:val="24"/>
        </w:rPr>
        <w:t>9</w:t>
      </w:r>
      <w:r w:rsidRPr="00467F6C">
        <w:rPr>
          <w:b/>
          <w:sz w:val="24"/>
        </w:rPr>
        <w:t xml:space="preserve"> Zastupitelstvu Olomouckého kraje</w:t>
      </w:r>
      <w:r w:rsidR="00D521AF" w:rsidRPr="0015586A">
        <w:rPr>
          <w:b/>
          <w:sz w:val="24"/>
        </w:rPr>
        <w:t>:</w:t>
      </w:r>
    </w:p>
    <w:p w:rsidR="00D521AF" w:rsidRDefault="00D521AF" w:rsidP="00674235">
      <w:pPr>
        <w:pStyle w:val="Zkladntextodsazen"/>
        <w:numPr>
          <w:ilvl w:val="0"/>
          <w:numId w:val="2"/>
        </w:numPr>
        <w:spacing w:after="120"/>
        <w:ind w:left="284" w:hanging="284"/>
        <w:jc w:val="both"/>
        <w:rPr>
          <w:b/>
          <w:sz w:val="24"/>
        </w:rPr>
      </w:pPr>
      <w:r w:rsidRPr="008D4A8C">
        <w:rPr>
          <w:b/>
          <w:sz w:val="24"/>
        </w:rPr>
        <w:t>s</w:t>
      </w:r>
      <w:r w:rsidR="00467F6C">
        <w:rPr>
          <w:b/>
          <w:sz w:val="24"/>
        </w:rPr>
        <w:t>chvál</w:t>
      </w:r>
      <w:r w:rsidRPr="008D4A8C">
        <w:rPr>
          <w:b/>
          <w:sz w:val="24"/>
        </w:rPr>
        <w:t xml:space="preserve">it </w:t>
      </w:r>
      <w:r w:rsidRPr="00D926C2">
        <w:rPr>
          <w:b/>
          <w:sz w:val="24"/>
        </w:rPr>
        <w:t xml:space="preserve">navržený postup při </w:t>
      </w:r>
      <w:r>
        <w:rPr>
          <w:b/>
          <w:sz w:val="24"/>
        </w:rPr>
        <w:t>zajištění f</w:t>
      </w:r>
      <w:r w:rsidRPr="00D521AF">
        <w:rPr>
          <w:b/>
          <w:sz w:val="24"/>
        </w:rPr>
        <w:t>inancování závazků Regionální rady regionu soudržnosti Střední Morava</w:t>
      </w:r>
      <w:r w:rsidR="009B33FC">
        <w:rPr>
          <w:b/>
          <w:sz w:val="24"/>
        </w:rPr>
        <w:t>,</w:t>
      </w:r>
    </w:p>
    <w:p w:rsidR="00467F6C" w:rsidRDefault="00467F6C" w:rsidP="00674235">
      <w:pPr>
        <w:pStyle w:val="Zkladntextodsazen"/>
        <w:numPr>
          <w:ilvl w:val="0"/>
          <w:numId w:val="2"/>
        </w:numPr>
        <w:spacing w:after="120"/>
        <w:ind w:left="284" w:hanging="284"/>
        <w:jc w:val="both"/>
        <w:rPr>
          <w:b/>
          <w:sz w:val="24"/>
        </w:rPr>
      </w:pPr>
      <w:r>
        <w:rPr>
          <w:b/>
          <w:sz w:val="24"/>
        </w:rPr>
        <w:t>schválit uzavření smlouvy o poskytnutí dotace z rozpočtu Olomouckého kraje Regionální radě regionu soudržnosti Střední Morava,</w:t>
      </w:r>
    </w:p>
    <w:p w:rsidR="00467F6C" w:rsidRDefault="00467F6C" w:rsidP="00674235">
      <w:pPr>
        <w:pStyle w:val="Zkladntextodsazen"/>
        <w:numPr>
          <w:ilvl w:val="0"/>
          <w:numId w:val="2"/>
        </w:numPr>
        <w:spacing w:after="120"/>
        <w:ind w:left="284" w:hanging="284"/>
        <w:jc w:val="both"/>
        <w:rPr>
          <w:b/>
          <w:sz w:val="24"/>
        </w:rPr>
      </w:pPr>
      <w:r>
        <w:rPr>
          <w:b/>
          <w:sz w:val="24"/>
        </w:rPr>
        <w:t>uložit hejtmanovi Olomouckého kraje Ladislavu Oklešťkovi podepsat smlouvu o poskytnutí dotace z rozpočtu Olomouckého kraje Regionální radě regionu soudržnosti Střední Morava</w:t>
      </w:r>
      <w:r w:rsidR="00166A66">
        <w:rPr>
          <w:b/>
          <w:sz w:val="24"/>
        </w:rPr>
        <w:t>.</w:t>
      </w:r>
    </w:p>
    <w:p w:rsidR="004570D3" w:rsidRDefault="00F86245">
      <w:pPr>
        <w:pStyle w:val="Radaplohy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4570D3" w:rsidRPr="00C71642">
        <w:rPr>
          <w:rFonts w:cs="Arial"/>
          <w:szCs w:val="24"/>
        </w:rPr>
        <w:t>řílohy: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7505"/>
      </w:tblGrid>
      <w:tr w:rsidR="008F191C" w:rsidTr="00C27753">
        <w:trPr>
          <w:trHeight w:val="444"/>
        </w:trPr>
        <w:tc>
          <w:tcPr>
            <w:tcW w:w="1564" w:type="dxa"/>
          </w:tcPr>
          <w:p w:rsidR="008F191C" w:rsidRDefault="008F191C" w:rsidP="008F191C">
            <w:pPr>
              <w:pStyle w:val="Radaplohy"/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u w:val="none"/>
              </w:rPr>
              <w:t>Příloha č. 1</w:t>
            </w:r>
          </w:p>
        </w:tc>
        <w:tc>
          <w:tcPr>
            <w:tcW w:w="7505" w:type="dxa"/>
          </w:tcPr>
          <w:p w:rsidR="008F191C" w:rsidRDefault="00D521AF" w:rsidP="008E4BA8">
            <w:pPr>
              <w:pStyle w:val="Radaplohy"/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u w:val="none"/>
              </w:rPr>
              <w:t>Návrh smlouvy o poskytnutí dotace z rozpočtu Olomouckého kraje</w:t>
            </w:r>
          </w:p>
        </w:tc>
      </w:tr>
      <w:tr w:rsidR="008F191C" w:rsidTr="00C27753">
        <w:trPr>
          <w:trHeight w:val="653"/>
        </w:trPr>
        <w:tc>
          <w:tcPr>
            <w:tcW w:w="1564" w:type="dxa"/>
          </w:tcPr>
          <w:p w:rsidR="008F191C" w:rsidRDefault="008F191C" w:rsidP="008F191C">
            <w:pPr>
              <w:pStyle w:val="Radaplohy"/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7505" w:type="dxa"/>
          </w:tcPr>
          <w:p w:rsidR="008F191C" w:rsidRDefault="008F191C" w:rsidP="000A39D8">
            <w:pPr>
              <w:pStyle w:val="Radaplohy"/>
              <w:spacing w:before="0" w:after="0"/>
              <w:rPr>
                <w:rFonts w:cs="Arial"/>
                <w:szCs w:val="24"/>
              </w:rPr>
            </w:pPr>
          </w:p>
        </w:tc>
      </w:tr>
    </w:tbl>
    <w:p w:rsidR="0073539F" w:rsidRDefault="0073539F" w:rsidP="00C27753">
      <w:pPr>
        <w:tabs>
          <w:tab w:val="left" w:pos="1335"/>
          <w:tab w:val="right" w:pos="9070"/>
        </w:tabs>
        <w:rPr>
          <w:rFonts w:ascii="Arial" w:hAnsi="Arial" w:cs="Arial"/>
        </w:rPr>
      </w:pPr>
    </w:p>
    <w:sectPr w:rsidR="0073539F" w:rsidSect="008F191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0D" w:rsidRDefault="00D62A0D">
      <w:r>
        <w:separator/>
      </w:r>
    </w:p>
  </w:endnote>
  <w:endnote w:type="continuationSeparator" w:id="0">
    <w:p w:rsidR="00D62A0D" w:rsidRDefault="00D6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53" w:rsidRDefault="00C27753" w:rsidP="00C27753"/>
  <w:p w:rsidR="00C27753" w:rsidRPr="0073539F" w:rsidRDefault="00166A66" w:rsidP="00C27753">
    <w:pPr>
      <w:pStyle w:val="Zpat"/>
      <w:pBdr>
        <w:top w:val="single" w:sz="4" w:space="1" w:color="auto"/>
      </w:pBdr>
      <w:tabs>
        <w:tab w:val="clear" w:pos="9072"/>
        <w:tab w:val="right" w:pos="9498"/>
      </w:tabs>
      <w:ind w:right="-428"/>
      <w:rPr>
        <w:rStyle w:val="slostrnky"/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Zastupitelstvo</w:t>
    </w:r>
    <w:r w:rsidR="006E23B5">
      <w:rPr>
        <w:rFonts w:ascii="Arial" w:hAnsi="Arial" w:cs="Arial"/>
        <w:i/>
        <w:iCs/>
        <w:sz w:val="20"/>
      </w:rPr>
      <w:t xml:space="preserve"> Olomouckého kraje 2</w:t>
    </w:r>
    <w:r>
      <w:rPr>
        <w:rFonts w:ascii="Arial" w:hAnsi="Arial" w:cs="Arial"/>
        <w:i/>
        <w:iCs/>
        <w:sz w:val="20"/>
      </w:rPr>
      <w:t>3</w:t>
    </w:r>
    <w:r w:rsidR="00C27753">
      <w:rPr>
        <w:rFonts w:ascii="Arial" w:hAnsi="Arial" w:cs="Arial"/>
        <w:i/>
        <w:iCs/>
        <w:sz w:val="20"/>
      </w:rPr>
      <w:t xml:space="preserve">. </w:t>
    </w:r>
    <w:r w:rsidR="006E23B5">
      <w:rPr>
        <w:rFonts w:ascii="Arial" w:hAnsi="Arial" w:cs="Arial"/>
        <w:i/>
        <w:iCs/>
        <w:sz w:val="20"/>
      </w:rPr>
      <w:t>9</w:t>
    </w:r>
    <w:r w:rsidR="00C27753">
      <w:rPr>
        <w:rFonts w:ascii="Arial" w:hAnsi="Arial" w:cs="Arial"/>
        <w:i/>
        <w:iCs/>
        <w:sz w:val="20"/>
      </w:rPr>
      <w:t>. 2019</w:t>
    </w:r>
    <w:r w:rsidR="00C27753" w:rsidRPr="0073539F">
      <w:rPr>
        <w:rFonts w:ascii="Arial" w:hAnsi="Arial" w:cs="Arial"/>
        <w:i/>
        <w:iCs/>
        <w:sz w:val="20"/>
      </w:rPr>
      <w:tab/>
    </w:r>
    <w:r w:rsidR="00C27753" w:rsidRPr="0073539F">
      <w:rPr>
        <w:rFonts w:ascii="Arial" w:hAnsi="Arial" w:cs="Arial"/>
        <w:i/>
        <w:iCs/>
        <w:sz w:val="20"/>
      </w:rPr>
      <w:tab/>
      <w:t xml:space="preserve">Strana </w:t>
    </w:r>
    <w:r w:rsidR="00C27753" w:rsidRPr="0073539F">
      <w:rPr>
        <w:rStyle w:val="slostrnky"/>
        <w:rFonts w:ascii="Arial" w:hAnsi="Arial" w:cs="Arial"/>
        <w:i/>
        <w:iCs/>
        <w:sz w:val="20"/>
      </w:rPr>
      <w:fldChar w:fldCharType="begin"/>
    </w:r>
    <w:r w:rsidR="00C27753" w:rsidRPr="0073539F">
      <w:rPr>
        <w:rStyle w:val="slostrnky"/>
        <w:rFonts w:ascii="Arial" w:hAnsi="Arial" w:cs="Arial"/>
        <w:i/>
        <w:iCs/>
        <w:sz w:val="20"/>
      </w:rPr>
      <w:instrText xml:space="preserve"> PAGE </w:instrText>
    </w:r>
    <w:r w:rsidR="00C27753" w:rsidRPr="0073539F">
      <w:rPr>
        <w:rStyle w:val="slostrnky"/>
        <w:rFonts w:ascii="Arial" w:hAnsi="Arial" w:cs="Arial"/>
        <w:i/>
        <w:iCs/>
        <w:sz w:val="20"/>
      </w:rPr>
      <w:fldChar w:fldCharType="separate"/>
    </w:r>
    <w:r w:rsidR="00F178AF">
      <w:rPr>
        <w:rStyle w:val="slostrnky"/>
        <w:rFonts w:ascii="Arial" w:hAnsi="Arial" w:cs="Arial"/>
        <w:i/>
        <w:iCs/>
        <w:noProof/>
        <w:sz w:val="20"/>
      </w:rPr>
      <w:t>2</w:t>
    </w:r>
    <w:r w:rsidR="00C27753" w:rsidRPr="0073539F">
      <w:rPr>
        <w:rStyle w:val="slostrnky"/>
        <w:rFonts w:ascii="Arial" w:hAnsi="Arial" w:cs="Arial"/>
        <w:i/>
        <w:iCs/>
        <w:sz w:val="20"/>
      </w:rPr>
      <w:fldChar w:fldCharType="end"/>
    </w:r>
    <w:r w:rsidR="00C27753" w:rsidRPr="0073539F">
      <w:rPr>
        <w:rStyle w:val="slostrnky"/>
        <w:rFonts w:ascii="Arial" w:hAnsi="Arial" w:cs="Arial"/>
        <w:i/>
        <w:iCs/>
        <w:sz w:val="20"/>
      </w:rPr>
      <w:t xml:space="preserve"> (celkem </w:t>
    </w:r>
    <w:r w:rsidR="00C27753" w:rsidRPr="0073539F">
      <w:rPr>
        <w:rStyle w:val="slostrnky"/>
        <w:rFonts w:ascii="Arial" w:hAnsi="Arial" w:cs="Arial"/>
        <w:i/>
        <w:iCs/>
        <w:sz w:val="20"/>
      </w:rPr>
      <w:fldChar w:fldCharType="begin"/>
    </w:r>
    <w:r w:rsidR="00C27753" w:rsidRPr="0073539F">
      <w:rPr>
        <w:rStyle w:val="slostrnky"/>
        <w:rFonts w:ascii="Arial" w:hAnsi="Arial" w:cs="Arial"/>
        <w:i/>
        <w:iCs/>
        <w:sz w:val="20"/>
      </w:rPr>
      <w:instrText xml:space="preserve"> NUMPAGES </w:instrText>
    </w:r>
    <w:r w:rsidR="00C27753" w:rsidRPr="0073539F">
      <w:rPr>
        <w:rStyle w:val="slostrnky"/>
        <w:rFonts w:ascii="Arial" w:hAnsi="Arial" w:cs="Arial"/>
        <w:i/>
        <w:iCs/>
        <w:sz w:val="20"/>
      </w:rPr>
      <w:fldChar w:fldCharType="separate"/>
    </w:r>
    <w:r w:rsidR="00F178AF">
      <w:rPr>
        <w:rStyle w:val="slostrnky"/>
        <w:rFonts w:ascii="Arial" w:hAnsi="Arial" w:cs="Arial"/>
        <w:i/>
        <w:iCs/>
        <w:noProof/>
        <w:sz w:val="20"/>
      </w:rPr>
      <w:t>2</w:t>
    </w:r>
    <w:r w:rsidR="00C27753" w:rsidRPr="0073539F">
      <w:rPr>
        <w:rStyle w:val="slostrnky"/>
        <w:rFonts w:ascii="Arial" w:hAnsi="Arial" w:cs="Arial"/>
        <w:i/>
        <w:iCs/>
        <w:sz w:val="20"/>
      </w:rPr>
      <w:fldChar w:fldCharType="end"/>
    </w:r>
    <w:r w:rsidR="00C27753" w:rsidRPr="0073539F">
      <w:rPr>
        <w:rStyle w:val="slostrnky"/>
        <w:rFonts w:ascii="Arial" w:hAnsi="Arial" w:cs="Arial"/>
        <w:i/>
        <w:iCs/>
        <w:sz w:val="20"/>
      </w:rPr>
      <w:t>)</w:t>
    </w:r>
  </w:p>
  <w:p w:rsidR="00C27753" w:rsidRPr="002A3877" w:rsidRDefault="00B6047B" w:rsidP="00C27753">
    <w:pPr>
      <w:pStyle w:val="Zpat"/>
      <w:pBdr>
        <w:top w:val="single" w:sz="4" w:space="1" w:color="auto"/>
      </w:pBdr>
      <w:tabs>
        <w:tab w:val="right" w:pos="9498"/>
      </w:tabs>
      <w:ind w:right="-428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51</w:t>
    </w:r>
    <w:r w:rsidR="00166A66">
      <w:rPr>
        <w:rFonts w:ascii="Arial" w:hAnsi="Arial" w:cs="Arial"/>
        <w:i/>
        <w:iCs/>
        <w:sz w:val="20"/>
      </w:rPr>
      <w:t xml:space="preserve">. </w:t>
    </w:r>
    <w:r w:rsidR="00C27753" w:rsidRPr="0073539F">
      <w:rPr>
        <w:rFonts w:ascii="Arial" w:hAnsi="Arial" w:cs="Arial"/>
        <w:i/>
        <w:iCs/>
        <w:sz w:val="20"/>
      </w:rPr>
      <w:t xml:space="preserve">– </w:t>
    </w:r>
    <w:r w:rsidR="006E23B5" w:rsidRPr="006E23B5">
      <w:rPr>
        <w:rFonts w:ascii="Arial" w:hAnsi="Arial" w:cs="Arial"/>
        <w:i/>
        <w:iCs/>
        <w:sz w:val="20"/>
      </w:rPr>
      <w:t>Financování závazků Regionální rady regionu soudržnosti Střední Morava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0D" w:rsidRDefault="00D62A0D">
      <w:r>
        <w:separator/>
      </w:r>
    </w:p>
  </w:footnote>
  <w:footnote w:type="continuationSeparator" w:id="0">
    <w:p w:rsidR="00D62A0D" w:rsidRDefault="00D6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9F" w:rsidRPr="0073539F" w:rsidRDefault="0073539F" w:rsidP="0073539F">
    <w:pPr>
      <w:tabs>
        <w:tab w:val="left" w:pos="1335"/>
        <w:tab w:val="right" w:pos="9070"/>
      </w:tabs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44CB0"/>
    <w:multiLevelType w:val="hybridMultilevel"/>
    <w:tmpl w:val="CB1C921A"/>
    <w:lvl w:ilvl="0" w:tplc="B2C01A8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F4796"/>
    <w:multiLevelType w:val="hybridMultilevel"/>
    <w:tmpl w:val="38CA3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B4230"/>
    <w:multiLevelType w:val="hybridMultilevel"/>
    <w:tmpl w:val="E0781668"/>
    <w:lvl w:ilvl="0" w:tplc="A2CACC80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DC7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8E4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01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8C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8CC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9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AE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7CE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D3"/>
    <w:rsid w:val="000016B3"/>
    <w:rsid w:val="00005C88"/>
    <w:rsid w:val="00013629"/>
    <w:rsid w:val="00030305"/>
    <w:rsid w:val="00033916"/>
    <w:rsid w:val="0003591F"/>
    <w:rsid w:val="00036419"/>
    <w:rsid w:val="000436D6"/>
    <w:rsid w:val="0005081F"/>
    <w:rsid w:val="0005499D"/>
    <w:rsid w:val="00056BF7"/>
    <w:rsid w:val="00057FDD"/>
    <w:rsid w:val="000637CC"/>
    <w:rsid w:val="00065A11"/>
    <w:rsid w:val="00080646"/>
    <w:rsid w:val="0008363A"/>
    <w:rsid w:val="00086DC3"/>
    <w:rsid w:val="00097AB1"/>
    <w:rsid w:val="000A09F3"/>
    <w:rsid w:val="000A39D8"/>
    <w:rsid w:val="000A55B6"/>
    <w:rsid w:val="000A56E7"/>
    <w:rsid w:val="000C4825"/>
    <w:rsid w:val="000D39D3"/>
    <w:rsid w:val="000D5E78"/>
    <w:rsid w:val="000E2AAE"/>
    <w:rsid w:val="000E6AC0"/>
    <w:rsid w:val="000E70ED"/>
    <w:rsid w:val="000F1C31"/>
    <w:rsid w:val="000F3A60"/>
    <w:rsid w:val="001064C2"/>
    <w:rsid w:val="00113776"/>
    <w:rsid w:val="00115A8B"/>
    <w:rsid w:val="0013206C"/>
    <w:rsid w:val="001346F9"/>
    <w:rsid w:val="00147662"/>
    <w:rsid w:val="00147C45"/>
    <w:rsid w:val="0015339E"/>
    <w:rsid w:val="0015586A"/>
    <w:rsid w:val="00156787"/>
    <w:rsid w:val="00162B23"/>
    <w:rsid w:val="001653D6"/>
    <w:rsid w:val="00166A66"/>
    <w:rsid w:val="0017160F"/>
    <w:rsid w:val="00173EA0"/>
    <w:rsid w:val="001750F0"/>
    <w:rsid w:val="00176C5D"/>
    <w:rsid w:val="00185A5F"/>
    <w:rsid w:val="00186F0F"/>
    <w:rsid w:val="001906CC"/>
    <w:rsid w:val="00194579"/>
    <w:rsid w:val="00196332"/>
    <w:rsid w:val="001A060E"/>
    <w:rsid w:val="001A638D"/>
    <w:rsid w:val="001A7532"/>
    <w:rsid w:val="001B4CAE"/>
    <w:rsid w:val="001B5372"/>
    <w:rsid w:val="001B79DB"/>
    <w:rsid w:val="001C1DE6"/>
    <w:rsid w:val="001C6B48"/>
    <w:rsid w:val="001D258E"/>
    <w:rsid w:val="001D3737"/>
    <w:rsid w:val="001D3A48"/>
    <w:rsid w:val="001D6207"/>
    <w:rsid w:val="001E0152"/>
    <w:rsid w:val="001E691F"/>
    <w:rsid w:val="001F06D7"/>
    <w:rsid w:val="001F4E0E"/>
    <w:rsid w:val="001F6FC8"/>
    <w:rsid w:val="002064FE"/>
    <w:rsid w:val="0020724A"/>
    <w:rsid w:val="00214A2D"/>
    <w:rsid w:val="002218CE"/>
    <w:rsid w:val="0023039D"/>
    <w:rsid w:val="0023412C"/>
    <w:rsid w:val="00241C06"/>
    <w:rsid w:val="00256E29"/>
    <w:rsid w:val="00264BC8"/>
    <w:rsid w:val="00265CF1"/>
    <w:rsid w:val="002666F8"/>
    <w:rsid w:val="00267A60"/>
    <w:rsid w:val="00270576"/>
    <w:rsid w:val="002729F3"/>
    <w:rsid w:val="00274154"/>
    <w:rsid w:val="00275BAE"/>
    <w:rsid w:val="00277322"/>
    <w:rsid w:val="00285BFC"/>
    <w:rsid w:val="002943F5"/>
    <w:rsid w:val="00296504"/>
    <w:rsid w:val="0029779E"/>
    <w:rsid w:val="002A3877"/>
    <w:rsid w:val="002A3D92"/>
    <w:rsid w:val="002A49E9"/>
    <w:rsid w:val="002A60D8"/>
    <w:rsid w:val="002B28DB"/>
    <w:rsid w:val="002B756B"/>
    <w:rsid w:val="002B7655"/>
    <w:rsid w:val="002C08E5"/>
    <w:rsid w:val="002C19B4"/>
    <w:rsid w:val="002C4677"/>
    <w:rsid w:val="002E1E7F"/>
    <w:rsid w:val="002F0B1C"/>
    <w:rsid w:val="002F5785"/>
    <w:rsid w:val="002F743E"/>
    <w:rsid w:val="002F7E59"/>
    <w:rsid w:val="00300521"/>
    <w:rsid w:val="00304088"/>
    <w:rsid w:val="00313E04"/>
    <w:rsid w:val="00316642"/>
    <w:rsid w:val="00320B5B"/>
    <w:rsid w:val="00330664"/>
    <w:rsid w:val="00331F50"/>
    <w:rsid w:val="00335113"/>
    <w:rsid w:val="00342E5B"/>
    <w:rsid w:val="00344471"/>
    <w:rsid w:val="00347148"/>
    <w:rsid w:val="0035070A"/>
    <w:rsid w:val="0035151F"/>
    <w:rsid w:val="003525AB"/>
    <w:rsid w:val="003533CF"/>
    <w:rsid w:val="00355C39"/>
    <w:rsid w:val="00357A75"/>
    <w:rsid w:val="00357EC5"/>
    <w:rsid w:val="003662A2"/>
    <w:rsid w:val="00371237"/>
    <w:rsid w:val="003727CD"/>
    <w:rsid w:val="00377751"/>
    <w:rsid w:val="003811F8"/>
    <w:rsid w:val="00382DAB"/>
    <w:rsid w:val="003863E1"/>
    <w:rsid w:val="00387E5C"/>
    <w:rsid w:val="00390CD4"/>
    <w:rsid w:val="003910C7"/>
    <w:rsid w:val="00393CD8"/>
    <w:rsid w:val="003A5A8E"/>
    <w:rsid w:val="003A7670"/>
    <w:rsid w:val="003A7901"/>
    <w:rsid w:val="003B3CDA"/>
    <w:rsid w:val="003B41F5"/>
    <w:rsid w:val="003B7ACF"/>
    <w:rsid w:val="003C1D2C"/>
    <w:rsid w:val="003C772C"/>
    <w:rsid w:val="003D2340"/>
    <w:rsid w:val="003D259C"/>
    <w:rsid w:val="003D2D5D"/>
    <w:rsid w:val="003D745F"/>
    <w:rsid w:val="003E3C3E"/>
    <w:rsid w:val="003E7DA9"/>
    <w:rsid w:val="003F1F30"/>
    <w:rsid w:val="003F2940"/>
    <w:rsid w:val="003F35EA"/>
    <w:rsid w:val="003F4A26"/>
    <w:rsid w:val="003F612F"/>
    <w:rsid w:val="003F64F2"/>
    <w:rsid w:val="0040224D"/>
    <w:rsid w:val="00402CA7"/>
    <w:rsid w:val="004038C6"/>
    <w:rsid w:val="00406BE7"/>
    <w:rsid w:val="00413C7F"/>
    <w:rsid w:val="004143B0"/>
    <w:rsid w:val="00424C91"/>
    <w:rsid w:val="00424DB0"/>
    <w:rsid w:val="004363B4"/>
    <w:rsid w:val="0044203E"/>
    <w:rsid w:val="00445FBF"/>
    <w:rsid w:val="004521C1"/>
    <w:rsid w:val="00452C3F"/>
    <w:rsid w:val="004570D3"/>
    <w:rsid w:val="00462BC8"/>
    <w:rsid w:val="004641BB"/>
    <w:rsid w:val="00466759"/>
    <w:rsid w:val="00467F6C"/>
    <w:rsid w:val="004720C5"/>
    <w:rsid w:val="004751DD"/>
    <w:rsid w:val="00483B1A"/>
    <w:rsid w:val="004853D8"/>
    <w:rsid w:val="00492B51"/>
    <w:rsid w:val="00493FB1"/>
    <w:rsid w:val="004943CA"/>
    <w:rsid w:val="004A0D9D"/>
    <w:rsid w:val="004A228A"/>
    <w:rsid w:val="004B0FD7"/>
    <w:rsid w:val="004B170E"/>
    <w:rsid w:val="004C0B68"/>
    <w:rsid w:val="004D77A2"/>
    <w:rsid w:val="004E5E48"/>
    <w:rsid w:val="004E629D"/>
    <w:rsid w:val="004F5509"/>
    <w:rsid w:val="00503E71"/>
    <w:rsid w:val="00505C61"/>
    <w:rsid w:val="005122BD"/>
    <w:rsid w:val="005206BA"/>
    <w:rsid w:val="0052441A"/>
    <w:rsid w:val="00524CA9"/>
    <w:rsid w:val="005258BF"/>
    <w:rsid w:val="005277A3"/>
    <w:rsid w:val="00532498"/>
    <w:rsid w:val="00532C4C"/>
    <w:rsid w:val="00534916"/>
    <w:rsid w:val="005432A2"/>
    <w:rsid w:val="00545C6E"/>
    <w:rsid w:val="005537A6"/>
    <w:rsid w:val="00560C84"/>
    <w:rsid w:val="005702BE"/>
    <w:rsid w:val="00570500"/>
    <w:rsid w:val="00572AA2"/>
    <w:rsid w:val="00574108"/>
    <w:rsid w:val="005814E4"/>
    <w:rsid w:val="00583356"/>
    <w:rsid w:val="005936D8"/>
    <w:rsid w:val="00594D30"/>
    <w:rsid w:val="00595390"/>
    <w:rsid w:val="005969C4"/>
    <w:rsid w:val="005A6110"/>
    <w:rsid w:val="005B0198"/>
    <w:rsid w:val="005B397A"/>
    <w:rsid w:val="005B4333"/>
    <w:rsid w:val="005C281F"/>
    <w:rsid w:val="005C4810"/>
    <w:rsid w:val="005C6260"/>
    <w:rsid w:val="005E4EE2"/>
    <w:rsid w:val="005F3AA4"/>
    <w:rsid w:val="005F4A8C"/>
    <w:rsid w:val="00603153"/>
    <w:rsid w:val="00603791"/>
    <w:rsid w:val="006066EC"/>
    <w:rsid w:val="006071A9"/>
    <w:rsid w:val="00610EC8"/>
    <w:rsid w:val="006238B4"/>
    <w:rsid w:val="00626271"/>
    <w:rsid w:val="0063234B"/>
    <w:rsid w:val="00632433"/>
    <w:rsid w:val="006346BF"/>
    <w:rsid w:val="00636F3B"/>
    <w:rsid w:val="00637689"/>
    <w:rsid w:val="00645E8F"/>
    <w:rsid w:val="0064731D"/>
    <w:rsid w:val="006504C0"/>
    <w:rsid w:val="00651932"/>
    <w:rsid w:val="00655ED5"/>
    <w:rsid w:val="006570EE"/>
    <w:rsid w:val="0066591F"/>
    <w:rsid w:val="00671B9D"/>
    <w:rsid w:val="00672AE7"/>
    <w:rsid w:val="00674235"/>
    <w:rsid w:val="006744F0"/>
    <w:rsid w:val="006A2523"/>
    <w:rsid w:val="006A3B35"/>
    <w:rsid w:val="006A4D0D"/>
    <w:rsid w:val="006B0038"/>
    <w:rsid w:val="006B323E"/>
    <w:rsid w:val="006B6FD2"/>
    <w:rsid w:val="006C1DDF"/>
    <w:rsid w:val="006C5A65"/>
    <w:rsid w:val="006C676E"/>
    <w:rsid w:val="006D74DF"/>
    <w:rsid w:val="006E23B5"/>
    <w:rsid w:val="006F1A44"/>
    <w:rsid w:val="006F57D5"/>
    <w:rsid w:val="007023D1"/>
    <w:rsid w:val="00707D76"/>
    <w:rsid w:val="00711816"/>
    <w:rsid w:val="007128F0"/>
    <w:rsid w:val="00713FE6"/>
    <w:rsid w:val="007156AE"/>
    <w:rsid w:val="0071660B"/>
    <w:rsid w:val="00721346"/>
    <w:rsid w:val="00734D35"/>
    <w:rsid w:val="0073539F"/>
    <w:rsid w:val="0074063E"/>
    <w:rsid w:val="00741E7D"/>
    <w:rsid w:val="00746D26"/>
    <w:rsid w:val="00754070"/>
    <w:rsid w:val="0075682B"/>
    <w:rsid w:val="007633DA"/>
    <w:rsid w:val="00764ECF"/>
    <w:rsid w:val="00767431"/>
    <w:rsid w:val="00767DAB"/>
    <w:rsid w:val="00772F23"/>
    <w:rsid w:val="00780D2C"/>
    <w:rsid w:val="00781AFF"/>
    <w:rsid w:val="00785C66"/>
    <w:rsid w:val="007A0677"/>
    <w:rsid w:val="007A48B7"/>
    <w:rsid w:val="007B1A2B"/>
    <w:rsid w:val="007B7C2B"/>
    <w:rsid w:val="007C2FFF"/>
    <w:rsid w:val="007C4DF7"/>
    <w:rsid w:val="007C77DB"/>
    <w:rsid w:val="007D33F0"/>
    <w:rsid w:val="007E5291"/>
    <w:rsid w:val="007E55F0"/>
    <w:rsid w:val="007F7BE4"/>
    <w:rsid w:val="0080261F"/>
    <w:rsid w:val="00804E43"/>
    <w:rsid w:val="00812CDB"/>
    <w:rsid w:val="00817454"/>
    <w:rsid w:val="00824D1B"/>
    <w:rsid w:val="00832F39"/>
    <w:rsid w:val="00833514"/>
    <w:rsid w:val="008370AA"/>
    <w:rsid w:val="0084037A"/>
    <w:rsid w:val="0084298B"/>
    <w:rsid w:val="00843BA3"/>
    <w:rsid w:val="0084537B"/>
    <w:rsid w:val="008471CB"/>
    <w:rsid w:val="0085105B"/>
    <w:rsid w:val="0085358B"/>
    <w:rsid w:val="00855996"/>
    <w:rsid w:val="008702CE"/>
    <w:rsid w:val="0088076E"/>
    <w:rsid w:val="0088193C"/>
    <w:rsid w:val="008873B6"/>
    <w:rsid w:val="0088763A"/>
    <w:rsid w:val="008923A0"/>
    <w:rsid w:val="00892E7F"/>
    <w:rsid w:val="008935EF"/>
    <w:rsid w:val="008A1158"/>
    <w:rsid w:val="008A11C7"/>
    <w:rsid w:val="008B4EBE"/>
    <w:rsid w:val="008C02B6"/>
    <w:rsid w:val="008C4DFD"/>
    <w:rsid w:val="008D309B"/>
    <w:rsid w:val="008D4A8C"/>
    <w:rsid w:val="008E4BA8"/>
    <w:rsid w:val="008F191C"/>
    <w:rsid w:val="008F5F0D"/>
    <w:rsid w:val="00900F80"/>
    <w:rsid w:val="00912935"/>
    <w:rsid w:val="0091470E"/>
    <w:rsid w:val="00934074"/>
    <w:rsid w:val="0093475D"/>
    <w:rsid w:val="00952F3C"/>
    <w:rsid w:val="00960CF2"/>
    <w:rsid w:val="009630DE"/>
    <w:rsid w:val="00964445"/>
    <w:rsid w:val="00971528"/>
    <w:rsid w:val="00972A2D"/>
    <w:rsid w:val="00972DD2"/>
    <w:rsid w:val="00973A2B"/>
    <w:rsid w:val="00973F82"/>
    <w:rsid w:val="00974109"/>
    <w:rsid w:val="00981300"/>
    <w:rsid w:val="00981E14"/>
    <w:rsid w:val="00984BB6"/>
    <w:rsid w:val="009A2964"/>
    <w:rsid w:val="009A4757"/>
    <w:rsid w:val="009A69FD"/>
    <w:rsid w:val="009B12F0"/>
    <w:rsid w:val="009B33FC"/>
    <w:rsid w:val="009B3D14"/>
    <w:rsid w:val="009D3AA3"/>
    <w:rsid w:val="009E0793"/>
    <w:rsid w:val="009E3188"/>
    <w:rsid w:val="009E6245"/>
    <w:rsid w:val="009F5F80"/>
    <w:rsid w:val="00A00459"/>
    <w:rsid w:val="00A0164B"/>
    <w:rsid w:val="00A14BFC"/>
    <w:rsid w:val="00A20297"/>
    <w:rsid w:val="00A306F4"/>
    <w:rsid w:val="00A30D41"/>
    <w:rsid w:val="00A32BEB"/>
    <w:rsid w:val="00A35B60"/>
    <w:rsid w:val="00A36711"/>
    <w:rsid w:val="00A51006"/>
    <w:rsid w:val="00A51088"/>
    <w:rsid w:val="00A62A29"/>
    <w:rsid w:val="00A62A49"/>
    <w:rsid w:val="00A65E4D"/>
    <w:rsid w:val="00A7251F"/>
    <w:rsid w:val="00A738BF"/>
    <w:rsid w:val="00A83186"/>
    <w:rsid w:val="00A85659"/>
    <w:rsid w:val="00A862AD"/>
    <w:rsid w:val="00A87149"/>
    <w:rsid w:val="00A91C98"/>
    <w:rsid w:val="00AA1A84"/>
    <w:rsid w:val="00AA3C24"/>
    <w:rsid w:val="00AA495D"/>
    <w:rsid w:val="00AA531D"/>
    <w:rsid w:val="00AA5CA2"/>
    <w:rsid w:val="00AB0ADB"/>
    <w:rsid w:val="00AB2962"/>
    <w:rsid w:val="00AB3E7B"/>
    <w:rsid w:val="00AB66F0"/>
    <w:rsid w:val="00AC0C96"/>
    <w:rsid w:val="00AC2733"/>
    <w:rsid w:val="00AC2890"/>
    <w:rsid w:val="00AC3F27"/>
    <w:rsid w:val="00AC69AF"/>
    <w:rsid w:val="00AF0225"/>
    <w:rsid w:val="00AF7B4D"/>
    <w:rsid w:val="00B02A73"/>
    <w:rsid w:val="00B10DA7"/>
    <w:rsid w:val="00B11076"/>
    <w:rsid w:val="00B115EF"/>
    <w:rsid w:val="00B12ED0"/>
    <w:rsid w:val="00B1312D"/>
    <w:rsid w:val="00B15682"/>
    <w:rsid w:val="00B240DA"/>
    <w:rsid w:val="00B265C6"/>
    <w:rsid w:val="00B26D34"/>
    <w:rsid w:val="00B3276F"/>
    <w:rsid w:val="00B3319F"/>
    <w:rsid w:val="00B35CAF"/>
    <w:rsid w:val="00B36EEB"/>
    <w:rsid w:val="00B37E7F"/>
    <w:rsid w:val="00B450B9"/>
    <w:rsid w:val="00B508D3"/>
    <w:rsid w:val="00B51551"/>
    <w:rsid w:val="00B6047B"/>
    <w:rsid w:val="00B6241D"/>
    <w:rsid w:val="00B6399F"/>
    <w:rsid w:val="00B659AE"/>
    <w:rsid w:val="00B700ED"/>
    <w:rsid w:val="00B7033D"/>
    <w:rsid w:val="00B74B05"/>
    <w:rsid w:val="00B76287"/>
    <w:rsid w:val="00B803CE"/>
    <w:rsid w:val="00B93222"/>
    <w:rsid w:val="00B97C8C"/>
    <w:rsid w:val="00BA40D6"/>
    <w:rsid w:val="00BA5F4C"/>
    <w:rsid w:val="00BA78C3"/>
    <w:rsid w:val="00BA7B3A"/>
    <w:rsid w:val="00BB4D14"/>
    <w:rsid w:val="00BC7AA4"/>
    <w:rsid w:val="00BD0E71"/>
    <w:rsid w:val="00BD4FFC"/>
    <w:rsid w:val="00BD5E83"/>
    <w:rsid w:val="00BD7000"/>
    <w:rsid w:val="00BE151B"/>
    <w:rsid w:val="00BE3156"/>
    <w:rsid w:val="00BE471C"/>
    <w:rsid w:val="00BF16F4"/>
    <w:rsid w:val="00BF2B80"/>
    <w:rsid w:val="00C00FAE"/>
    <w:rsid w:val="00C017B0"/>
    <w:rsid w:val="00C224AB"/>
    <w:rsid w:val="00C22F1D"/>
    <w:rsid w:val="00C24836"/>
    <w:rsid w:val="00C24E68"/>
    <w:rsid w:val="00C27058"/>
    <w:rsid w:val="00C27753"/>
    <w:rsid w:val="00C30BAF"/>
    <w:rsid w:val="00C31208"/>
    <w:rsid w:val="00C330DF"/>
    <w:rsid w:val="00C33E0B"/>
    <w:rsid w:val="00C41617"/>
    <w:rsid w:val="00C42468"/>
    <w:rsid w:val="00C545E1"/>
    <w:rsid w:val="00C55D5C"/>
    <w:rsid w:val="00C56EEC"/>
    <w:rsid w:val="00C61E8B"/>
    <w:rsid w:val="00C66060"/>
    <w:rsid w:val="00C71642"/>
    <w:rsid w:val="00C73C7E"/>
    <w:rsid w:val="00C7464D"/>
    <w:rsid w:val="00C75411"/>
    <w:rsid w:val="00C75A71"/>
    <w:rsid w:val="00C8096C"/>
    <w:rsid w:val="00C816FD"/>
    <w:rsid w:val="00C8567E"/>
    <w:rsid w:val="00C85CCA"/>
    <w:rsid w:val="00C86E43"/>
    <w:rsid w:val="00C871C1"/>
    <w:rsid w:val="00C900FF"/>
    <w:rsid w:val="00CA22FA"/>
    <w:rsid w:val="00CB13CF"/>
    <w:rsid w:val="00CB6CB2"/>
    <w:rsid w:val="00CB7C41"/>
    <w:rsid w:val="00CC579E"/>
    <w:rsid w:val="00CD6281"/>
    <w:rsid w:val="00CE075A"/>
    <w:rsid w:val="00CE0B84"/>
    <w:rsid w:val="00CE2901"/>
    <w:rsid w:val="00CE2E04"/>
    <w:rsid w:val="00CE4B5B"/>
    <w:rsid w:val="00CF095C"/>
    <w:rsid w:val="00CF2111"/>
    <w:rsid w:val="00CF29BD"/>
    <w:rsid w:val="00CF59D9"/>
    <w:rsid w:val="00CF5AFE"/>
    <w:rsid w:val="00D03EB0"/>
    <w:rsid w:val="00D12828"/>
    <w:rsid w:val="00D20DCA"/>
    <w:rsid w:val="00D213AA"/>
    <w:rsid w:val="00D22792"/>
    <w:rsid w:val="00D230E8"/>
    <w:rsid w:val="00D30567"/>
    <w:rsid w:val="00D34430"/>
    <w:rsid w:val="00D421A5"/>
    <w:rsid w:val="00D45F56"/>
    <w:rsid w:val="00D521AF"/>
    <w:rsid w:val="00D55402"/>
    <w:rsid w:val="00D62A0D"/>
    <w:rsid w:val="00D64B1B"/>
    <w:rsid w:val="00D64F90"/>
    <w:rsid w:val="00D666EA"/>
    <w:rsid w:val="00D67150"/>
    <w:rsid w:val="00D7471E"/>
    <w:rsid w:val="00D74C0A"/>
    <w:rsid w:val="00D74DD7"/>
    <w:rsid w:val="00D7620B"/>
    <w:rsid w:val="00D77112"/>
    <w:rsid w:val="00D855A2"/>
    <w:rsid w:val="00D92134"/>
    <w:rsid w:val="00DB2250"/>
    <w:rsid w:val="00DD4294"/>
    <w:rsid w:val="00DD6125"/>
    <w:rsid w:val="00DE4923"/>
    <w:rsid w:val="00DF1E60"/>
    <w:rsid w:val="00DF329A"/>
    <w:rsid w:val="00E04192"/>
    <w:rsid w:val="00E20ACF"/>
    <w:rsid w:val="00E51B3B"/>
    <w:rsid w:val="00E52820"/>
    <w:rsid w:val="00E62431"/>
    <w:rsid w:val="00E62620"/>
    <w:rsid w:val="00E62AEB"/>
    <w:rsid w:val="00E64E2B"/>
    <w:rsid w:val="00E74715"/>
    <w:rsid w:val="00E818F4"/>
    <w:rsid w:val="00E836A2"/>
    <w:rsid w:val="00E90204"/>
    <w:rsid w:val="00E9143B"/>
    <w:rsid w:val="00E93FA1"/>
    <w:rsid w:val="00E9420D"/>
    <w:rsid w:val="00E94DBE"/>
    <w:rsid w:val="00E94FA4"/>
    <w:rsid w:val="00E958F2"/>
    <w:rsid w:val="00E95908"/>
    <w:rsid w:val="00EA4D12"/>
    <w:rsid w:val="00EA7487"/>
    <w:rsid w:val="00EB6D18"/>
    <w:rsid w:val="00EB7005"/>
    <w:rsid w:val="00ED08CC"/>
    <w:rsid w:val="00ED1121"/>
    <w:rsid w:val="00ED4917"/>
    <w:rsid w:val="00ED7494"/>
    <w:rsid w:val="00ED77BF"/>
    <w:rsid w:val="00EE13BA"/>
    <w:rsid w:val="00EF7FE2"/>
    <w:rsid w:val="00F05D5E"/>
    <w:rsid w:val="00F12189"/>
    <w:rsid w:val="00F178AF"/>
    <w:rsid w:val="00F201A3"/>
    <w:rsid w:val="00F220C5"/>
    <w:rsid w:val="00F22DEA"/>
    <w:rsid w:val="00F30FE9"/>
    <w:rsid w:val="00F3470A"/>
    <w:rsid w:val="00F405C6"/>
    <w:rsid w:val="00F414AB"/>
    <w:rsid w:val="00F47918"/>
    <w:rsid w:val="00F519E4"/>
    <w:rsid w:val="00F54AB5"/>
    <w:rsid w:val="00F665F0"/>
    <w:rsid w:val="00F722D5"/>
    <w:rsid w:val="00F7442F"/>
    <w:rsid w:val="00F86245"/>
    <w:rsid w:val="00F91F62"/>
    <w:rsid w:val="00F9590A"/>
    <w:rsid w:val="00F9670B"/>
    <w:rsid w:val="00FA26A1"/>
    <w:rsid w:val="00FA3989"/>
    <w:rsid w:val="00FB2FA3"/>
    <w:rsid w:val="00FC1185"/>
    <w:rsid w:val="00FC27A7"/>
    <w:rsid w:val="00FC3750"/>
    <w:rsid w:val="00FC5594"/>
    <w:rsid w:val="00FC5ED8"/>
    <w:rsid w:val="00FE1DD5"/>
    <w:rsid w:val="00FE22D8"/>
    <w:rsid w:val="00FE66DD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399429"/>
  <w15:docId w15:val="{23DD2536-7CCE-4BCA-825F-335A22C3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rFonts w:ascii="Comic Sans MS" w:hAnsi="Comic Sans MS"/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rFonts w:ascii="Comic Sans MS" w:hAnsi="Comic Sans MS"/>
      <w:b/>
      <w:sz w:val="2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</w:style>
  <w:style w:type="paragraph" w:styleId="Nadpis8">
    <w:name w:val="heading 8"/>
    <w:basedOn w:val="Normln"/>
    <w:next w:val="Normln"/>
    <w:qFormat/>
    <w:rsid w:val="00A62A4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1440"/>
      </w:tabs>
    </w:pPr>
    <w:rPr>
      <w:rFonts w:ascii="Arial" w:hAnsi="Arial" w:cs="Arial"/>
      <w:sz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pPr>
      <w:ind w:left="720" w:hanging="720"/>
    </w:pPr>
    <w:rPr>
      <w:rFonts w:ascii="Arial" w:hAnsi="Arial" w:cs="Arial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708"/>
    </w:pPr>
    <w:rPr>
      <w:rFonts w:ascii="Arial" w:hAnsi="Arial" w:cs="Arial"/>
      <w:sz w:val="20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Radadvodovzprva">
    <w:name w:val="Rada důvodová zpráva"/>
    <w:basedOn w:val="Normln"/>
    <w:pPr>
      <w:widowControl w:val="0"/>
      <w:spacing w:after="480"/>
      <w:jc w:val="both"/>
    </w:pPr>
    <w:rPr>
      <w:rFonts w:ascii="Arial" w:hAnsi="Arial"/>
      <w:b/>
      <w:noProof/>
    </w:rPr>
  </w:style>
  <w:style w:type="paragraph" w:styleId="Zkladntextodsazen3">
    <w:name w:val="Body Text Indent 3"/>
    <w:basedOn w:val="Normln"/>
    <w:pPr>
      <w:ind w:left="1260"/>
      <w:jc w:val="both"/>
    </w:pPr>
    <w:rPr>
      <w:rFonts w:ascii="Arial" w:hAnsi="Arial"/>
      <w:b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nasted">
    <w:name w:val="Základní text na střed"/>
    <w:basedOn w:val="Normln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Smlouvanadpis2">
    <w:name w:val="Smlouva nadpis2"/>
    <w:basedOn w:val="Normln"/>
    <w:pPr>
      <w:keepNext/>
      <w:keepLines/>
      <w:spacing w:after="240"/>
      <w:jc w:val="center"/>
    </w:pPr>
    <w:rPr>
      <w:rFonts w:ascii="Arial" w:hAnsi="Arial"/>
      <w:b/>
      <w:noProof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Radaplohy">
    <w:name w:val="Rada přílohy"/>
    <w:basedOn w:val="Normln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Tabulkatuntext16nasted">
    <w:name w:val="Tabulka tučný text_16 na střed"/>
    <w:basedOn w:val="Normln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pPr>
      <w:widowControl w:val="0"/>
      <w:spacing w:before="40" w:after="40"/>
      <w:jc w:val="center"/>
    </w:pPr>
    <w:rPr>
      <w:rFonts w:ascii="Arial" w:hAnsi="Arial"/>
      <w:b/>
      <w:szCs w:val="20"/>
    </w:rPr>
  </w:style>
  <w:style w:type="paragraph" w:customStyle="1" w:styleId="Tabulkazkladntext">
    <w:name w:val="Tabulka základní text"/>
    <w:basedOn w:val="Normln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Tabulkazkladntextnasted">
    <w:name w:val="Tabulka základní text na střed"/>
    <w:basedOn w:val="Normln"/>
    <w:pPr>
      <w:widowControl w:val="0"/>
      <w:spacing w:before="40" w:after="40"/>
      <w:jc w:val="center"/>
    </w:pPr>
    <w:rPr>
      <w:rFonts w:ascii="Arial" w:hAnsi="Arial"/>
      <w:szCs w:val="20"/>
    </w:rPr>
  </w:style>
  <w:style w:type="paragraph" w:customStyle="1" w:styleId="Radaploha1">
    <w:name w:val="Rada příloha č.1"/>
    <w:basedOn w:val="Normln"/>
    <w:pPr>
      <w:widowControl w:val="0"/>
      <w:numPr>
        <w:numId w:val="1"/>
      </w:numPr>
      <w:spacing w:after="120"/>
      <w:jc w:val="both"/>
    </w:pPr>
    <w:rPr>
      <w:rFonts w:ascii="Arial" w:hAnsi="Arial"/>
      <w:szCs w:val="20"/>
      <w:u w:val="single"/>
    </w:rPr>
  </w:style>
  <w:style w:type="paragraph" w:customStyle="1" w:styleId="slo1text">
    <w:name w:val="Číslo1 text"/>
    <w:basedOn w:val="Normln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customStyle="1" w:styleId="normln0">
    <w:name w:val="normální"/>
    <w:basedOn w:val="Normln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Normln12">
    <w:name w:val="Normální12"/>
    <w:basedOn w:val="Normln"/>
    <w:rsid w:val="00A62A49"/>
    <w:pPr>
      <w:spacing w:before="120"/>
      <w:jc w:val="both"/>
    </w:pPr>
  </w:style>
  <w:style w:type="table" w:styleId="Mkatabulky">
    <w:name w:val="Table Grid"/>
    <w:basedOn w:val="Normlntabulka"/>
    <w:rsid w:val="0046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F201A3"/>
    <w:rPr>
      <w:color w:val="0000FF"/>
      <w:u w:val="single"/>
    </w:rPr>
  </w:style>
  <w:style w:type="character" w:styleId="Odkaznakoment">
    <w:name w:val="annotation reference"/>
    <w:semiHidden/>
    <w:rsid w:val="0027415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415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4154"/>
    <w:rPr>
      <w:b/>
      <w:bCs/>
    </w:rPr>
  </w:style>
  <w:style w:type="character" w:customStyle="1" w:styleId="ZpatChar">
    <w:name w:val="Zápatí Char"/>
    <w:link w:val="Zpat"/>
    <w:uiPriority w:val="99"/>
    <w:rsid w:val="0029779E"/>
    <w:rPr>
      <w:sz w:val="24"/>
      <w:szCs w:val="24"/>
      <w:lang w:val="cs-CZ" w:eastAsia="cs-CZ" w:bidi="ar-SA"/>
    </w:rPr>
  </w:style>
  <w:style w:type="character" w:customStyle="1" w:styleId="CharChar1">
    <w:name w:val="Char Char1"/>
    <w:rsid w:val="0029779E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C66060"/>
    <w:rPr>
      <w:sz w:val="24"/>
      <w:szCs w:val="24"/>
    </w:rPr>
  </w:style>
  <w:style w:type="paragraph" w:styleId="Normlnweb">
    <w:name w:val="Normal (Web)"/>
    <w:basedOn w:val="Normln"/>
    <w:rsid w:val="00C66060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66060"/>
    <w:pPr>
      <w:ind w:left="720"/>
      <w:contextualSpacing/>
    </w:pPr>
  </w:style>
  <w:style w:type="character" w:customStyle="1" w:styleId="TextkomenteChar">
    <w:name w:val="Text komentáře Char"/>
    <w:link w:val="Textkomente"/>
    <w:semiHidden/>
    <w:rsid w:val="00393CD8"/>
  </w:style>
  <w:style w:type="character" w:styleId="Siln">
    <w:name w:val="Strong"/>
    <w:uiPriority w:val="22"/>
    <w:qFormat/>
    <w:rsid w:val="002F5785"/>
    <w:rPr>
      <w:b/>
      <w:bCs/>
    </w:rPr>
  </w:style>
  <w:style w:type="paragraph" w:customStyle="1" w:styleId="ListParagraph1">
    <w:name w:val="List Paragraph1"/>
    <w:basedOn w:val="Normln"/>
    <w:uiPriority w:val="99"/>
    <w:rsid w:val="002F5785"/>
    <w:pPr>
      <w:ind w:left="720"/>
    </w:pPr>
  </w:style>
  <w:style w:type="character" w:customStyle="1" w:styleId="TabulkatuntextnastedChar">
    <w:name w:val="Tabulka tučný text na střed Char"/>
    <w:link w:val="Tabulkatuntextnasted"/>
    <w:rsid w:val="00610EC8"/>
    <w:rPr>
      <w:rFonts w:ascii="Arial" w:hAnsi="Arial"/>
      <w:b/>
      <w:sz w:val="24"/>
    </w:rPr>
  </w:style>
  <w:style w:type="character" w:customStyle="1" w:styleId="Nadpis1Char">
    <w:name w:val="Nadpis 1 Char"/>
    <w:link w:val="Nadpis1"/>
    <w:uiPriority w:val="9"/>
    <w:rsid w:val="007B7C2B"/>
    <w:rPr>
      <w:rFonts w:ascii="Comic Sans MS" w:hAnsi="Comic Sans MS"/>
      <w:b/>
      <w:sz w:val="28"/>
      <w:szCs w:val="24"/>
    </w:rPr>
  </w:style>
  <w:style w:type="character" w:customStyle="1" w:styleId="Nadpis2Char">
    <w:name w:val="Nadpis 2 Char"/>
    <w:link w:val="Nadpis2"/>
    <w:uiPriority w:val="9"/>
    <w:rsid w:val="007B7C2B"/>
    <w:rPr>
      <w:rFonts w:ascii="Comic Sans MS" w:hAnsi="Comic Sans MS"/>
      <w:b/>
      <w:sz w:val="22"/>
      <w:szCs w:val="24"/>
    </w:rPr>
  </w:style>
  <w:style w:type="table" w:customStyle="1" w:styleId="TableGrid">
    <w:name w:val="TableGrid"/>
    <w:rsid w:val="007B7C2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pisosloven">
    <w:name w:val="Dopis oslovení"/>
    <w:basedOn w:val="Normln"/>
    <w:rsid w:val="006E23B5"/>
    <w:pPr>
      <w:widowControl w:val="0"/>
      <w:spacing w:before="360" w:after="240"/>
      <w:jc w:val="both"/>
    </w:pPr>
    <w:rPr>
      <w:rFonts w:ascii="Arial" w:hAnsi="Arial"/>
      <w:szCs w:val="20"/>
    </w:rPr>
  </w:style>
  <w:style w:type="paragraph" w:customStyle="1" w:styleId="nzvy">
    <w:name w:val="názvy"/>
    <w:basedOn w:val="Normln"/>
    <w:autoRedefine/>
    <w:rsid w:val="00D521A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D24C-5337-4AEF-9E1C-F8B4812D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Členství OK v Asociaci měst pro cyklisty</vt:lpstr>
    </vt:vector>
  </TitlesOfParts>
  <Company/>
  <LinksUpToDate>false</LinksUpToDate>
  <CharactersWithSpaces>4080</CharactersWithSpaces>
  <SharedDoc>false</SharedDoc>
  <HLinks>
    <vt:vector size="36" baseType="variant">
      <vt:variant>
        <vt:i4>7471189</vt:i4>
      </vt:variant>
      <vt:variant>
        <vt:i4>15</vt:i4>
      </vt:variant>
      <vt:variant>
        <vt:i4>0</vt:i4>
      </vt:variant>
      <vt:variant>
        <vt:i4>5</vt:i4>
      </vt:variant>
      <vt:variant>
        <vt:lpwstr>mailto:matusak@ckbos.cz</vt:lpwstr>
      </vt:variant>
      <vt:variant>
        <vt:lpwstr/>
      </vt:variant>
      <vt:variant>
        <vt:i4>131119</vt:i4>
      </vt:variant>
      <vt:variant>
        <vt:i4>12</vt:i4>
      </vt:variant>
      <vt:variant>
        <vt:i4>0</vt:i4>
      </vt:variant>
      <vt:variant>
        <vt:i4>5</vt:i4>
      </vt:variant>
      <vt:variant>
        <vt:lpwstr>mailto:travel@cedok.at</vt:lpwstr>
      </vt:variant>
      <vt:variant>
        <vt:lpwstr/>
      </vt:variant>
      <vt:variant>
        <vt:i4>7667741</vt:i4>
      </vt:variant>
      <vt:variant>
        <vt:i4>9</vt:i4>
      </vt:variant>
      <vt:variant>
        <vt:i4>0</vt:i4>
      </vt:variant>
      <vt:variant>
        <vt:i4>5</vt:i4>
      </vt:variant>
      <vt:variant>
        <vt:lpwstr>mailto:info-it@czechtourism.com</vt:lpwstr>
      </vt:variant>
      <vt:variant>
        <vt:lpwstr/>
      </vt:variant>
      <vt:variant>
        <vt:i4>4194430</vt:i4>
      </vt:variant>
      <vt:variant>
        <vt:i4>6</vt:i4>
      </vt:variant>
      <vt:variant>
        <vt:i4>0</vt:i4>
      </vt:variant>
      <vt:variant>
        <vt:i4>5</vt:i4>
      </vt:variant>
      <vt:variant>
        <vt:lpwstr>mailto:bratislava@czechtourism.com</vt:lpwstr>
      </vt:variant>
      <vt:variant>
        <vt:lpwstr/>
      </vt:variant>
      <vt:variant>
        <vt:i4>7143428</vt:i4>
      </vt:variant>
      <vt:variant>
        <vt:i4>3</vt:i4>
      </vt:variant>
      <vt:variant>
        <vt:i4>0</vt:i4>
      </vt:variant>
      <vt:variant>
        <vt:i4>5</vt:i4>
      </vt:variant>
      <vt:variant>
        <vt:lpwstr>mailto:info-pl@czechtourism.com</vt:lpwstr>
      </vt:variant>
      <vt:variant>
        <vt:lpwstr/>
      </vt:variant>
      <vt:variant>
        <vt:i4>4784236</vt:i4>
      </vt:variant>
      <vt:variant>
        <vt:i4>0</vt:i4>
      </vt:variant>
      <vt:variant>
        <vt:i4>0</vt:i4>
      </vt:variant>
      <vt:variant>
        <vt:i4>5</vt:i4>
      </vt:variant>
      <vt:variant>
        <vt:lpwstr>mailto:berlin@czechtourism.com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Členství OK v Asociaci měst pro cyklisty</dc:title>
  <dc:creator>p.heinisch@kr-olomoucky.cz</dc:creator>
  <cp:lastModifiedBy>Juránek Jiří</cp:lastModifiedBy>
  <cp:revision>2</cp:revision>
  <cp:lastPrinted>2014-11-12T11:50:00Z</cp:lastPrinted>
  <dcterms:created xsi:type="dcterms:W3CDTF">2019-09-03T06:03:00Z</dcterms:created>
  <dcterms:modified xsi:type="dcterms:W3CDTF">2019-09-03T06:03:00Z</dcterms:modified>
</cp:coreProperties>
</file>