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D7" w:rsidRDefault="00D57ED7" w:rsidP="00D57ED7">
      <w:pPr>
        <w:jc w:val="center"/>
        <w:rPr>
          <w:rFonts w:ascii="Calibri" w:hAnsi="Calibri"/>
          <w:b/>
          <w:sz w:val="40"/>
          <w:szCs w:val="40"/>
        </w:rPr>
      </w:pPr>
      <w:r w:rsidRPr="00396808">
        <w:rPr>
          <w:rFonts w:ascii="Calibri" w:hAnsi="Calibri"/>
          <w:b/>
          <w:sz w:val="40"/>
          <w:szCs w:val="40"/>
        </w:rPr>
        <w:t xml:space="preserve">Smlouva o </w:t>
      </w:r>
      <w:r>
        <w:rPr>
          <w:rFonts w:ascii="Calibri" w:hAnsi="Calibri"/>
          <w:b/>
          <w:sz w:val="40"/>
          <w:szCs w:val="40"/>
        </w:rPr>
        <w:t xml:space="preserve">zajištění železniční osobní dopravy mezikrajskými vlaky </w:t>
      </w:r>
    </w:p>
    <w:p w:rsidR="00D57ED7" w:rsidRPr="00396808" w:rsidRDefault="00D57ED7" w:rsidP="00D57ED7">
      <w:pPr>
        <w:jc w:val="center"/>
        <w:rPr>
          <w:rFonts w:ascii="Calibri" w:hAnsi="Calibri"/>
          <w:b/>
          <w:sz w:val="40"/>
          <w:szCs w:val="40"/>
        </w:rPr>
      </w:pPr>
    </w:p>
    <w:p w:rsidR="00D57ED7" w:rsidRPr="00D57ED7" w:rsidRDefault="00D57ED7" w:rsidP="00DE2C11">
      <w:pPr>
        <w:jc w:val="both"/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uzavřená níže uvedeného dne, měsíce a roku v souladu s ustanoveními § 24 zákona č. 129/2000 Sb., o krajích (krajské zřízení), ve znění pozdějších předpisů (dále jen „</w:t>
      </w:r>
      <w:r w:rsidRPr="00D57ED7">
        <w:rPr>
          <w:rFonts w:ascii="Arial" w:hAnsi="Arial" w:cs="Arial"/>
          <w:b/>
          <w:sz w:val="24"/>
          <w:szCs w:val="24"/>
        </w:rPr>
        <w:t>krajské zřízení</w:t>
      </w:r>
      <w:r w:rsidRPr="00D57ED7">
        <w:rPr>
          <w:rFonts w:ascii="Arial" w:hAnsi="Arial" w:cs="Arial"/>
          <w:sz w:val="24"/>
          <w:szCs w:val="24"/>
        </w:rPr>
        <w:t>“)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rPr>
          <w:rFonts w:ascii="Arial" w:hAnsi="Arial" w:cs="Arial"/>
          <w:b/>
          <w:sz w:val="24"/>
          <w:szCs w:val="24"/>
        </w:rPr>
      </w:pPr>
      <w:r w:rsidRPr="00D57ED7">
        <w:rPr>
          <w:rFonts w:ascii="Arial" w:hAnsi="Arial" w:cs="Arial"/>
          <w:b/>
          <w:sz w:val="24"/>
          <w:szCs w:val="24"/>
        </w:rPr>
        <w:t xml:space="preserve">Olomoucký kraj 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se sídlem na adrese: </w:t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 xml:space="preserve">Jeremenkova </w:t>
      </w:r>
      <w:r w:rsidR="007D52AF">
        <w:rPr>
          <w:rFonts w:ascii="Arial" w:hAnsi="Arial" w:cs="Arial"/>
          <w:sz w:val="24"/>
          <w:szCs w:val="24"/>
        </w:rPr>
        <w:t>1191/</w:t>
      </w:r>
      <w:r w:rsidRPr="00D57ED7">
        <w:rPr>
          <w:rFonts w:ascii="Arial" w:hAnsi="Arial" w:cs="Arial"/>
          <w:sz w:val="24"/>
          <w:szCs w:val="24"/>
        </w:rPr>
        <w:t xml:space="preserve">40a, </w:t>
      </w:r>
      <w:r w:rsidR="007D52AF">
        <w:rPr>
          <w:rFonts w:ascii="Arial" w:hAnsi="Arial" w:cs="Arial"/>
          <w:sz w:val="24"/>
          <w:szCs w:val="24"/>
        </w:rPr>
        <w:t xml:space="preserve">Hodolany, </w:t>
      </w:r>
      <w:r w:rsidRPr="00D57ED7">
        <w:rPr>
          <w:rFonts w:ascii="Arial" w:hAnsi="Arial" w:cs="Arial"/>
          <w:sz w:val="24"/>
          <w:szCs w:val="24"/>
        </w:rPr>
        <w:t xml:space="preserve">779 </w:t>
      </w:r>
      <w:r w:rsidR="007D52AF">
        <w:rPr>
          <w:rFonts w:ascii="Arial" w:hAnsi="Arial" w:cs="Arial"/>
          <w:sz w:val="24"/>
          <w:szCs w:val="24"/>
        </w:rPr>
        <w:t>00</w:t>
      </w:r>
      <w:r w:rsidRPr="00D57ED7">
        <w:rPr>
          <w:rFonts w:ascii="Arial" w:hAnsi="Arial" w:cs="Arial"/>
          <w:sz w:val="24"/>
          <w:szCs w:val="24"/>
        </w:rPr>
        <w:t xml:space="preserve"> Olomouc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IČO: </w:t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>60609460</w:t>
      </w:r>
    </w:p>
    <w:p w:rsidR="00D57ED7" w:rsidRPr="00D57ED7" w:rsidRDefault="00D57ED7" w:rsidP="00DE2C11">
      <w:pPr>
        <w:jc w:val="both"/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zastoupený Koordinátorem Integrovaného dopravního systému Olomouckého kraje, příspěvková organizace, na základě pověření plynoucího ze zřizovací listiny </w:t>
      </w:r>
      <w:r w:rsidR="00DE2C11">
        <w:rPr>
          <w:rFonts w:ascii="Arial" w:hAnsi="Arial" w:cs="Arial"/>
          <w:sz w:val="24"/>
          <w:szCs w:val="24"/>
        </w:rPr>
        <w:br/>
      </w:r>
      <w:r w:rsidRPr="00D57ED7">
        <w:rPr>
          <w:rFonts w:ascii="Arial" w:hAnsi="Arial" w:cs="Arial"/>
          <w:sz w:val="24"/>
          <w:szCs w:val="24"/>
        </w:rPr>
        <w:t>ze dne 1. 1. 2012 ve znění pozdějších dodatků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zastoupená</w:t>
      </w:r>
      <w:r w:rsidR="00DE2C11">
        <w:rPr>
          <w:rFonts w:ascii="Arial" w:hAnsi="Arial" w:cs="Arial"/>
          <w:sz w:val="24"/>
          <w:szCs w:val="24"/>
        </w:rPr>
        <w:t>:</w:t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 xml:space="preserve">Ing. Kateřinou Suchánkovou, </w:t>
      </w:r>
      <w:r w:rsidR="00863C68">
        <w:rPr>
          <w:rFonts w:ascii="Arial" w:hAnsi="Arial" w:cs="Arial"/>
          <w:sz w:val="24"/>
          <w:szCs w:val="24"/>
        </w:rPr>
        <w:t xml:space="preserve">MBA, </w:t>
      </w:r>
      <w:r w:rsidRPr="00D57ED7">
        <w:rPr>
          <w:rFonts w:ascii="Arial" w:hAnsi="Arial" w:cs="Arial"/>
          <w:sz w:val="24"/>
          <w:szCs w:val="24"/>
        </w:rPr>
        <w:t xml:space="preserve">ředitelkou organizace, 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se sídlem: </w:t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 xml:space="preserve">Jeremenkova 1211/40b, </w:t>
      </w:r>
      <w:r w:rsidR="00863C68">
        <w:rPr>
          <w:rFonts w:ascii="Arial" w:hAnsi="Arial" w:cs="Arial"/>
          <w:sz w:val="24"/>
          <w:szCs w:val="24"/>
        </w:rPr>
        <w:t xml:space="preserve">Hodolany, </w:t>
      </w:r>
      <w:r w:rsidRPr="00D57ED7">
        <w:rPr>
          <w:rFonts w:ascii="Arial" w:hAnsi="Arial" w:cs="Arial"/>
          <w:sz w:val="24"/>
          <w:szCs w:val="24"/>
        </w:rPr>
        <w:t>779 00 Olomouc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IČO: </w:t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>72556064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DIČ: </w:t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>CZ72556064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Bankovní spojení:</w:t>
      </w:r>
      <w:r w:rsidRPr="00D57ED7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>Komerční banka, a.s.</w:t>
      </w:r>
    </w:p>
    <w:p w:rsid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Číslo účtu:</w:t>
      </w:r>
      <w:r w:rsidRPr="00D57ED7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 xml:space="preserve">107-8577310237/0100 </w:t>
      </w:r>
    </w:p>
    <w:p w:rsidR="00DE2C11" w:rsidRPr="00D57ED7" w:rsidRDefault="00DE2C11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dále jen „Olk“ nebo „Olomoucký kraj“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a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rPr>
          <w:rFonts w:ascii="Arial" w:hAnsi="Arial" w:cs="Arial"/>
          <w:b/>
          <w:sz w:val="24"/>
          <w:szCs w:val="24"/>
        </w:rPr>
      </w:pPr>
      <w:r w:rsidRPr="00D57ED7">
        <w:rPr>
          <w:rFonts w:ascii="Arial" w:hAnsi="Arial" w:cs="Arial"/>
          <w:b/>
          <w:sz w:val="24"/>
          <w:szCs w:val="24"/>
        </w:rPr>
        <w:t>Pardubický kraj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zastoupený: </w:t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sz w:val="24"/>
          <w:szCs w:val="24"/>
        </w:rPr>
        <w:t>JUDr. Martinem Netolickým, Ph.D., hejtmanem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 xml:space="preserve">se sídlem na adrese: </w:t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color w:val="333333"/>
          <w:sz w:val="24"/>
          <w:szCs w:val="24"/>
        </w:rPr>
        <w:t>Komenského nám. 125, 532 11 Pardubice</w:t>
      </w:r>
    </w:p>
    <w:p w:rsidR="00D57ED7" w:rsidRPr="00D57ED7" w:rsidRDefault="00D57ED7" w:rsidP="00D57ED7">
      <w:pPr>
        <w:outlineLvl w:val="0"/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IČO:</w:t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="00DE2C11">
        <w:rPr>
          <w:rFonts w:ascii="Arial" w:hAnsi="Arial" w:cs="Arial"/>
          <w:sz w:val="24"/>
          <w:szCs w:val="24"/>
        </w:rPr>
        <w:tab/>
      </w:r>
      <w:r w:rsidRPr="00D57ED7">
        <w:rPr>
          <w:rFonts w:ascii="Arial" w:hAnsi="Arial" w:cs="Arial"/>
          <w:color w:val="333333"/>
          <w:sz w:val="24"/>
          <w:szCs w:val="24"/>
        </w:rPr>
        <w:t>70892822</w:t>
      </w:r>
    </w:p>
    <w:p w:rsidR="00D57ED7" w:rsidRPr="00D57ED7" w:rsidRDefault="00DE2C11" w:rsidP="00D57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57ED7" w:rsidRPr="00D57ED7">
        <w:rPr>
          <w:rFonts w:ascii="Arial" w:hAnsi="Arial" w:cs="Arial"/>
          <w:sz w:val="24"/>
          <w:szCs w:val="24"/>
        </w:rPr>
        <w:t>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7ED7" w:rsidRPr="00D57ED7">
        <w:rPr>
          <w:rFonts w:ascii="Arial" w:hAnsi="Arial" w:cs="Arial"/>
          <w:sz w:val="24"/>
          <w:szCs w:val="24"/>
        </w:rPr>
        <w:t>Komerční banka, a.s., pobočka Pardubice</w:t>
      </w:r>
    </w:p>
    <w:p w:rsidR="00D57ED7" w:rsidRDefault="00DE2C11" w:rsidP="00D57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</w:t>
      </w:r>
      <w:r w:rsidR="00D57ED7" w:rsidRPr="00D57ED7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čtu</w:t>
      </w:r>
      <w:r w:rsidR="00D57ED7" w:rsidRPr="00D57E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7ED7" w:rsidRPr="00D57ED7">
        <w:rPr>
          <w:rFonts w:ascii="Arial" w:hAnsi="Arial" w:cs="Arial"/>
          <w:sz w:val="24"/>
          <w:szCs w:val="24"/>
        </w:rPr>
        <w:t>107-1752200237/0100</w:t>
      </w:r>
    </w:p>
    <w:p w:rsidR="00DE2C11" w:rsidRPr="00D57ED7" w:rsidRDefault="00DE2C11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dále jen „Pk“ nebo „Pardubický kraj“</w:t>
      </w: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jc w:val="center"/>
        <w:rPr>
          <w:rFonts w:ascii="Arial" w:hAnsi="Arial" w:cs="Arial"/>
          <w:sz w:val="24"/>
          <w:szCs w:val="24"/>
        </w:rPr>
      </w:pPr>
      <w:r w:rsidRPr="00D57ED7">
        <w:rPr>
          <w:rFonts w:ascii="Arial" w:hAnsi="Arial" w:cs="Arial"/>
          <w:sz w:val="24"/>
          <w:szCs w:val="24"/>
        </w:rPr>
        <w:t>se vzhledem k tomu, že</w:t>
      </w:r>
    </w:p>
    <w:p w:rsidR="00D57ED7" w:rsidRPr="00D57ED7" w:rsidRDefault="00D57ED7" w:rsidP="00D57ED7">
      <w:pPr>
        <w:jc w:val="center"/>
        <w:rPr>
          <w:rFonts w:ascii="Arial" w:hAnsi="Arial" w:cs="Arial"/>
          <w:sz w:val="24"/>
          <w:szCs w:val="24"/>
        </w:rPr>
      </w:pPr>
    </w:p>
    <w:p w:rsidR="00D57ED7" w:rsidRPr="00D57ED7" w:rsidRDefault="00D57ED7" w:rsidP="00D57ED7">
      <w:pPr>
        <w:jc w:val="center"/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dne 21.5.2016 byl v Úředním věstníku Evropské unie v souladu s čl. 7 odst. 2 nař. EP a Rady (ES) č. 1370/2007 uveřejněn záměr Pardubického kraje uzavřít smlouvu o veřejných službách v přepravě cestujících na železnici na základě přímého zadání na provozování části drážní osobní dopravy po železnici s dobou plnění od 12/2018,</w:t>
      </w:r>
    </w:p>
    <w:p w:rsidR="00696307" w:rsidRPr="00E74409" w:rsidRDefault="00696307" w:rsidP="00696307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lastRenderedPageBreak/>
        <w:t>dne 9. 6. 2017 byl v Úředním věstníku Evropské unie v souladu s čl. 7 odst. 2 nař. EP a Rady (ES) č. 1370/2007 uveřejněn záměr Olomouckého kraje uzavřít smlouvu o veřejných službách v přepravě cestujících na železnici na základě přímého zadání na provozování části drážní osobní dopravy po železnici s dobou plnění od 1. 1. 2020.</w:t>
      </w:r>
    </w:p>
    <w:p w:rsidR="00696307" w:rsidRPr="00E74409" w:rsidRDefault="00696307" w:rsidP="00696307">
      <w:pPr>
        <w:pStyle w:val="Odstavecseseznamem"/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jak Pk, tak Olk hradí dopravcům kompenzaci ztráty při zajišťování dopravní obslužnosti svých území na příslušné délce vlaků, na jejichž provozu mají zájem, </w:t>
      </w:r>
      <w:r w:rsidRPr="00E74409">
        <w:rPr>
          <w:rFonts w:ascii="Arial" w:hAnsi="Arial" w:cs="Arial"/>
          <w:sz w:val="24"/>
          <w:szCs w:val="24"/>
        </w:rPr>
        <w:br/>
        <w:t>na základě samostatných smluv s dopravci,</w:t>
      </w:r>
    </w:p>
    <w:p w:rsidR="00696307" w:rsidRPr="00E74409" w:rsidRDefault="00696307" w:rsidP="00696307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některé vlaky regionální železniční osobní dopravy objednávané smluvními stranami mají být provozovány přes hranice Pk a Olk a má jimi být nadále zajišťována dopravní obslužnost jak Pardubického kraje, tak Olomouckého kraje (dále jen „mezikrajské vlaky“),</w:t>
      </w:r>
    </w:p>
    <w:p w:rsidR="00696307" w:rsidRPr="00E74409" w:rsidRDefault="00696307" w:rsidP="00696307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s ohledem na komfort cestujících se jeví jako nevhodné, aby byl provoz přes hranice Pardubického kraje a Olomouckého kraje zajišťován s nutností přestupu či dvojího odbavení cestujících,</w:t>
      </w:r>
    </w:p>
    <w:p w:rsidR="00696307" w:rsidRPr="00E74409" w:rsidRDefault="00696307" w:rsidP="00696307">
      <w:pPr>
        <w:pStyle w:val="Odstavecseseznamem"/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Pk i Olk mají zájem na rozvoji svých území přilehlých k hranicím sousedního kraje a při vědomí spádovosti obcí na území jednoho kraje do obcí na území druhého kraje a naopak,</w:t>
      </w:r>
    </w:p>
    <w:p w:rsidR="00696307" w:rsidRPr="00E74409" w:rsidRDefault="00696307" w:rsidP="00CE429E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jc w:val="center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dohodly takto: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I.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Předmět a účel smlouvy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</w:p>
    <w:p w:rsidR="00696307" w:rsidRPr="00E74409" w:rsidRDefault="00696307" w:rsidP="00696307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Předmětem této smlouvy je definice základních principů fungování spolupráce Pk </w:t>
      </w:r>
      <w:r w:rsidRPr="00E74409">
        <w:rPr>
          <w:rFonts w:ascii="Arial" w:hAnsi="Arial" w:cs="Arial"/>
          <w:sz w:val="24"/>
          <w:szCs w:val="24"/>
        </w:rPr>
        <w:br/>
        <w:t>a Olk za účelem zajištění dopravní obslužnosti obou krajů regionální železniční osobní dopravou mezikrajskými vlaky.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II.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Objednávka mezikrajských vlaků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t xml:space="preserve">Pardubický kraj se zavazuje, že nejpozději od 15. 12. 2019 objedná regionální železniční osobní dopravu na trati č. 017 v úseku hr. VÚSC Pk/Olk – Dzbel, na trati č. 025 v úseku hr. VÚSC Pk/Olk – Hanušovice (Olk), na trati č. 270 v úseku hr. VÚSC Pk/Olk – Zábřeh na Moravě (Olk), a to dle rámcového jízdního řádu </w:t>
      </w:r>
      <w:r w:rsidR="00B53491">
        <w:rPr>
          <w:rFonts w:ascii="Arial" w:hAnsi="Arial" w:cs="Arial"/>
        </w:rPr>
        <w:br/>
      </w:r>
      <w:r w:rsidRPr="00E74409">
        <w:rPr>
          <w:rFonts w:ascii="Arial" w:hAnsi="Arial" w:cs="Arial"/>
        </w:rPr>
        <w:t>a dalších podmínek, které jsou uvedeny v příloze č. 1 smlouvy.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  <w:r w:rsidRPr="00E74409">
        <w:rPr>
          <w:rFonts w:ascii="Arial" w:hAnsi="Arial" w:cs="Arial"/>
        </w:rPr>
        <w:t>Olomoucký kraj se zavazuje, že nejpozději od 1. 1. 2020 objedná regionální železniční osobní dopravu na trati č. 017 v úseku hr. VÚSC Olk/Pk – Moravská Třebová.</w:t>
      </w:r>
    </w:p>
    <w:p w:rsidR="00696307" w:rsidRPr="00E74409" w:rsidRDefault="00696307" w:rsidP="00363B09">
      <w:pPr>
        <w:pStyle w:val="Barevnseznamzvraznn11"/>
        <w:ind w:left="0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lastRenderedPageBreak/>
        <w:t>Časové polohy vlaků a rozsah dopravy jsou uvedeny v příloze č. 1 této smlouvy. Konkrétní časové polohy mezikrajských vlaků v následujících obdobích platnosti jízdních řádů po dobu účinnosti této smlouvy budou stanoveny provozovatelem dráhy při tvorbě jízdních řádů či jejich změn s tím, že výchozím dokumentem bude příloha č. 1 s přihlédnutím k zajištění návaznosti na další vlakové a autobusové linky. Pk a Olk se zavazují, že objednávky dopravních výkonů budou prováděny v obdobném provozním konceptu, jaký je uveden v příloze č. 1, nepoužije-li se postup podle odst. 3 tohoto článku.</w:t>
      </w:r>
    </w:p>
    <w:p w:rsidR="00696307" w:rsidRPr="00E74409" w:rsidRDefault="00696307" w:rsidP="00696307">
      <w:pPr>
        <w:pStyle w:val="Barevnseznamzvraznn11"/>
        <w:ind w:left="0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t xml:space="preserve">V případě, že jedna ze smluvních stran bude požadovat změny časových poloh </w:t>
      </w:r>
      <w:r w:rsidRPr="00E74409">
        <w:rPr>
          <w:rFonts w:ascii="Arial" w:hAnsi="Arial" w:cs="Arial"/>
        </w:rPr>
        <w:br/>
        <w:t>a zastavení vlaků, vyvolá jednání s druhou smluvní stranou. Změna časových poloh bude realizována, pokud se obě smluvní strany na takové změně dohodnou. Informaci o zamýšlených časových polohách a zastaveních vlaků jsou si smluvní strany povinny poskytnout nejpozději 12 měsíců před realizací změn, pokud se smluvní strany nedohodnou jinak.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t>PK se zavazuje neprodleně informovat Olk o skutečnosti, že kapacitu dopravní cesty týkající se vlaků na dopravních výkonech nebude možné přidělit v souladu dohodnutým provozním konceptem, jakmile se o této skutečnosti dozví. Pk se zavazuje přizvat Olk k následným jednáním s dopravcem a provozovatelem dráhy. Stejně tak se Olk zavazuje neprodleně informovat Pk o skutečnosti, že kapacitu dopravní cesty týkající se vlaků na dopravních výkonech nebude možné přidělit v souladu dohodnutým provozním konceptem, jakmile se o této skutečnosti dozví. Olk se zavazuje přizvat Pk k následným jednáním s dopravcem a provozovatelem dráhy.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Pk se zavazuje zapracovat do připravované smlouvy o veřejných službách podmínku, že dopravce je povinen mít po celou dobu plnění smlouvy uzavřenou s Olk smlouvu o podmínkách přepravy a zajištění činností s provozováním IDSOK (dále jen „Smlouva IDS“), a to o minimální délce trvání jako je délka trvání připravované smlouvy o veřejných službách uzavíraná Pk. Olk se zavazuje uzavřít s dopravcem Leo Express Tenders s.r.o., IČ 24848131, smlouvu o podmínkách přepravy a zajištění činností s provozováním IDSOK.</w:t>
      </w:r>
    </w:p>
    <w:p w:rsidR="00696307" w:rsidRPr="00E74409" w:rsidRDefault="00696307" w:rsidP="00CE429E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Olk se zavazuje zapracovat do připravované smlouvy o veřejných službách podmínku, že dopravce je povinen mít po celou dobu plnění smlouvy uzavřenou s Pk smlouvu o podmínkách přepravy a zajištění činností s provozováním IDS IREDO (dále jen „Smlouva IDS IREDO“), a to o minimální délce trvání jako je délka trvání připravované smlouvy o veřejných službách uzavíraná Olk.</w:t>
      </w:r>
    </w:p>
    <w:p w:rsidR="00696307" w:rsidRPr="00E74409" w:rsidRDefault="00696307" w:rsidP="00696307">
      <w:pPr>
        <w:pStyle w:val="Odstavecseseznamem"/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III.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Tarif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pStyle w:val="Textkomente"/>
        <w:numPr>
          <w:ilvl w:val="0"/>
          <w:numId w:val="19"/>
        </w:numPr>
        <w:rPr>
          <w:rFonts w:ascii="Arial" w:hAnsi="Arial" w:cs="Arial"/>
          <w:sz w:val="24"/>
          <w:szCs w:val="24"/>
          <w:lang w:val="cs-CZ"/>
        </w:rPr>
      </w:pPr>
      <w:r w:rsidRPr="00E74409">
        <w:rPr>
          <w:rFonts w:ascii="Arial" w:hAnsi="Arial" w:cs="Arial"/>
          <w:sz w:val="24"/>
          <w:szCs w:val="24"/>
          <w:lang w:val="cs-CZ"/>
        </w:rPr>
        <w:t>Pk se zavazuje zajistit minimálně stávající územní platnost tarifu IDSOK a Smluvních přepravních podmínek IDSOK, tzn. na území Olomouckého kraje a na celém úseku trati č. 025.</w:t>
      </w:r>
    </w:p>
    <w:p w:rsidR="00696307" w:rsidRPr="00E74409" w:rsidRDefault="00696307" w:rsidP="00696307">
      <w:pPr>
        <w:pStyle w:val="Textkomente"/>
        <w:numPr>
          <w:ilvl w:val="0"/>
          <w:numId w:val="19"/>
        </w:numPr>
        <w:rPr>
          <w:rFonts w:ascii="Arial" w:hAnsi="Arial" w:cs="Arial"/>
          <w:sz w:val="24"/>
          <w:szCs w:val="24"/>
          <w:lang w:val="cs-CZ"/>
        </w:rPr>
      </w:pPr>
      <w:r w:rsidRPr="00E74409">
        <w:rPr>
          <w:rFonts w:ascii="Arial" w:hAnsi="Arial" w:cs="Arial"/>
          <w:sz w:val="24"/>
          <w:szCs w:val="24"/>
          <w:lang w:val="cs-CZ"/>
        </w:rPr>
        <w:lastRenderedPageBreak/>
        <w:t>Olk se zavazuje zajistit minimálně stávající územní platnost tarifu IDS IREDO a Smluvních přepravních podmínek IDS IREDO, tzn. na území Pk, a na celém úseku trati č. 025.</w:t>
      </w:r>
    </w:p>
    <w:p w:rsidR="00696307" w:rsidRPr="00E74409" w:rsidRDefault="00696307" w:rsidP="00696307">
      <w:pPr>
        <w:pStyle w:val="Barevnseznamzvraznn11"/>
        <w:numPr>
          <w:ilvl w:val="0"/>
          <w:numId w:val="19"/>
        </w:numPr>
        <w:rPr>
          <w:rFonts w:ascii="Arial" w:hAnsi="Arial" w:cs="Arial"/>
        </w:rPr>
      </w:pPr>
      <w:r w:rsidRPr="00E74409">
        <w:rPr>
          <w:rFonts w:ascii="Arial" w:hAnsi="Arial" w:cs="Arial"/>
        </w:rPr>
        <w:t xml:space="preserve">Smluvní strany se zavazují, že pro vnitrokrajské cesty, případně pro cesty uvnitř daného integrovaného systému bude platit jízdné příslušného integrovaného systému, dále jízdné stanovené příslušným krajem a dopravcem, případně jednotný tarif připravovaný Ministerstvem dopravy ČR. Pro mezikrajské cesty pak bude moci cestující využít kombinaci obou výše uvedených tarifů, tarifu dopravce, případně jednotný tarif připravovaný Ministerstvem dopravy ČR. 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IV.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Princip finančního vypořádání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t>Olomoucký kraj je povinen uhradit Pk kompenzaci za zajištění dopravní obslužnosti na území Olk (dále jako „Olomoucká kompenzace“), a to dle pravidel stanovených touto smlouvou.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0"/>
        </w:numPr>
        <w:rPr>
          <w:rFonts w:ascii="Arial" w:hAnsi="Arial" w:cs="Arial"/>
        </w:rPr>
      </w:pPr>
      <w:r w:rsidRPr="00E74409">
        <w:rPr>
          <w:rFonts w:ascii="Arial" w:hAnsi="Arial" w:cs="Arial"/>
        </w:rPr>
        <w:t>Pardubický kraj je povinen uhradit Olk kompenzaci za zajištění dopravní obslužnosti na území Pk (dále jako „Pardubická kompenzace“), a to dle pravidel stanovených touto smlouvou.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0"/>
        </w:numPr>
        <w:rPr>
          <w:rFonts w:ascii="Arial" w:hAnsi="Arial" w:cs="Arial"/>
        </w:rPr>
      </w:pPr>
      <w:r w:rsidRPr="00E74409">
        <w:rPr>
          <w:rFonts w:ascii="Arial" w:hAnsi="Arial" w:cs="Arial"/>
        </w:rPr>
        <w:t xml:space="preserve">Smluvní strany se dohodly, že výše Olomoucké kompenzace bude vycházet z výchozího finančního modelu dopravce pro úsek přeshraniční linky pro příslušný jízdní řád, přičemž Olomoucká kompenzace bude odpovídat pouze dopravním výkonům uskutečněným na daném úseku přeshraniční linky na území Olk. </w:t>
      </w:r>
    </w:p>
    <w:p w:rsidR="00696307" w:rsidRPr="00E74409" w:rsidRDefault="00696307" w:rsidP="00696307">
      <w:pPr>
        <w:pStyle w:val="Barevnseznamzvraznn11"/>
        <w:ind w:left="0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t>Smluvní strany se dohodly, že výše Pardubické kompenzace bude vycházet z nabídky dopravce v rámci nabídkového řízení na danou mezikrajskou linku, a to v poměru výkonů ujetých na území Pk, který má na dopravní obslužnost přispívat Olk. V případě přímého zadání se bude postupovat obdobně s tím, že základním podkladem bude výchozí finanční model dopravce na přeshraniční linku pro příslušný jízdní řád.</w:t>
      </w:r>
    </w:p>
    <w:p w:rsidR="00696307" w:rsidRPr="00E74409" w:rsidRDefault="00696307" w:rsidP="00DB6FEB">
      <w:pPr>
        <w:pStyle w:val="Barevnseznamzvraznn11"/>
        <w:ind w:left="0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0"/>
        </w:numPr>
        <w:rPr>
          <w:rFonts w:ascii="Arial" w:hAnsi="Arial" w:cs="Arial"/>
        </w:rPr>
      </w:pPr>
      <w:r w:rsidRPr="00E74409">
        <w:rPr>
          <w:rFonts w:ascii="Arial" w:hAnsi="Arial" w:cs="Arial"/>
        </w:rPr>
        <w:t>Smluvní strany se dohodly, že k úpravě výše Olomoucké kompenzace a Pardubické kompenzace v průběhu účinnosti této smlouvy dojde v následujících případech:</w:t>
      </w:r>
    </w:p>
    <w:p w:rsidR="00696307" w:rsidRPr="00E74409" w:rsidRDefault="00696307" w:rsidP="00696307">
      <w:pPr>
        <w:pStyle w:val="Barevnseznamzvraznn11"/>
        <w:ind w:left="0"/>
        <w:rPr>
          <w:rFonts w:ascii="Arial" w:hAnsi="Arial" w:cs="Arial"/>
        </w:rPr>
      </w:pPr>
    </w:p>
    <w:p w:rsidR="00696307" w:rsidRPr="00E74409" w:rsidRDefault="00696307" w:rsidP="00696307">
      <w:pPr>
        <w:pStyle w:val="Odstavecseseznamem1"/>
        <w:numPr>
          <w:ilvl w:val="0"/>
          <w:numId w:val="26"/>
        </w:numPr>
        <w:shd w:val="clear" w:color="auto" w:fill="FFFFFF"/>
        <w:suppressAutoHyphens/>
        <w:ind w:left="1418" w:hanging="709"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t xml:space="preserve">v důsledku změny rozsahu objednaných dopravních výkonů, </w:t>
      </w:r>
    </w:p>
    <w:p w:rsidR="00696307" w:rsidRPr="00E74409" w:rsidRDefault="00696307" w:rsidP="00696307">
      <w:pPr>
        <w:pStyle w:val="Odstavecseseznamem1"/>
        <w:numPr>
          <w:ilvl w:val="0"/>
          <w:numId w:val="26"/>
        </w:numPr>
        <w:shd w:val="clear" w:color="auto" w:fill="FFFFFF"/>
        <w:suppressAutoHyphens/>
        <w:ind w:left="1418" w:hanging="709"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t>v důsledku změny cenové hladiny, případně jiných cenových doložek sjednaných s dopravcem ve smlouvě o veřejných službách,</w:t>
      </w:r>
    </w:p>
    <w:p w:rsidR="00696307" w:rsidRPr="00E74409" w:rsidRDefault="00696307" w:rsidP="00696307">
      <w:pPr>
        <w:pStyle w:val="Odstavecseseznamem1"/>
        <w:numPr>
          <w:ilvl w:val="0"/>
          <w:numId w:val="26"/>
        </w:numPr>
        <w:shd w:val="clear" w:color="auto" w:fill="FFFFFF"/>
        <w:suppressAutoHyphens/>
        <w:ind w:left="1418" w:hanging="709"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t xml:space="preserve">v důsledku změny výše poplatků za dopravní cestu, </w:t>
      </w:r>
    </w:p>
    <w:p w:rsidR="00696307" w:rsidRPr="00E74409" w:rsidRDefault="00696307" w:rsidP="00696307">
      <w:pPr>
        <w:pStyle w:val="Odstavecseseznamem1"/>
        <w:numPr>
          <w:ilvl w:val="0"/>
          <w:numId w:val="26"/>
        </w:numPr>
        <w:shd w:val="clear" w:color="auto" w:fill="FFFFFF"/>
        <w:suppressAutoHyphens/>
        <w:ind w:left="1418" w:hanging="709"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t>v důsledku zavedení poplatku za využívání veřejné přístupných prostor,</w:t>
      </w:r>
    </w:p>
    <w:p w:rsidR="00696307" w:rsidRPr="00E74409" w:rsidRDefault="00696307" w:rsidP="00696307">
      <w:pPr>
        <w:pStyle w:val="Odstavecseseznamem1"/>
        <w:numPr>
          <w:ilvl w:val="0"/>
          <w:numId w:val="26"/>
        </w:numPr>
        <w:shd w:val="clear" w:color="auto" w:fill="FFFFFF"/>
        <w:suppressAutoHyphens/>
        <w:ind w:left="1418" w:hanging="709"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t>v důsledku změny nasazovaných vozidel,</w:t>
      </w:r>
    </w:p>
    <w:p w:rsidR="00696307" w:rsidRPr="00E74409" w:rsidRDefault="00696307" w:rsidP="00696307">
      <w:pPr>
        <w:pStyle w:val="Odstavecseseznamem1"/>
        <w:numPr>
          <w:ilvl w:val="0"/>
          <w:numId w:val="26"/>
        </w:numPr>
        <w:shd w:val="clear" w:color="auto" w:fill="FFFFFF"/>
        <w:suppressAutoHyphens/>
        <w:ind w:left="1418" w:hanging="709"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t>v důsledku dovybavení vozidel vlakovým zabezpečovačem ETCS,</w:t>
      </w:r>
    </w:p>
    <w:p w:rsidR="00696307" w:rsidRPr="00E74409" w:rsidRDefault="00696307" w:rsidP="00696307">
      <w:pPr>
        <w:pStyle w:val="Odstavecseseznamem1"/>
        <w:numPr>
          <w:ilvl w:val="0"/>
          <w:numId w:val="26"/>
        </w:numPr>
        <w:shd w:val="clear" w:color="auto" w:fill="FFFFFF"/>
        <w:suppressAutoHyphens/>
        <w:ind w:left="1418" w:hanging="709"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lastRenderedPageBreak/>
        <w:t>z důvodu změny daňových či jiných souvisejících právních předpisů.</w:t>
      </w:r>
    </w:p>
    <w:p w:rsidR="00696307" w:rsidRPr="00E665AC" w:rsidRDefault="00696307" w:rsidP="00E665AC">
      <w:pPr>
        <w:pStyle w:val="Barevnseznamzvraznn11"/>
        <w:ind w:left="0"/>
        <w:rPr>
          <w:rFonts w:ascii="Arial" w:hAnsi="Arial" w:cs="Arial"/>
        </w:rPr>
      </w:pPr>
    </w:p>
    <w:p w:rsidR="00696307" w:rsidRPr="00E74409" w:rsidRDefault="00696307" w:rsidP="00696307">
      <w:pPr>
        <w:pStyle w:val="Odstavecseseznamem1"/>
        <w:numPr>
          <w:ilvl w:val="0"/>
          <w:numId w:val="20"/>
        </w:numPr>
        <w:shd w:val="clear" w:color="auto" w:fill="FFFFFF"/>
        <w:suppressAutoHyphens/>
        <w:jc w:val="both"/>
        <w:rPr>
          <w:rFonts w:ascii="Arial" w:hAnsi="Arial" w:cs="Arial"/>
          <w:spacing w:val="-1"/>
          <w:sz w:val="24"/>
          <w:szCs w:val="24"/>
        </w:rPr>
      </w:pPr>
      <w:r w:rsidRPr="00E74409">
        <w:rPr>
          <w:rFonts w:ascii="Arial" w:hAnsi="Arial" w:cs="Arial"/>
          <w:spacing w:val="-1"/>
          <w:sz w:val="24"/>
          <w:szCs w:val="24"/>
        </w:rPr>
        <w:t>Výše Olomoucké kompenzace a Pardubické kompenzace bude vypočtena jako součin ceny za 1 vlakový kilometr dle finančního modelu pro danou trať a plánovaného počtu ujetých vlakových kilometrů na území sousedního kraje za období příslušného jízdního řádu.</w:t>
      </w:r>
    </w:p>
    <w:p w:rsidR="00696307" w:rsidRPr="00E74409" w:rsidRDefault="00696307" w:rsidP="00696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V.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Práva a povinnosti smluvních stran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1"/>
        </w:numPr>
        <w:ind w:left="360"/>
        <w:rPr>
          <w:rFonts w:ascii="Arial" w:hAnsi="Arial" w:cs="Arial"/>
        </w:rPr>
      </w:pPr>
      <w:r w:rsidRPr="00E74409">
        <w:rPr>
          <w:rFonts w:ascii="Arial" w:hAnsi="Arial" w:cs="Arial"/>
        </w:rPr>
        <w:t>Olomoucký kraj se zavazuje, že uzavře s Pk dodatek této smlouvy řešící konkrétní výši Olomoucké kompenzace dle čl. IV odst. 6 za zajištění dopravní obslužnosti veřejnou drážní dopravou na území Olk dle pravidel stanovených touto smlouvou, a to nejpozději do 6 měsíců od doručení výzvy Pk k uzavření dodatku, přičemž výzva může být zaslána druhé smluvní straně nejdříve po zveřejnění návrhu jízdních řádů.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1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t>Pardubický kraj se zavazuje, že uzavře s Olk dodatek této smlouvy řešící konkrétní výši Pardubické kompenzace dle čl. IV odst. 6 za zajištění dopravní obslužnosti veřejnou drážní dopravou na území Pk dle pravidel stanovených touto smlouvou, a to nejpozději do 6 měsíců od doručení výzvy Olk k uzavření dodatku, přičemž výzva může být zaslána druhé smluvní straně nejdříve po zveřejnění návrhu jízdních řádů.</w:t>
      </w:r>
    </w:p>
    <w:p w:rsidR="00696307" w:rsidRPr="00E74409" w:rsidRDefault="00696307" w:rsidP="00696307">
      <w:pPr>
        <w:pStyle w:val="Barevnseznamzvraznn11"/>
        <w:ind w:left="426"/>
        <w:rPr>
          <w:rFonts w:ascii="Arial" w:hAnsi="Arial" w:cs="Arial"/>
          <w:highlight w:val="yellow"/>
        </w:rPr>
      </w:pPr>
    </w:p>
    <w:p w:rsidR="00696307" w:rsidRPr="00E74409" w:rsidRDefault="00696307" w:rsidP="00696307">
      <w:pPr>
        <w:pStyle w:val="Barevnseznamzvraznn11"/>
        <w:numPr>
          <w:ilvl w:val="0"/>
          <w:numId w:val="21"/>
        </w:numPr>
        <w:ind w:left="426" w:hanging="426"/>
        <w:rPr>
          <w:rFonts w:ascii="Arial" w:hAnsi="Arial" w:cs="Arial"/>
        </w:rPr>
      </w:pPr>
      <w:r w:rsidRPr="00E74409">
        <w:rPr>
          <w:rFonts w:ascii="Arial" w:hAnsi="Arial" w:cs="Arial"/>
        </w:rPr>
        <w:t>Dodatek smlouvy dle odst. 1 a 2 tohoto článku bude řešit i detailní technické podmínky spolupráce, a to v souladu se základními principy stanovenými v této smlouvě.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VI.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Výkazy</w:t>
      </w:r>
    </w:p>
    <w:p w:rsidR="00696307" w:rsidRPr="00E74409" w:rsidRDefault="00696307" w:rsidP="00696307">
      <w:pPr>
        <w:suppressAutoHyphens/>
        <w:spacing w:line="100" w:lineRule="atLeast"/>
        <w:jc w:val="center"/>
        <w:rPr>
          <w:rFonts w:ascii="Arial" w:eastAsia="SimSun" w:hAnsi="Arial" w:cs="Arial"/>
          <w:b/>
          <w:sz w:val="24"/>
          <w:szCs w:val="24"/>
          <w:highlight w:val="yellow"/>
          <w:lang w:eastAsia="ar-SA"/>
        </w:rPr>
      </w:pPr>
    </w:p>
    <w:p w:rsidR="00696307" w:rsidRPr="00E74409" w:rsidRDefault="00696307" w:rsidP="00696307">
      <w:pPr>
        <w:numPr>
          <w:ilvl w:val="0"/>
          <w:numId w:val="22"/>
        </w:numPr>
        <w:shd w:val="clear" w:color="auto" w:fill="FFFFFF"/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Pk se zavazuje, že v rámci smlouvy o veřejných službách s železničním dopravcem zajistí, že tento bude vytvářet a předávat Pk následující výkazy a údaje související se zajištěním dopravní obslužnosti území sousedního kraje s tím, že Pk je bude moci předat Olomouckému kraji minimálně v rozsahu: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 obsahující skutečně dosaženou výši nákladů a výnosů na příslušné mezikrajské lince zpracovaný ve struktuře stanovené v příloze č. 3 vyhlášky č. 296/2010 Sb., o postupech pro sestavení finančního modelu a určení maximální výše kompenzace (dále jen „Vyhláška 296“), a to pouze pro smlouvu o veřejných službách uzavřenou přímým zadáním;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Výkaz, obsahující skutečnou hodnotu provozních aktiv pro příslušnou mezikrajskou linku, zpracovaný ve struktuře stanovené v příloze č. 6 Vyhlášky 296, a to pouze pro smlouvu o veřejných službách uzavřenou přímým zadáním;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27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 xml:space="preserve">Vyúčtování Olomoucké kompenzace pro příslušnou mezikrajskou linku, a to </w:t>
      </w:r>
      <w:r w:rsidRPr="00E74409">
        <w:rPr>
          <w:rFonts w:ascii="Arial" w:eastAsia="SimSun" w:hAnsi="Arial" w:cs="Arial"/>
          <w:sz w:val="24"/>
          <w:szCs w:val="24"/>
          <w:lang w:eastAsia="ar-SA"/>
        </w:rPr>
        <w:lastRenderedPageBreak/>
        <w:t>pouze pro smlouvu uzavřenou na základě nabídkového řízení;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27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Podklady dokládající výpočet výše Olomoucké</w:t>
      </w:r>
      <w:r w:rsidRPr="00E74409" w:rsidDel="00111537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E74409">
        <w:rPr>
          <w:rFonts w:ascii="Arial" w:eastAsia="SimSun" w:hAnsi="Arial" w:cs="Arial"/>
          <w:sz w:val="24"/>
          <w:szCs w:val="24"/>
          <w:lang w:eastAsia="ar-SA"/>
        </w:rPr>
        <w:t>kompenzace;</w:t>
      </w:r>
    </w:p>
    <w:p w:rsidR="00696307" w:rsidRPr="00E74409" w:rsidRDefault="00696307" w:rsidP="00B66813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 w:hanging="426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Údaje z pravidelných průzkumů frekvence cestujících uskutečněných na mezikrajských vlacích, které budou prováděny minimálně 6krát za rok (leden, březen, červen, srpen, říjen a prosinec), a to vždy v průběhu minimálně 7 za sebou jdoucích kalendářních dnů;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Výkazy uskutečněných dopravních výkonů;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Datový nosič se služebními pomůckami zpracovaný dopravcem;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Výkazy mimořádného nasazení a rozsahu mimořádných výkonů;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Výkazy související s problematikou sledování provozních nepravidelností.</w:t>
      </w:r>
    </w:p>
    <w:p w:rsidR="00696307" w:rsidRPr="00D105C5" w:rsidRDefault="00696307" w:rsidP="00D105C5">
      <w:pPr>
        <w:pStyle w:val="Barevnseznamzvraznn11"/>
        <w:ind w:left="426"/>
        <w:rPr>
          <w:rFonts w:ascii="Arial" w:hAnsi="Arial" w:cs="Arial"/>
          <w:highlight w:val="yellow"/>
        </w:rPr>
      </w:pPr>
    </w:p>
    <w:p w:rsidR="00696307" w:rsidRPr="00E74409" w:rsidRDefault="00696307" w:rsidP="00696307">
      <w:pPr>
        <w:numPr>
          <w:ilvl w:val="0"/>
          <w:numId w:val="22"/>
        </w:numPr>
        <w:shd w:val="clear" w:color="auto" w:fill="FFFFFF"/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Olk se zavazuje, že v rámci smlouvy o veřejných službách s železničním dopravcem zajistí, že tento bude vytvářet a předávat Olk následující výkazy a údaje související se zajištěním dopravní obslužnosti území sousedního kraje s tím, že Olk je bude moci předat Pardubickému kraji minimálně v rozsahu: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 obsahující skutečně dosaženou výši nákladů a výnosů na příslušné mezikrajské lince zpracovaný ve struktuře stanovené v příloze č. 3 vyhlášky č. 296/2010 Sb., o postupech pro sestavení finančního modelu a určení maximální výše kompenzace (dále jen „Vyhláška 296“), a to pouze pro smlouvu o veřejných službách uzavřenou přímým zadáním;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Výkaz, obsahující skutečnou hodnotu provozních aktiv pro příslušnou mezikrajskou linku, zpracovaný ve struktuře stanovené v příloze č. 6 Vyhlášky 296, a to pouze pro smlouvu o veřejných službách uzavřenou přímým zadáním;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Vyúčtování Pardubické kompenzace pro příslušnou mezikrajskou linku, a to pouze pro smlouvu uzavřenou na základě nabídkového řízení;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Podklady dokládající výpočet výše Pardubické kompenzace;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Údaje z pravidelných průzkumů frekvence cestujících uskutečněných na mezikrajských vlacích, které budou prováděny minimálně 6krát za rok (leden, březen, červen, srpen, říjen a prosinec), a to vždy v průběhu minimálně 7 za sebou jdoucích kalendářních dnů;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Výkazy uskutečněných dopravních výkonů;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Datový nosič se služebními pomůckami zpracovaný dopravcem;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Výkazy mimořádného nasazení a rozsahu mimořádných výkonů;</w:t>
      </w:r>
    </w:p>
    <w:p w:rsidR="00696307" w:rsidRPr="00E74409" w:rsidRDefault="00696307" w:rsidP="00696307">
      <w:pPr>
        <w:widowControl w:val="0"/>
        <w:numPr>
          <w:ilvl w:val="1"/>
          <w:numId w:val="22"/>
        </w:numPr>
        <w:shd w:val="clear" w:color="auto" w:fill="FFFFFF"/>
        <w:tabs>
          <w:tab w:val="clear" w:pos="0"/>
          <w:tab w:val="num" w:pos="-513"/>
        </w:tabs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Výkazy související s problematikou sledování provozních nepravidelností.</w:t>
      </w:r>
    </w:p>
    <w:p w:rsidR="00696307" w:rsidRPr="00E74409" w:rsidRDefault="00696307" w:rsidP="006963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993"/>
        <w:contextualSpacing/>
        <w:rPr>
          <w:rFonts w:ascii="Arial" w:eastAsia="SimSun" w:hAnsi="Arial" w:cs="Arial"/>
          <w:sz w:val="24"/>
          <w:szCs w:val="24"/>
          <w:highlight w:val="yellow"/>
          <w:lang w:eastAsia="ar-SA"/>
        </w:rPr>
      </w:pPr>
    </w:p>
    <w:p w:rsidR="00696307" w:rsidRPr="00E74409" w:rsidRDefault="00696307" w:rsidP="00696307">
      <w:pPr>
        <w:numPr>
          <w:ilvl w:val="0"/>
          <w:numId w:val="22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 xml:space="preserve">Informace dle odstavce 1 tohoto článku jsou považovány za obchodní tajemství Pk ve smyslu § 504 občanského zákoníku. Olk se zavazuje přijmout dostatečná opatření k ochraně takového obchodního tajemství. Dále se Olk zavazuje zachovat o takovém obchodním tajemství mlčenlivost, nesdělit jej ani neumožnit k němu přístup třetím osobám, nebo jej nevyužít ve svůj prospěch nebo ve </w:t>
      </w: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lastRenderedPageBreak/>
        <w:t>prospěch třetích osob. Olk je povinen zajistit, aby obchodní tajemství Pk bylo odpovídajícím způsobem utajeno a aby s ním byli seznámeni pouze zaměstnanci Olk, kteří jej potřebují pro výkon své práce. Bude-li Olk vyzván dle zákona č. 106/1999 Sb., o svobodném přístupu k informacím, ve znění pozdějších předpisů, oprávněnou osobou ke sdělení informací, které mohou být obchodním tajemstvím Pk, neprodleně s celým obsahem žádosti seznámí Pk a prokazatelně mu umožní se k takovému sdělení informací vyjádřit, a to nejméně 5 pracovních dní před případným sdělením informací. Olk je povinen v této lhůtě vyčkat na vyjádření Pk. Po obdržení tohoto vyjádření Olk bez zbytečného odkladu Pk sdělí, jak žádost hodlá vyřídit. O způsobu vyřízení žádosti vyrozumí Olk Pardubický kraj rovněž neprodleně. V případech, kdy se na postup Olk při vyřizování žádosti vztahuje správní řád, bude s Pk jednat jako s účastníkem tohoto řízení. Povinnosti dle tohoto odstavce zavazují Olk i po skončení platnosti této smlouvy.</w:t>
      </w:r>
    </w:p>
    <w:p w:rsidR="00696307" w:rsidRPr="00E74409" w:rsidRDefault="00696307" w:rsidP="00696307">
      <w:pPr>
        <w:numPr>
          <w:ilvl w:val="0"/>
          <w:numId w:val="22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Informace dle odstavce 2 tohoto článku jsou považovány za obchodní tajemství Olk ve smyslu § 504 občanského zákoníku. Pk se zavazuje přijmout dostatečná opatření k ochraně takového obchodního tajemství. Dále se Pk zavazuje zachovat o takovém obchodním tajemství mlčenlivost, nesdělit jej ani neumožnit k němu přístup třetím osobám, nebo jej nevyužít ve svůj prospěch nebo ve prospěch třetích osob. Pk je povinen zajistit, aby obchodní tajemství Olk bylo odpovídajícím způsobem utajeno a aby s ním byli seznámeni pouze zaměstnanci Pk, kteří jej potřebují pro výkon své práce. Bude-li Pk vyzván dle zákona č. 106/1999 Sb., o svobodném přístupu k informacím, ve znění pozdějších předpisů, oprávněnou osobou ke sdělení informací, které mohou být obchodním tajemstvím Olk, neprodleně s celým obsahem žádosti seznámí Olk a prokazatelně mu umožní se k takovému sdělení informací vyjádřit, a to nejméně 5 pracovních dní před případným sdělením informací. Pk je povinen v této lhůtě vyčkat na vyjádření Olk. Po obdržení tohoto vyjádření Pk bez zbytečného odkladu Olk sdělí, jak žádost hodlá vyřídit. O způsobu vyřízení žádosti vyrozumí Pk. Olomoucký kraj rovněž neprodleně. V případech, kdy se na postup Pk při vyřizování žádosti vztahuje správní řád, bude s Olk jednat jako s účastníkem tohoto řízení. Povinnosti dle tohoto odstavce zavazují Pk i po skončení platnosti této smlouvy.</w:t>
      </w:r>
    </w:p>
    <w:p w:rsidR="00696307" w:rsidRPr="00E74409" w:rsidRDefault="00696307" w:rsidP="00696307">
      <w:pPr>
        <w:numPr>
          <w:ilvl w:val="0"/>
          <w:numId w:val="22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Olk zaplatí Pardubickému kraji</w:t>
      </w:r>
      <w:r w:rsidRPr="00E74409" w:rsidDel="00026756">
        <w:rPr>
          <w:rFonts w:ascii="Arial" w:eastAsia="SimSun" w:hAnsi="Arial" w:cs="Arial"/>
          <w:spacing w:val="-1"/>
          <w:sz w:val="24"/>
          <w:szCs w:val="24"/>
          <w:lang w:eastAsia="ar-SA"/>
        </w:rPr>
        <w:t xml:space="preserve"> </w:t>
      </w: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smluvní pokutu ve výši 50 000 Kč za každý případ porušení závazku přijmout dostatečná opatření k ochraně takového obchodního tajemství dle odstavce 1 tohoto článku, zachovat o takovém obchodním tajemství mlčenlivost, nesdělit jej ani neumožnit k němu přístup třetím osobám, nebo jej nevyužít ve svůj prospěch nebo ve prospěch třetích osob.</w:t>
      </w:r>
    </w:p>
    <w:p w:rsidR="00696307" w:rsidRPr="00E74409" w:rsidRDefault="00696307" w:rsidP="00696307">
      <w:pPr>
        <w:numPr>
          <w:ilvl w:val="0"/>
          <w:numId w:val="22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 xml:space="preserve"> Pk zaplatí Olomouckému kraji smluvní pokutu ve výši 50 000 Kč za každý případ porušení závazku přijmout dostatečná opatření k ochraně takového obchodního tajemství dle odstavce 2 tohoto článku, zachovat o takovém obchodním tajemství </w:t>
      </w: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lastRenderedPageBreak/>
        <w:t xml:space="preserve">mlčenlivost, nesdělit jej ani neumožnit k němu přístup třetím osobám, nebo jej nevyužít ve svůj prospěch nebo ve prospěch třetích osob. </w:t>
      </w:r>
    </w:p>
    <w:p w:rsidR="00696307" w:rsidRPr="00E74409" w:rsidRDefault="00696307" w:rsidP="00696307">
      <w:pPr>
        <w:numPr>
          <w:ilvl w:val="0"/>
          <w:numId w:val="22"/>
        </w:numPr>
        <w:shd w:val="clear" w:color="auto" w:fill="FFFFFF"/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 xml:space="preserve">Olk zaplatí Pardubickému kraji smluvní pokutu ve výši 50 000 Kč za každý případ porušení závazku umožnit Pk vyjádření v případě žádosti o poskytnutí informací podle zákona č. 106/1999 Sb., o svobodném přístupu k informacím, ve znění pozdějších předpisů, dle odstavce 3 tohoto článku.  </w:t>
      </w:r>
    </w:p>
    <w:p w:rsidR="00696307" w:rsidRPr="00E74409" w:rsidRDefault="00696307" w:rsidP="00696307">
      <w:pPr>
        <w:numPr>
          <w:ilvl w:val="0"/>
          <w:numId w:val="22"/>
        </w:numPr>
        <w:shd w:val="clear" w:color="auto" w:fill="FFFFFF"/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Pk zaplatí Olomouckému kraji smluvní pokutu ve výši 50 000 Kč za každý případ porušení závazku umožnit Olk vyjádření v případě žádosti o poskytnutí informací podle zákona č. 106/1999 Sb., o svobodném přístupu k informacím, ve znění pozdějších předpisů, dle odstavce 4 tohoto článku.</w:t>
      </w:r>
    </w:p>
    <w:p w:rsidR="00696307" w:rsidRPr="00E74409" w:rsidRDefault="00696307" w:rsidP="00696307">
      <w:pPr>
        <w:suppressAutoHyphens/>
        <w:spacing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696307" w:rsidRPr="00E74409" w:rsidRDefault="00696307" w:rsidP="00696307">
      <w:pPr>
        <w:suppressAutoHyphens/>
        <w:spacing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b/>
          <w:sz w:val="24"/>
          <w:szCs w:val="24"/>
          <w:lang w:eastAsia="ar-SA"/>
        </w:rPr>
        <w:t>VII.</w:t>
      </w:r>
    </w:p>
    <w:p w:rsidR="00696307" w:rsidRPr="00E74409" w:rsidRDefault="00696307" w:rsidP="00696307">
      <w:pPr>
        <w:suppressAutoHyphens/>
        <w:spacing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b/>
          <w:sz w:val="24"/>
          <w:szCs w:val="24"/>
          <w:lang w:eastAsia="ar-SA"/>
        </w:rPr>
        <w:t>Platební podmínky</w:t>
      </w:r>
    </w:p>
    <w:p w:rsidR="00696307" w:rsidRPr="00E74409" w:rsidRDefault="00696307" w:rsidP="00696307">
      <w:pPr>
        <w:suppressAutoHyphens/>
        <w:spacing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Olomoucký kraj je povinen Olomouckou kompenzaci vypočtenou dle čl. IV. a určenou v dodatku uzavřeném dle čl. V. této smlouvy uhradit jednorázově Pk ve lhůtě do 60 dnů ode dne nabytí účinnosti takového dodatku.</w:t>
      </w: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Pardubický kraj je povinen Pardubickou kompenzaci vypočtenou dle čl. IV. a určenou v dodatku uzavřeném dle čl. V. této smlouvy uhradit jednorázově Olk ve lhůtě do 60 dnů ode dne nabytí účinnosti takového dodatku.</w:t>
      </w: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V případě, že by kompenzace vykázaná dopravcem, se kterým uzavřel Pk smlouvu o veřejných službách, překročila výši Olomoucké kompenzace vypočtenou dle čl. IV. a určenou v dodatku uzavřeném dle čl. V. této smlouvy, jdou náklady na kompenzaci dopravcům přesahující výši zaplacené Olomoucké kompenzace na vrub Olk, přičemž Olk je povinen nedoplatek uhradit Pardubickému kraji do 4 měsíců od odsouhlasení vyúčtování skutečné</w:t>
      </w:r>
      <w:r w:rsidRPr="00E74409">
        <w:rPr>
          <w:rFonts w:ascii="Arial" w:hAnsi="Arial" w:cs="Arial"/>
          <w:sz w:val="24"/>
          <w:szCs w:val="24"/>
        </w:rPr>
        <w:t xml:space="preserve"> </w:t>
      </w: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Olomoucké kompenzace předloženého dle tohoto čl. VII.</w:t>
      </w: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 xml:space="preserve">V případě, že by kompenzace vykázaná dopravcem, se kterým uzavřel Olk smlouvu o veřejných službách, překročila výši Pardubické kompenzace vypočtenou dle čl. IV. a určenou v dodatku uzavřeném dle čl. V. této smlouvy, jdou náklady na kompenzaci dopravcům přesahující výši zaplacené Pardubické kompenzace na vrub Pk, přičemž Pk je povinen nedoplatek uhradit Olomouckému kraji do 4 měsíců od odsouhlasení vyúčtování skutečné Pardubické kompenzace předloženého dle tohoto čl. VII. </w:t>
      </w: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Vyúčtování skutečné Pardubické</w:t>
      </w:r>
      <w:r w:rsidRPr="00E74409" w:rsidDel="00E275AF">
        <w:rPr>
          <w:rFonts w:ascii="Arial" w:eastAsia="SimSun" w:hAnsi="Arial" w:cs="Arial"/>
          <w:spacing w:val="-1"/>
          <w:sz w:val="24"/>
          <w:szCs w:val="24"/>
          <w:lang w:eastAsia="ar-SA"/>
        </w:rPr>
        <w:t xml:space="preserve"> </w:t>
      </w: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kompenzace pro účely tohoto článku je Pk povinen poskytnout Olk do 31.7. roku následujícího po roce, ve kterém skončila platnost jízdního řádu, k jehož období platnosti se Pardubická kompenzace vztahuje.</w:t>
      </w: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lastRenderedPageBreak/>
        <w:t>Vyúčtování skutečné Olomoucké kompenzace pro účely tohoto článku je Olk povinen poskytnout Pk do 31.7. roku</w:t>
      </w:r>
      <w:r w:rsidRPr="00E74409">
        <w:rPr>
          <w:rFonts w:ascii="Arial" w:hAnsi="Arial" w:cs="Arial"/>
          <w:sz w:val="24"/>
          <w:szCs w:val="24"/>
        </w:rPr>
        <w:t xml:space="preserve"> </w:t>
      </w: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následujícího po roce, ve kterém skončila platnost jízdního řádu, k jehož období platnosti se Olomoucká kompenzace vztahuje.</w:t>
      </w: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V případě, že by kompenzace vykázaná dopravcem byla nižší než Olomoucká kompenzace vypočtená dle čl. IV. a určená v dodatku uzavřeném dle čl. V. této smlouvy, je Pk, který uzavřel s dopravcem smlouvu o veřejných službách, povinen přeplatek vrátit Olk, který na dopravní obslužnost na mezikrajských linkách přispívá, a to do 4 měsíců od odsouhlasení vyúčtování skutečné kompenzace předloženého dle tohoto čl. VII.</w:t>
      </w:r>
    </w:p>
    <w:p w:rsidR="00696307" w:rsidRPr="00E74409" w:rsidRDefault="00696307" w:rsidP="00696307">
      <w:pPr>
        <w:numPr>
          <w:ilvl w:val="0"/>
          <w:numId w:val="23"/>
        </w:numPr>
        <w:shd w:val="clear" w:color="auto" w:fill="FFFFFF"/>
        <w:suppressAutoHyphens/>
        <w:spacing w:after="200" w:line="276" w:lineRule="auto"/>
        <w:jc w:val="both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 xml:space="preserve">V případě, že by kompenzace vykázaná dopravcem byla nižší než Pardubická kompenzace vypočtená dle čl. IV. a určená v dodatku uzavřeném dle čl. V. této smlouvy, je Olk, který uzavřel s dopravcem smlouvu o veřejných službách, povinen přeplatek vrátit Pk, který na dopravní obslužnost na mezikrajských linkách přispívá, a to do 4 měsíců od odsouhlasení vyúčtování skutečné kompenzace předloženého dle tohoto čl. VII. </w:t>
      </w:r>
    </w:p>
    <w:p w:rsidR="00696307" w:rsidRPr="000B3B2D" w:rsidRDefault="00696307" w:rsidP="000B3B2D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696307" w:rsidRPr="00E74409" w:rsidRDefault="00696307" w:rsidP="0069630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b/>
          <w:sz w:val="24"/>
          <w:szCs w:val="24"/>
          <w:lang w:eastAsia="ar-SA"/>
        </w:rPr>
        <w:t>VIII.</w:t>
      </w:r>
    </w:p>
    <w:p w:rsidR="00696307" w:rsidRPr="00E74409" w:rsidRDefault="00696307" w:rsidP="0069630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b/>
          <w:sz w:val="24"/>
          <w:szCs w:val="24"/>
          <w:lang w:eastAsia="ar-SA"/>
        </w:rPr>
        <w:t>Trvání a ukončení smlouvy</w:t>
      </w:r>
    </w:p>
    <w:p w:rsidR="00696307" w:rsidRPr="00E74409" w:rsidRDefault="00696307" w:rsidP="0069630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696307" w:rsidRPr="00E74409" w:rsidRDefault="00696307" w:rsidP="00696307">
      <w:pPr>
        <w:numPr>
          <w:ilvl w:val="0"/>
          <w:numId w:val="25"/>
        </w:numPr>
        <w:shd w:val="clear" w:color="auto" w:fill="FFFFFF"/>
        <w:suppressAutoHyphens/>
        <w:spacing w:after="200" w:line="276" w:lineRule="auto"/>
        <w:ind w:left="426" w:hanging="426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Tato smlouva se uzavírá na dobu neurčitou.</w:t>
      </w:r>
    </w:p>
    <w:p w:rsidR="00696307" w:rsidRPr="00E74409" w:rsidRDefault="00696307" w:rsidP="00696307">
      <w:pPr>
        <w:numPr>
          <w:ilvl w:val="0"/>
          <w:numId w:val="25"/>
        </w:numPr>
        <w:shd w:val="clear" w:color="auto" w:fill="FFFFFF"/>
        <w:suppressAutoHyphens/>
        <w:spacing w:after="200" w:line="276" w:lineRule="auto"/>
        <w:ind w:left="426" w:hanging="426"/>
        <w:rPr>
          <w:rFonts w:ascii="Arial" w:eastAsia="SimSun" w:hAnsi="Arial" w:cs="Arial"/>
          <w:spacing w:val="-1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pacing w:val="-1"/>
          <w:sz w:val="24"/>
          <w:szCs w:val="24"/>
          <w:lang w:eastAsia="ar-SA"/>
        </w:rPr>
        <w:t>Tato smlouva může být předčasně ukončena dohodou smluvních stran.</w:t>
      </w:r>
    </w:p>
    <w:p w:rsidR="00696307" w:rsidRPr="00E74409" w:rsidRDefault="00696307" w:rsidP="008C7030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696307" w:rsidRPr="00E74409" w:rsidRDefault="00696307" w:rsidP="0069630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b/>
          <w:sz w:val="24"/>
          <w:szCs w:val="24"/>
          <w:lang w:eastAsia="ar-SA"/>
        </w:rPr>
        <w:t>IX.</w:t>
      </w:r>
    </w:p>
    <w:p w:rsidR="00696307" w:rsidRPr="00E74409" w:rsidRDefault="00696307" w:rsidP="0069630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b/>
          <w:sz w:val="24"/>
          <w:szCs w:val="24"/>
          <w:lang w:eastAsia="ar-SA"/>
        </w:rPr>
        <w:t>Závěrečná ustanovení</w:t>
      </w:r>
    </w:p>
    <w:p w:rsidR="00696307" w:rsidRPr="00E74409" w:rsidRDefault="00696307" w:rsidP="0069630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100" w:lineRule="atLeast"/>
        <w:jc w:val="both"/>
        <w:rPr>
          <w:rFonts w:ascii="Arial" w:eastAsia="SimSun" w:hAnsi="Arial" w:cs="Arial"/>
          <w:sz w:val="24"/>
          <w:szCs w:val="24"/>
          <w:shd w:val="clear" w:color="auto" w:fill="FFFF00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Tato smlouva nabývá platnosti podpisem obou smluvních stran. Akceptace návrhu této smlouvy s dodatky nebo odchylkami, které podstatně nemění podmínky návrhu, je vyloučena.</w:t>
      </w:r>
      <w:r w:rsidRPr="00E74409">
        <w:rPr>
          <w:rFonts w:ascii="Arial" w:hAnsi="Arial" w:cs="Arial"/>
          <w:sz w:val="24"/>
          <w:szCs w:val="24"/>
        </w:rPr>
        <w:t xml:space="preserve"> Tato smlouva nabývá </w:t>
      </w:r>
      <w:r w:rsidRPr="00E74409">
        <w:rPr>
          <w:rFonts w:ascii="Arial" w:eastAsia="SimSun" w:hAnsi="Arial" w:cs="Arial"/>
          <w:sz w:val="24"/>
          <w:szCs w:val="24"/>
          <w:lang w:eastAsia="ar-SA"/>
        </w:rPr>
        <w:t>účinnosti dnem jejího uveřejnění v registru smluv. Smluvní strany berou na vědomí, že nebude-li smlouva uveřejněna ani devadesátý den od jejího uzavření, je následujícím dnem zrušena od počátku s účinky případného bezdůvodného obohacení. Smluvní strany se dohodly, že Pardubický kraj bezodkladně po uzavření této smlouvy odešle smlouvu k řádnému uveřejnění do registru smluv vedeného Ministerstvem vnitra ČR. O uveřejnění smlouvy Pardubický kraj bezodkladně informuje druhou smluvní stranu, nebyl-li kontaktní údaj této smluvní strany uveden přímo do registru smluv jako kontakt pro notifikaci o uveřejnění. Smluvní strany prohlašují, že žádná část smlouvy nenaplňuje znaky obchodního tajemství (§ 504 z. č. 89/2012 Sb., občanský zákoník)</w:t>
      </w: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276" w:lineRule="auto"/>
        <w:ind w:left="425" w:hanging="425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lastRenderedPageBreak/>
        <w:t>Změny této smlouvy lze provádět formou písemných dodatků podepsaných oběma smluvními stranami.</w:t>
      </w: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100" w:lineRule="atLeast"/>
        <w:ind w:left="426" w:hanging="426"/>
        <w:rPr>
          <w:rFonts w:ascii="Arial" w:eastAsia="SimSun" w:hAnsi="Arial" w:cs="Arial"/>
          <w:i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Nedílnou součástí této smlouvy je:</w:t>
      </w:r>
    </w:p>
    <w:p w:rsidR="00696307" w:rsidRPr="00E74409" w:rsidRDefault="00696307" w:rsidP="00696307">
      <w:pPr>
        <w:suppressAutoHyphens/>
        <w:spacing w:line="276" w:lineRule="auto"/>
        <w:ind w:left="425"/>
        <w:rPr>
          <w:rFonts w:ascii="Arial" w:eastAsia="SimSun" w:hAnsi="Arial" w:cs="Arial"/>
          <w:i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i/>
          <w:sz w:val="24"/>
          <w:szCs w:val="24"/>
          <w:lang w:eastAsia="ar-SA"/>
        </w:rPr>
        <w:t>příloha č. 1 – Rámcové jízdní řády</w:t>
      </w:r>
    </w:p>
    <w:p w:rsidR="00696307" w:rsidRPr="00E74409" w:rsidRDefault="00696307" w:rsidP="00696307">
      <w:pPr>
        <w:suppressAutoHyphens/>
        <w:spacing w:line="276" w:lineRule="auto"/>
        <w:ind w:left="425"/>
        <w:rPr>
          <w:rFonts w:ascii="Arial" w:eastAsia="SimSun" w:hAnsi="Arial" w:cs="Arial"/>
          <w:i/>
          <w:sz w:val="24"/>
          <w:szCs w:val="24"/>
          <w:lang w:eastAsia="ar-SA"/>
        </w:rPr>
      </w:pP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Pro vyloučení pochybností Olk konstatuje, že uděluje Pk souhlas se zajišťováním dopravní obslužnosti v územním obvodu Olk v souladu s ust. § 3 odst. 2 zákona č. 194/2010 Sb., o veřejných službách v přepravě cestujících a o změně dalších zákonů.</w:t>
      </w: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Pro vyloučení pochybností Pk konstatuje, že uděluje Olk souhlas se zajišťováním dopravní obslužnosti v územním obvodu Pk v souladu s ust. § 3 odst. 2 zákona č. 194/2010 Sb., o veřejných službách v přepravě cestujících a o změně dalších zákonů.</w:t>
      </w: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Tato smlouva je vyhotovena ve čtyřech vyhotoveních s platností originálu, z nichž dvě vyhotovení obdrží Olk, dvě vyhotovení obdrží Pk.</w:t>
      </w: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www.pardubickykraj.cz/gdpr.   </w:t>
      </w:r>
    </w:p>
    <w:p w:rsidR="00696307" w:rsidRPr="00E74409" w:rsidRDefault="00696307" w:rsidP="00696307">
      <w:pPr>
        <w:numPr>
          <w:ilvl w:val="0"/>
          <w:numId w:val="24"/>
        </w:numPr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74409">
        <w:rPr>
          <w:rFonts w:ascii="Arial" w:eastAsia="SimSun" w:hAnsi="Arial" w:cs="Arial"/>
          <w:sz w:val="24"/>
          <w:szCs w:val="24"/>
          <w:lang w:eastAsia="ar-SA"/>
        </w:rPr>
        <w:t>Smluvní strany prohlašují, že tuto smlouvu uzavřely na základě vážné a svobodné vůle, nikoli v tísni a na důkaz toho připojují své podpisy.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X.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  <w:r w:rsidRPr="00E74409">
        <w:rPr>
          <w:rFonts w:ascii="Arial" w:hAnsi="Arial" w:cs="Arial"/>
          <w:b/>
          <w:sz w:val="24"/>
          <w:szCs w:val="24"/>
        </w:rPr>
        <w:t>Doložky</w:t>
      </w:r>
    </w:p>
    <w:p w:rsidR="00696307" w:rsidRPr="00E74409" w:rsidRDefault="00696307" w:rsidP="00696307">
      <w:pPr>
        <w:jc w:val="center"/>
        <w:rPr>
          <w:rFonts w:ascii="Arial" w:hAnsi="Arial" w:cs="Arial"/>
          <w:b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Tato smlouva byla schválena Zastupitelstvem Olomouckého kraje na ………… zasedání, konaném dne ……………………………., usnesením č. …………………………….. nadpoloviční většinou hlasů všech členů zastupitelstva kraje. 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lastRenderedPageBreak/>
        <w:t xml:space="preserve">Tato smlouva byla schválena Zastupitelstvem Pardubického kraje na ………… zasedání konaném dne ……………………………., usnesením č. ……………………………... 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V …………………… dne ………………</w:t>
      </w:r>
      <w:r w:rsidRPr="00E74409">
        <w:rPr>
          <w:rFonts w:ascii="Arial" w:hAnsi="Arial" w:cs="Arial"/>
          <w:sz w:val="24"/>
          <w:szCs w:val="24"/>
        </w:rPr>
        <w:tab/>
        <w:t xml:space="preserve">                V Pardubicích dne ……………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             Olomoucký kraj</w:t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  <w:t xml:space="preserve">                       Pardubický kraj 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>……………………………………………....</w:t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zastoupený Koordinátorem Integrovaného </w:t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  <w:t>JUDr. Martin Netolický, Ph.D.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dopravního systému Olomouckého kraje, </w:t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  <w:t xml:space="preserve">      hejtman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            příspěvková organizace</w:t>
      </w:r>
    </w:p>
    <w:p w:rsidR="00696307" w:rsidRPr="00E74409" w:rsidRDefault="00696307" w:rsidP="00696307">
      <w:pPr>
        <w:rPr>
          <w:rFonts w:ascii="Arial" w:hAnsi="Arial" w:cs="Arial"/>
          <w:sz w:val="24"/>
          <w:szCs w:val="24"/>
        </w:rPr>
      </w:pPr>
      <w:r w:rsidRPr="00E74409">
        <w:rPr>
          <w:rFonts w:ascii="Arial" w:hAnsi="Arial" w:cs="Arial"/>
          <w:sz w:val="24"/>
          <w:szCs w:val="24"/>
        </w:rPr>
        <w:t xml:space="preserve">  Ing. Kateřinou Suchánkovou, MBA</w:t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</w:r>
      <w:r w:rsidRPr="00E74409">
        <w:rPr>
          <w:rFonts w:ascii="Arial" w:hAnsi="Arial" w:cs="Arial"/>
          <w:sz w:val="24"/>
          <w:szCs w:val="24"/>
        </w:rPr>
        <w:tab/>
        <w:t xml:space="preserve">      </w:t>
      </w:r>
    </w:p>
    <w:p w:rsidR="00696307" w:rsidRDefault="00696307" w:rsidP="00696307">
      <w:pPr>
        <w:rPr>
          <w:rFonts w:ascii="Arial" w:hAnsi="Arial" w:cs="Arial"/>
        </w:rPr>
      </w:pPr>
      <w:r w:rsidRPr="00E74409">
        <w:rPr>
          <w:rFonts w:ascii="Arial" w:hAnsi="Arial" w:cs="Arial"/>
          <w:sz w:val="24"/>
          <w:szCs w:val="24"/>
        </w:rPr>
        <w:t xml:space="preserve">           ředitelkou KIDSOK, p.o.</w:t>
      </w:r>
    </w:p>
    <w:sectPr w:rsidR="00696307" w:rsidSect="00BB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9F" w:rsidRDefault="00F9299F" w:rsidP="00DC33F2">
      <w:r>
        <w:separator/>
      </w:r>
    </w:p>
  </w:endnote>
  <w:endnote w:type="continuationSeparator" w:id="0">
    <w:p w:rsidR="00F9299F" w:rsidRDefault="00F9299F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41" w:rsidRDefault="000D01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2D3AD5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23</w:t>
    </w:r>
    <w:r w:rsidR="00E84792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946B9">
      <w:rPr>
        <w:rFonts w:ascii="Arial" w:hAnsi="Arial" w:cs="Arial"/>
        <w:i/>
        <w:noProof/>
      </w:rPr>
      <w:t>12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D0588A">
      <w:rPr>
        <w:rFonts w:ascii="Arial" w:hAnsi="Arial" w:cs="Arial"/>
        <w:i/>
      </w:rPr>
      <w:t>1</w:t>
    </w:r>
    <w:r w:rsidR="00601F0D">
      <w:rPr>
        <w:rFonts w:ascii="Arial" w:hAnsi="Arial" w:cs="Arial"/>
        <w:i/>
      </w:rPr>
      <w:t>3</w:t>
    </w:r>
    <w:r w:rsidR="00E84792" w:rsidRPr="00291787">
      <w:rPr>
        <w:rFonts w:ascii="Arial" w:hAnsi="Arial" w:cs="Arial"/>
        <w:i/>
      </w:rPr>
      <w:t>)</w:t>
    </w:r>
  </w:p>
  <w:p w:rsidR="006C6CBE" w:rsidRDefault="00B5749B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15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565F9C">
      <w:rPr>
        <w:rFonts w:cs="Arial"/>
        <w:b w:val="0"/>
        <w:i/>
        <w:sz w:val="20"/>
      </w:rPr>
      <w:t xml:space="preserve">Smlouva o zajištění osobní dopravy mezikrajskými vlaky </w:t>
    </w:r>
    <w:r w:rsidR="00813731">
      <w:rPr>
        <w:rFonts w:cs="Arial"/>
        <w:b w:val="0"/>
        <w:i/>
        <w:sz w:val="20"/>
      </w:rPr>
      <w:t>mezi Olomouckým a</w:t>
    </w:r>
    <w:r w:rsidR="0094157E">
      <w:rPr>
        <w:rFonts w:cs="Arial"/>
        <w:b w:val="0"/>
        <w:i/>
        <w:sz w:val="20"/>
      </w:rPr>
      <w:t> Pardubickým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565F9C">
      <w:rPr>
        <w:rFonts w:cs="Arial"/>
        <w:b w:val="0"/>
        <w:i/>
        <w:sz w:val="20"/>
      </w:rPr>
      <w:t>Smlouva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41" w:rsidRDefault="000D01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9F" w:rsidRDefault="00F9299F" w:rsidP="00DC33F2">
      <w:r>
        <w:separator/>
      </w:r>
    </w:p>
  </w:footnote>
  <w:footnote w:type="continuationSeparator" w:id="0">
    <w:p w:rsidR="00F9299F" w:rsidRDefault="00F9299F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41" w:rsidRDefault="000D01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565F9C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>Smlouva o zajištění železniční osobní dopravy mezikrajskými vlaky</w:t>
    </w:r>
    <w:r w:rsidR="006D7500">
      <w:rPr>
        <w:rFonts w:ascii="Arial" w:hAnsi="Arial" w:cs="Arial"/>
        <w:i/>
      </w:rPr>
      <w:t xml:space="preserve"> </w:t>
    </w:r>
  </w:p>
  <w:p w:rsidR="00D1620D" w:rsidRPr="00D1620D" w:rsidRDefault="00F9299F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41" w:rsidRDefault="000D01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65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37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309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81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53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52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9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698" w:hanging="180"/>
      </w:pPr>
    </w:lvl>
  </w:abstractNum>
  <w:abstractNum w:abstractNumId="3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794D8B"/>
    <w:multiLevelType w:val="hybridMultilevel"/>
    <w:tmpl w:val="258A6F22"/>
    <w:lvl w:ilvl="0" w:tplc="998E8D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B34"/>
    <w:multiLevelType w:val="hybridMultilevel"/>
    <w:tmpl w:val="EDC070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F46025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D31E83"/>
    <w:multiLevelType w:val="hybridMultilevel"/>
    <w:tmpl w:val="CED8E564"/>
    <w:lvl w:ilvl="0" w:tplc="1F1C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F4216D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23"/>
  </w:num>
  <w:num w:numId="9">
    <w:abstractNumId w:val="25"/>
  </w:num>
  <w:num w:numId="10">
    <w:abstractNumId w:val="18"/>
  </w:num>
  <w:num w:numId="11">
    <w:abstractNumId w:val="27"/>
  </w:num>
  <w:num w:numId="12">
    <w:abstractNumId w:val="16"/>
  </w:num>
  <w:num w:numId="13">
    <w:abstractNumId w:val="15"/>
  </w:num>
  <w:num w:numId="14">
    <w:abstractNumId w:val="28"/>
  </w:num>
  <w:num w:numId="15">
    <w:abstractNumId w:val="19"/>
  </w:num>
  <w:num w:numId="16">
    <w:abstractNumId w:val="14"/>
  </w:num>
  <w:num w:numId="17">
    <w:abstractNumId w:val="24"/>
  </w:num>
  <w:num w:numId="18">
    <w:abstractNumId w:val="11"/>
  </w:num>
  <w:num w:numId="19">
    <w:abstractNumId w:val="6"/>
  </w:num>
  <w:num w:numId="20">
    <w:abstractNumId w:val="12"/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0"/>
  </w:num>
  <w:num w:numId="27">
    <w:abstractNumId w:val="9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15BB0"/>
    <w:rsid w:val="00044BFD"/>
    <w:rsid w:val="000B2376"/>
    <w:rsid w:val="000B3B2D"/>
    <w:rsid w:val="000C14A9"/>
    <w:rsid w:val="000D0141"/>
    <w:rsid w:val="000D268C"/>
    <w:rsid w:val="000D6A8A"/>
    <w:rsid w:val="000F0A29"/>
    <w:rsid w:val="00114046"/>
    <w:rsid w:val="001842B6"/>
    <w:rsid w:val="001949F2"/>
    <w:rsid w:val="001963A0"/>
    <w:rsid w:val="001B6512"/>
    <w:rsid w:val="001B72A8"/>
    <w:rsid w:val="001F2A04"/>
    <w:rsid w:val="002035A8"/>
    <w:rsid w:val="002056D5"/>
    <w:rsid w:val="00211A01"/>
    <w:rsid w:val="00220ABE"/>
    <w:rsid w:val="002242C0"/>
    <w:rsid w:val="002738CB"/>
    <w:rsid w:val="002751FB"/>
    <w:rsid w:val="002812BD"/>
    <w:rsid w:val="00282D88"/>
    <w:rsid w:val="002D3AD5"/>
    <w:rsid w:val="002F1D43"/>
    <w:rsid w:val="002F2638"/>
    <w:rsid w:val="002F49AA"/>
    <w:rsid w:val="00302B7D"/>
    <w:rsid w:val="00306449"/>
    <w:rsid w:val="00315CA4"/>
    <w:rsid w:val="00326C32"/>
    <w:rsid w:val="00334112"/>
    <w:rsid w:val="00363B09"/>
    <w:rsid w:val="003806EB"/>
    <w:rsid w:val="003955F8"/>
    <w:rsid w:val="003A2C1A"/>
    <w:rsid w:val="003B3A4C"/>
    <w:rsid w:val="003C0005"/>
    <w:rsid w:val="004143CA"/>
    <w:rsid w:val="004158AB"/>
    <w:rsid w:val="00416E1F"/>
    <w:rsid w:val="00422B19"/>
    <w:rsid w:val="00433926"/>
    <w:rsid w:val="004748ED"/>
    <w:rsid w:val="0049137D"/>
    <w:rsid w:val="00493238"/>
    <w:rsid w:val="00517BEF"/>
    <w:rsid w:val="0052192E"/>
    <w:rsid w:val="00554BB1"/>
    <w:rsid w:val="005568D8"/>
    <w:rsid w:val="00565F9C"/>
    <w:rsid w:val="00567722"/>
    <w:rsid w:val="005775D3"/>
    <w:rsid w:val="00585773"/>
    <w:rsid w:val="005E65D8"/>
    <w:rsid w:val="00601F0D"/>
    <w:rsid w:val="00613A3F"/>
    <w:rsid w:val="00620D5B"/>
    <w:rsid w:val="006251EB"/>
    <w:rsid w:val="0063475A"/>
    <w:rsid w:val="006411D1"/>
    <w:rsid w:val="00652DEC"/>
    <w:rsid w:val="00680EFF"/>
    <w:rsid w:val="00690E7A"/>
    <w:rsid w:val="00692955"/>
    <w:rsid w:val="00696307"/>
    <w:rsid w:val="006C5C19"/>
    <w:rsid w:val="006C6CBE"/>
    <w:rsid w:val="006D0A32"/>
    <w:rsid w:val="006D7500"/>
    <w:rsid w:val="0070072F"/>
    <w:rsid w:val="00725598"/>
    <w:rsid w:val="007270EB"/>
    <w:rsid w:val="0075676D"/>
    <w:rsid w:val="0077278C"/>
    <w:rsid w:val="007C36E5"/>
    <w:rsid w:val="007D52AF"/>
    <w:rsid w:val="007F554E"/>
    <w:rsid w:val="007F58CB"/>
    <w:rsid w:val="00813731"/>
    <w:rsid w:val="00822AC2"/>
    <w:rsid w:val="00832C44"/>
    <w:rsid w:val="00855A79"/>
    <w:rsid w:val="00863C68"/>
    <w:rsid w:val="00865C85"/>
    <w:rsid w:val="00883684"/>
    <w:rsid w:val="0088490F"/>
    <w:rsid w:val="008859E2"/>
    <w:rsid w:val="008944EE"/>
    <w:rsid w:val="008B57E8"/>
    <w:rsid w:val="008C1953"/>
    <w:rsid w:val="008C7030"/>
    <w:rsid w:val="008D5A39"/>
    <w:rsid w:val="008F6E2B"/>
    <w:rsid w:val="00937C1A"/>
    <w:rsid w:val="0094157E"/>
    <w:rsid w:val="00945B82"/>
    <w:rsid w:val="009B76F5"/>
    <w:rsid w:val="009B79F6"/>
    <w:rsid w:val="009C5734"/>
    <w:rsid w:val="009E67A1"/>
    <w:rsid w:val="00A00377"/>
    <w:rsid w:val="00A34C7E"/>
    <w:rsid w:val="00A54CA4"/>
    <w:rsid w:val="00A941F0"/>
    <w:rsid w:val="00A946B9"/>
    <w:rsid w:val="00A97363"/>
    <w:rsid w:val="00AA23CD"/>
    <w:rsid w:val="00AC45D1"/>
    <w:rsid w:val="00AD5469"/>
    <w:rsid w:val="00B0521E"/>
    <w:rsid w:val="00B21CC1"/>
    <w:rsid w:val="00B21FAF"/>
    <w:rsid w:val="00B332DE"/>
    <w:rsid w:val="00B53491"/>
    <w:rsid w:val="00B552E1"/>
    <w:rsid w:val="00B5749B"/>
    <w:rsid w:val="00B66813"/>
    <w:rsid w:val="00BB1C0B"/>
    <w:rsid w:val="00BB2DA0"/>
    <w:rsid w:val="00BE0A3A"/>
    <w:rsid w:val="00BE2E71"/>
    <w:rsid w:val="00C3319B"/>
    <w:rsid w:val="00C33D92"/>
    <w:rsid w:val="00C34391"/>
    <w:rsid w:val="00C70A24"/>
    <w:rsid w:val="00C77DEA"/>
    <w:rsid w:val="00C92000"/>
    <w:rsid w:val="00CA4F3D"/>
    <w:rsid w:val="00CC4CF2"/>
    <w:rsid w:val="00CE429E"/>
    <w:rsid w:val="00D0588A"/>
    <w:rsid w:val="00D105C5"/>
    <w:rsid w:val="00D13BAE"/>
    <w:rsid w:val="00D57ED7"/>
    <w:rsid w:val="00D8052B"/>
    <w:rsid w:val="00D87BFB"/>
    <w:rsid w:val="00DA03AD"/>
    <w:rsid w:val="00DB6FEB"/>
    <w:rsid w:val="00DC33F2"/>
    <w:rsid w:val="00DC34B5"/>
    <w:rsid w:val="00DE2C11"/>
    <w:rsid w:val="00E20A83"/>
    <w:rsid w:val="00E2618C"/>
    <w:rsid w:val="00E665AC"/>
    <w:rsid w:val="00E74409"/>
    <w:rsid w:val="00E748AA"/>
    <w:rsid w:val="00E751BE"/>
    <w:rsid w:val="00E764F6"/>
    <w:rsid w:val="00E84792"/>
    <w:rsid w:val="00E96AF8"/>
    <w:rsid w:val="00EC3D04"/>
    <w:rsid w:val="00EC6BD3"/>
    <w:rsid w:val="00EE4402"/>
    <w:rsid w:val="00EE518F"/>
    <w:rsid w:val="00F20D66"/>
    <w:rsid w:val="00F300DA"/>
    <w:rsid w:val="00F7245E"/>
    <w:rsid w:val="00F9299F"/>
    <w:rsid w:val="00FA6F67"/>
    <w:rsid w:val="00FB345E"/>
    <w:rsid w:val="00FB3A05"/>
    <w:rsid w:val="00FD2A94"/>
    <w:rsid w:val="00FD4B1E"/>
    <w:rsid w:val="00FD5CF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40A3C"/>
  <w15:docId w15:val="{DDE26FB3-80B7-4E9C-B2A5-46BAE77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D57ED7"/>
    <w:pPr>
      <w:jc w:val="both"/>
    </w:pPr>
    <w:rPr>
      <w:rFonts w:ascii="Times" w:eastAsia="Calibri" w:hAnsi="Times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ED7"/>
    <w:rPr>
      <w:rFonts w:ascii="Times" w:eastAsia="Calibri" w:hAnsi="Times" w:cs="Times New Roman"/>
      <w:sz w:val="20"/>
      <w:szCs w:val="20"/>
      <w:lang w:val="x-none"/>
    </w:rPr>
  </w:style>
  <w:style w:type="paragraph" w:customStyle="1" w:styleId="Barevnseznamzvraznn11">
    <w:name w:val="Barevný seznam – zvýraznění 11"/>
    <w:basedOn w:val="Normln"/>
    <w:uiPriority w:val="99"/>
    <w:qFormat/>
    <w:rsid w:val="00D57ED7"/>
    <w:pPr>
      <w:ind w:left="720"/>
      <w:contextualSpacing/>
      <w:jc w:val="both"/>
    </w:pPr>
    <w:rPr>
      <w:rFonts w:ascii="Times" w:eastAsia="Calibri" w:hAnsi="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CADE-C0B9-4DA3-A432-02E41C95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3356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85</cp:revision>
  <dcterms:created xsi:type="dcterms:W3CDTF">2019-05-29T13:29:00Z</dcterms:created>
  <dcterms:modified xsi:type="dcterms:W3CDTF">2019-09-04T08:06:00Z</dcterms:modified>
</cp:coreProperties>
</file>