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AD27" w14:textId="77777777" w:rsidR="008B19B3" w:rsidRDefault="009A3DA5" w:rsidP="00B102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</w:p>
    <w:p w14:paraId="1161C6F9" w14:textId="493BA7C9" w:rsidR="008B19B3" w:rsidRDefault="008B19B3" w:rsidP="00B102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4900FF21" w14:textId="77777777" w:rsidR="008B19B3" w:rsidRDefault="008B19B3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29918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F27E9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79CF225C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57A2D02C" w:rsidR="00D9305B" w:rsidRPr="00E62519" w:rsidRDefault="00D9305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5EFF30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27150F" w14:textId="3E5FBC3D" w:rsidR="00545AB6" w:rsidRDefault="00545AB6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B5D02A6" w14:textId="1B07EA9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 – např. zmocněnec na základě udělěné plné moci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318EFB0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88551C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3C9258CF" w14:textId="7CC6059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schválené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C5B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946DBCD" w:rsidR="009A3DA5" w:rsidRPr="00D47A0C" w:rsidRDefault="009A3DA5" w:rsidP="00D47A0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47A0C" w:rsidRP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D47A0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47A0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D47A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D47A0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D47A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D47A0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E6B3C96" w14:textId="50DDDBB6" w:rsidR="00D47A0C" w:rsidRDefault="00D47A0C" w:rsidP="00D47A0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odst. 4.5 písm. f) Zásad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odst. 4.5 písm. f) výše uvedených Zásad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69B0594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, s usnesením ……………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</w:t>
      </w:r>
      <w:r w:rsidR="00562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AC34BB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příslušného orgánu včetně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DZ 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jeho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případn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ých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</w:t>
      </w:r>
      <w:r w:rsidR="00073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Zásady byly ve vzájemném souladu.</w:t>
      </w:r>
    </w:p>
    <w:p w14:paraId="3C9258D9" w14:textId="729DDA3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6B02B081" w14:textId="0B2C1648" w:rsidR="0065158F" w:rsidRPr="002234B7" w:rsidRDefault="0065158F" w:rsidP="0065158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7234B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5625F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termínu</w:t>
      </w:r>
      <w:r w:rsidR="005625F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/lhůtě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1284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7DD092E" w14:textId="77777777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3C9258E1" w14:textId="3B64DD53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75A7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32605EDE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575A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termín, do kterého lze nejpozději dotaci použít</w:t>
      </w:r>
      <w:r w:rsidR="002857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="003575A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nebo lhůta, ve které lze dotaci použít.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2922D1D" w14:textId="62066BC7" w:rsidR="00A42FBC" w:rsidRPr="00841ADB" w:rsidRDefault="00A42FBC" w:rsidP="00A42FBC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</w:t>
      </w:r>
      <w:r w:rsidR="003575A7">
        <w:rPr>
          <w:rFonts w:ascii="Arial" w:hAnsi="Arial" w:cs="Arial"/>
          <w:i/>
          <w:color w:val="0000FF"/>
          <w:sz w:val="24"/>
          <w:szCs w:val="24"/>
        </w:rPr>
        <w:t> </w:t>
      </w:r>
      <w:r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7486044" w14:textId="77777777" w:rsidR="003575A7" w:rsidRPr="00841ADB" w:rsidRDefault="003575A7" w:rsidP="003575A7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lhůtě,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termín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/lhůta pro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vynaložení těchto výdajů předcháze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/lhůtě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předložení vyúčtování uvedenému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/é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4EA1D530" w14:textId="77777777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 odst. 1 této smlouvy v termínu/lhůtě stanovené v tomto čl. II odst. 2. Podmínky uznatelnosti musí splňovat i výdaje týkající se spoluúčasti příjemce dle tohoto čl. II odst. 2.</w:t>
      </w:r>
    </w:p>
    <w:p w14:paraId="7AC3E127" w14:textId="77777777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A19A77" w14:textId="77777777" w:rsidR="00A42FBC" w:rsidRPr="009D0F79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DAFA677" w14:textId="649AAF65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691F7E5" w14:textId="656177EB" w:rsidR="00A42FBC" w:rsidRPr="002A2634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>se pro</w:t>
      </w:r>
      <w:bookmarkStart w:id="0" w:name="_GoBack"/>
      <w:bookmarkEnd w:id="0"/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58E01622" w14:textId="77777777" w:rsidR="00A42FBC" w:rsidRPr="00841ADB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7BDFFA1" w14:textId="77777777" w:rsidR="00A42FBC" w:rsidRPr="00696A9F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případě, kdy nebude vyžadována spoluúčast příjemce - neuvede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687C100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0C7011" w:rsidRPr="000C70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C70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zde bude stanovena lhůta pro předložení vyúčtování (tj. např. „do 30 dnů od posledního dne pro použití dotace dle čl. II odst. 2 této smlouvy“), je povinnost předložit vyúčtování splněna, pokud konec této lhůty připadl na sobotu, neděli nebo svátek, pokud příjemce vyúčtování předloží nejblíže následující pracovní den. Naopak pokud zde bude </w:t>
      </w:r>
      <w:r w:rsidR="000C70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pro předložení vyúčtování stanoven přesný termín (např. „do 31. 12. 2020“), musí být nejpozději v tento den vyúčtování příjemcem předloženo, i když tento den bude připadat např. na neděli.</w:t>
      </w:r>
      <w:r w:rsidR="000C7011" w:rsidRPr="00200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C70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se obdobně týká termínu nebo lhůty pro použití dotace, které budou stanoveny v čl. II odst. 2 výše.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7777777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0C7011">
          <w:rPr>
            <w:rFonts w:ascii="Arial" w:hAnsi="Arial" w:cs="Arial"/>
            <w:b/>
            <w:bCs/>
            <w:sz w:val="24"/>
            <w:szCs w:val="24"/>
          </w:rPr>
          <w:t>……………………………</w:t>
        </w:r>
      </w:hyperlink>
      <w:r w:rsidR="00A9730D" w:rsidRPr="000C701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150BF2"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 w:rsidR="004B7E00"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="004B7E00"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="00A9730D"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67116D27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0C701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C7011" w:rsidRPr="00BD60B7">
        <w:rPr>
          <w:rFonts w:ascii="Arial" w:eastAsia="Times New Roman" w:hAnsi="Arial" w:cs="Arial"/>
          <w:b/>
          <w:color w:val="0000FF"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C7011" w:rsidRPr="00BD60B7">
          <w:rPr>
            <w:rStyle w:val="Hypertextovodkaz"/>
            <w:rFonts w:ascii="Arial" w:eastAsia="Times New Roman" w:hAnsi="Arial" w:cs="Arial"/>
            <w:b/>
            <w:bCs/>
            <w:color w:val="0000FF"/>
            <w:sz w:val="24"/>
            <w:szCs w:val="24"/>
            <w:u w:val="none"/>
            <w:lang w:eastAsia="cs-CZ"/>
          </w:rPr>
          <w:t>……………………………</w:t>
        </w:r>
      </w:hyperlink>
      <w:r w:rsidR="000C7011" w:rsidRPr="00BD60B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="000C7011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přílohy č. 1 a předcházející tučná věta se zde uvede pouze tehdy, pokud smlouva nebude obsahovat bod 4.1.</w:t>
      </w:r>
      <w:r w:rsidR="000C7011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2CAA0E89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0C70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D088305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+ lze případně doplnit další přílohy vyúčtování (např. kopie smluv, …)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4D7F9CCF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55FA8748" w:rsidR="00A9730D" w:rsidRPr="00A9730D" w:rsidRDefault="004A7217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DD176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B279" w14:textId="77777777" w:rsidR="004A721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D0B8B3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A7217" w:rsidRPr="003E0167" w14:paraId="10E1788D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22DA" w14:textId="77777777" w:rsidR="004A7217" w:rsidRPr="003E0167" w:rsidRDefault="004A7217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D8E4" w14:textId="77777777" w:rsidR="004A7217" w:rsidRPr="003E0167" w:rsidRDefault="004A7217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B59FECD" w:rsidR="009A3DA5" w:rsidRDefault="009A3DA5" w:rsidP="004A721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4A72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ECFCE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4A72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D277FEF" w:rsidR="009A3DA5" w:rsidRDefault="009A3DA5" w:rsidP="001C23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7176E" w:rsidRPr="003E0167" w14:paraId="70EA9206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82F4" w14:textId="77777777" w:rsidR="0007176E" w:rsidRPr="003E0167" w:rsidRDefault="0007176E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A5D4" w14:textId="77777777" w:rsidR="0007176E" w:rsidRPr="003E0167" w:rsidRDefault="0007176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7BF6DC6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D40813">
        <w:rPr>
          <w:rFonts w:ascii="Arial" w:hAnsi="Arial" w:cs="Arial"/>
          <w:sz w:val="24"/>
          <w:szCs w:val="24"/>
        </w:rPr>
        <w:t xml:space="preserve">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196F73D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0E92959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</w:t>
      </w:r>
      <w:r w:rsidR="00DF0122" w:rsidRPr="0007176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0717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5DBC55EB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potřeb poskytovatele a specifik </w:t>
      </w:r>
      <w:r w:rsidR="00714B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0827FD8" w14:textId="237BF62A" w:rsidR="0007176E" w:rsidRPr="005F0780" w:rsidRDefault="0007176E" w:rsidP="0007176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odst. 6.4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1417C8" w:rsidRPr="001417C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1417C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odst. 6.4 se uvede v případě, že dotace bude poskytována v režimu de minimis, tj. pokud v čl. III budou uvedeny odstavce 2-5.</w:t>
      </w:r>
    </w:p>
    <w:p w14:paraId="196F473B" w14:textId="4C537144" w:rsidR="0007176E" w:rsidRPr="005F0780" w:rsidRDefault="00DB44D5" w:rsidP="0007176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36F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536F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36F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dále pak ke změně adresy sídla, bankovního spojení, jakož i jiným změnám, které mohou podstatně ovlivnit způsob jeho finančního hospodaření a náplň jeho aktivit ve vztahu k poskytnuté dotaci, které by před podpisem této smlouvy neoznámil poskytovateli.</w:t>
      </w:r>
    </w:p>
    <w:p w14:paraId="02A5BEA2" w14:textId="0420810F" w:rsidR="00E614BE" w:rsidRPr="0007343C" w:rsidRDefault="001764FB" w:rsidP="001764F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796CD2A9" w:rsidR="004514E3" w:rsidRPr="00CC0204" w:rsidRDefault="00CE1B0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rozhsahu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B30B3AE" w:rsidR="00170EC7" w:rsidRPr="00170EC7" w:rsidRDefault="00CE1B0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B995164" w:rsidR="00170EC7" w:rsidRPr="00AA5967" w:rsidRDefault="00CE1B0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A54E36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CE1B0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B57BC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 uveřejňovaných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92C9120" w14:textId="48AB5030" w:rsidR="00CE1B03" w:rsidRDefault="00CE1B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 odst. 4.5 písm. f) Zásad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odst. 4.5 písm. f) výše uvedených Zásad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16BF04EC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02725B5" w14:textId="5BFC8DDB" w:rsidR="004848FB" w:rsidRDefault="004C50AD" w:rsidP="004848F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10" w:history="1">
        <w:r w:rsidR="00B57BC2" w:rsidRPr="004C67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="004848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61FB924D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F901CDC" w:rsidR="009A3DA5" w:rsidRDefault="00804DCC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6F779EEB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C26A0F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C26A0F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C26A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C26A0F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C26A0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C26A0F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1821132" w14:textId="1E0AA3B1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F05474"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termín, do kterého lze nejpozději dotaci použít</w:t>
      </w:r>
      <w:r w:rsidR="002857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nebo lhůta, ve které lze dotaci použít.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103C7B1" w:rsidR="00D571FB" w:rsidRPr="00D571FB" w:rsidRDefault="00220A9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D571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1" w:history="1">
        <w:r w:rsidRPr="00F05474">
          <w:rPr>
            <w:rFonts w:ascii="Arial" w:hAnsi="Arial" w:cs="Arial"/>
            <w:b/>
            <w:bCs/>
            <w:sz w:val="24"/>
            <w:szCs w:val="24"/>
          </w:rPr>
          <w:t>……………………………</w:t>
        </w:r>
      </w:hyperlink>
      <w:r w:rsidRPr="00F054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571FB">
        <w:rPr>
          <w:rFonts w:ascii="Arial" w:hAnsi="Arial" w:cs="Arial"/>
          <w:iCs/>
          <w:sz w:val="24"/>
          <w:szCs w:val="24"/>
        </w:rPr>
        <w:t xml:space="preserve">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5BC1EC90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</w:t>
      </w:r>
      <w:r w:rsidRPr="00F054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„……………“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05474" w:rsidRPr="00BD60B7">
        <w:rPr>
          <w:rFonts w:ascii="Arial" w:eastAsia="Times New Roman" w:hAnsi="Arial" w:cs="Arial"/>
          <w:b/>
          <w:color w:val="0000FF"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2" w:history="1">
        <w:r w:rsidR="00F05474" w:rsidRPr="00BD60B7">
          <w:rPr>
            <w:rStyle w:val="Hypertextovodkaz"/>
            <w:rFonts w:ascii="Arial" w:eastAsia="Times New Roman" w:hAnsi="Arial" w:cs="Arial"/>
            <w:b/>
            <w:bCs/>
            <w:color w:val="0000FF"/>
            <w:sz w:val="24"/>
            <w:szCs w:val="24"/>
            <w:u w:val="none"/>
            <w:lang w:eastAsia="cs-CZ"/>
          </w:rPr>
          <w:t>……………………………</w:t>
        </w:r>
      </w:hyperlink>
      <w:r w:rsidR="00F05474" w:rsidRPr="00BD60B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="00F05474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přílohy č. 1 a předcházející tučná věta se zde uvede pouze tehdy, pokud smlouva nebude obsahovat bod 4.1.</w:t>
      </w:r>
      <w:r w:rsidR="00F05474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79E93A1D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musí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F1D213E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F05474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F0547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C470BC">
      <w:footerReference w:type="default" r:id="rId13"/>
      <w:footerReference w:type="first" r:id="rId14"/>
      <w:pgSz w:w="11906" w:h="16838"/>
      <w:pgMar w:top="1418" w:right="1418" w:bottom="1418" w:left="1418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04C66" w14:textId="77777777" w:rsidR="000546AD" w:rsidRDefault="000546AD" w:rsidP="00D40C40">
      <w:r>
        <w:separator/>
      </w:r>
    </w:p>
  </w:endnote>
  <w:endnote w:type="continuationSeparator" w:id="0">
    <w:p w14:paraId="31DB0DE8" w14:textId="77777777" w:rsidR="000546AD" w:rsidRDefault="000546A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7EFE5" w14:textId="4F970457" w:rsidR="00C470BC" w:rsidRDefault="00BD5103" w:rsidP="00C470B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470BC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3</w:t>
    </w:r>
    <w:r w:rsidR="00C470BC" w:rsidRPr="003D5F9A">
      <w:rPr>
        <w:rFonts w:ascii="Arial" w:hAnsi="Arial" w:cs="Arial"/>
        <w:i/>
        <w:sz w:val="20"/>
        <w:szCs w:val="20"/>
      </w:rPr>
      <w:t xml:space="preserve">. </w:t>
    </w:r>
    <w:r w:rsidR="00C470BC">
      <w:rPr>
        <w:rFonts w:ascii="Arial" w:hAnsi="Arial" w:cs="Arial"/>
        <w:i/>
        <w:sz w:val="20"/>
        <w:szCs w:val="20"/>
      </w:rPr>
      <w:t>9</w:t>
    </w:r>
    <w:r w:rsidR="00C470BC" w:rsidRPr="003D5F9A">
      <w:rPr>
        <w:rFonts w:ascii="Arial" w:hAnsi="Arial" w:cs="Arial"/>
        <w:i/>
        <w:sz w:val="20"/>
        <w:szCs w:val="20"/>
      </w:rPr>
      <w:t xml:space="preserve">. </w:t>
    </w:r>
    <w:r w:rsidR="00C470BC">
      <w:rPr>
        <w:rFonts w:ascii="Arial" w:hAnsi="Arial" w:cs="Arial"/>
        <w:i/>
        <w:sz w:val="20"/>
        <w:szCs w:val="20"/>
      </w:rPr>
      <w:t>2019</w:t>
    </w:r>
    <w:r w:rsidR="00C470BC" w:rsidRPr="003D5F9A">
      <w:rPr>
        <w:rFonts w:ascii="Arial" w:hAnsi="Arial" w:cs="Arial"/>
        <w:i/>
        <w:sz w:val="20"/>
        <w:szCs w:val="20"/>
      </w:rPr>
      <w:tab/>
    </w:r>
    <w:r w:rsidR="00C470BC">
      <w:rPr>
        <w:rFonts w:ascii="Arial" w:hAnsi="Arial" w:cs="Arial"/>
        <w:i/>
        <w:sz w:val="20"/>
        <w:szCs w:val="20"/>
      </w:rPr>
      <w:tab/>
      <w:t xml:space="preserve">Strana </w:t>
    </w:r>
    <w:r w:rsidR="00C470BC" w:rsidRPr="005F35C5">
      <w:rPr>
        <w:rFonts w:ascii="Arial" w:hAnsi="Arial" w:cs="Arial"/>
        <w:i/>
        <w:sz w:val="20"/>
        <w:szCs w:val="20"/>
      </w:rPr>
      <w:fldChar w:fldCharType="begin"/>
    </w:r>
    <w:r w:rsidR="00C470BC" w:rsidRPr="005F35C5">
      <w:rPr>
        <w:rFonts w:ascii="Arial" w:hAnsi="Arial" w:cs="Arial"/>
        <w:i/>
        <w:sz w:val="20"/>
        <w:szCs w:val="20"/>
      </w:rPr>
      <w:instrText>PAGE   \* MERGEFORMAT</w:instrText>
    </w:r>
    <w:r w:rsidR="00C470BC" w:rsidRPr="005F35C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61</w:t>
    </w:r>
    <w:r w:rsidR="00C470BC" w:rsidRPr="005F35C5">
      <w:rPr>
        <w:rFonts w:ascii="Arial" w:hAnsi="Arial" w:cs="Arial"/>
        <w:i/>
        <w:sz w:val="20"/>
        <w:szCs w:val="20"/>
      </w:rPr>
      <w:fldChar w:fldCharType="end"/>
    </w:r>
    <w:r w:rsidR="00C91ECA">
      <w:rPr>
        <w:rFonts w:ascii="Arial" w:hAnsi="Arial" w:cs="Arial"/>
        <w:i/>
        <w:sz w:val="20"/>
        <w:szCs w:val="20"/>
      </w:rPr>
      <w:t xml:space="preserve"> (celkem 155)</w:t>
    </w:r>
  </w:p>
  <w:p w14:paraId="59FAE53A" w14:textId="20CBEECF" w:rsidR="00C470BC" w:rsidRPr="00B378BC" w:rsidRDefault="00BD5103" w:rsidP="00C470B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C470BC">
      <w:rPr>
        <w:rFonts w:ascii="Arial" w:hAnsi="Arial" w:cs="Arial"/>
        <w:i/>
        <w:sz w:val="20"/>
        <w:szCs w:val="20"/>
      </w:rPr>
      <w:t xml:space="preserve">. – Individuální dotace a návratná finanční výpomoc z rozpočtu Olomouckého kraje </w:t>
    </w:r>
    <w:r w:rsidR="00C470BC" w:rsidRPr="003D5F9A">
      <w:rPr>
        <w:rFonts w:ascii="Arial" w:hAnsi="Arial" w:cs="Arial"/>
        <w:i/>
        <w:sz w:val="20"/>
        <w:szCs w:val="20"/>
      </w:rPr>
      <w:tab/>
    </w:r>
    <w:r w:rsidR="00C470BC">
      <w:rPr>
        <w:rFonts w:ascii="Arial" w:hAnsi="Arial" w:cs="Arial"/>
        <w:i/>
        <w:sz w:val="20"/>
        <w:szCs w:val="20"/>
      </w:rPr>
      <w:t xml:space="preserve"> </w:t>
    </w:r>
  </w:p>
  <w:p w14:paraId="0938D564" w14:textId="17FC5EDB" w:rsidR="00C470BC" w:rsidRPr="0074631A" w:rsidRDefault="00C470BC" w:rsidP="00C470BC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6: </w:t>
    </w:r>
    <w:r w:rsidRPr="00C470BC">
      <w:rPr>
        <w:rFonts w:ascii="Arial" w:hAnsi="Arial" w:cs="Arial"/>
        <w:bCs/>
        <w:i/>
        <w:sz w:val="20"/>
        <w:szCs w:val="20"/>
      </w:rPr>
      <w:t xml:space="preserve">Vzorová veřejnoprávní smlouva o poskytnutí individuální dotace na akci fyzické osobě podnikateli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4246A" w14:textId="77777777" w:rsidR="000546AD" w:rsidRDefault="000546AD" w:rsidP="00D40C40">
      <w:r>
        <w:separator/>
      </w:r>
    </w:p>
  </w:footnote>
  <w:footnote w:type="continuationSeparator" w:id="0">
    <w:p w14:paraId="6A7527E9" w14:textId="77777777" w:rsidR="000546AD" w:rsidRDefault="000546A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A84"/>
    <w:rsid w:val="00045D83"/>
    <w:rsid w:val="000463D9"/>
    <w:rsid w:val="0004640A"/>
    <w:rsid w:val="0005287A"/>
    <w:rsid w:val="000545E5"/>
    <w:rsid w:val="000546AD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76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FDB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011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5E24"/>
    <w:rsid w:val="000E6307"/>
    <w:rsid w:val="000E72E9"/>
    <w:rsid w:val="000E7952"/>
    <w:rsid w:val="000E7D2F"/>
    <w:rsid w:val="000F0519"/>
    <w:rsid w:val="000F659E"/>
    <w:rsid w:val="00100E8F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7C8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4FB"/>
    <w:rsid w:val="001777F6"/>
    <w:rsid w:val="001803E0"/>
    <w:rsid w:val="0018213C"/>
    <w:rsid w:val="0018363E"/>
    <w:rsid w:val="00183700"/>
    <w:rsid w:val="001838AB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822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28D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74C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EA9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5A7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2D43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1AE9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8FB"/>
    <w:rsid w:val="00484A44"/>
    <w:rsid w:val="00485D2C"/>
    <w:rsid w:val="00486F4C"/>
    <w:rsid w:val="00493B7C"/>
    <w:rsid w:val="00495FA8"/>
    <w:rsid w:val="004969CE"/>
    <w:rsid w:val="004975B8"/>
    <w:rsid w:val="004A007F"/>
    <w:rsid w:val="004A27E8"/>
    <w:rsid w:val="004A59CA"/>
    <w:rsid w:val="004A7217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6F79"/>
    <w:rsid w:val="005471B0"/>
    <w:rsid w:val="0055217E"/>
    <w:rsid w:val="005540C7"/>
    <w:rsid w:val="00555E8D"/>
    <w:rsid w:val="00557105"/>
    <w:rsid w:val="0056218B"/>
    <w:rsid w:val="0056241E"/>
    <w:rsid w:val="005625F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4D94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89B"/>
    <w:rsid w:val="00632D35"/>
    <w:rsid w:val="0063512A"/>
    <w:rsid w:val="00644896"/>
    <w:rsid w:val="00644A22"/>
    <w:rsid w:val="00644A29"/>
    <w:rsid w:val="00644E8F"/>
    <w:rsid w:val="00644F18"/>
    <w:rsid w:val="0065158F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1973"/>
    <w:rsid w:val="006B2170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55ACD"/>
    <w:rsid w:val="00760308"/>
    <w:rsid w:val="00760673"/>
    <w:rsid w:val="00762D41"/>
    <w:rsid w:val="0076386E"/>
    <w:rsid w:val="00763E5A"/>
    <w:rsid w:val="00764D1B"/>
    <w:rsid w:val="00766F9F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848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D80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4DCC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438A"/>
    <w:rsid w:val="0086634E"/>
    <w:rsid w:val="00866505"/>
    <w:rsid w:val="008771BB"/>
    <w:rsid w:val="008824D6"/>
    <w:rsid w:val="00882BA6"/>
    <w:rsid w:val="0088551C"/>
    <w:rsid w:val="00885BED"/>
    <w:rsid w:val="00890FB0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19B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1173"/>
    <w:rsid w:val="008F145B"/>
    <w:rsid w:val="008F4077"/>
    <w:rsid w:val="008F7D49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847"/>
    <w:rsid w:val="00912D3B"/>
    <w:rsid w:val="00913A38"/>
    <w:rsid w:val="00913B0F"/>
    <w:rsid w:val="00915064"/>
    <w:rsid w:val="0091743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38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2FB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550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3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2CD"/>
    <w:rsid w:val="00B108B5"/>
    <w:rsid w:val="00B11C98"/>
    <w:rsid w:val="00B1245E"/>
    <w:rsid w:val="00B177B5"/>
    <w:rsid w:val="00B204EE"/>
    <w:rsid w:val="00B21ADD"/>
    <w:rsid w:val="00B21E57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16"/>
    <w:rsid w:val="00B37EF1"/>
    <w:rsid w:val="00B42514"/>
    <w:rsid w:val="00B437A0"/>
    <w:rsid w:val="00B43E42"/>
    <w:rsid w:val="00B44C01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57BC2"/>
    <w:rsid w:val="00B609DE"/>
    <w:rsid w:val="00B6248B"/>
    <w:rsid w:val="00B62B0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3AB7"/>
    <w:rsid w:val="00BD447C"/>
    <w:rsid w:val="00BD4EDE"/>
    <w:rsid w:val="00BD5103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6D4F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4BC7"/>
    <w:rsid w:val="00C26A0F"/>
    <w:rsid w:val="00C2743A"/>
    <w:rsid w:val="00C30594"/>
    <w:rsid w:val="00C31237"/>
    <w:rsid w:val="00C32822"/>
    <w:rsid w:val="00C33655"/>
    <w:rsid w:val="00C34051"/>
    <w:rsid w:val="00C3510F"/>
    <w:rsid w:val="00C35596"/>
    <w:rsid w:val="00C368D1"/>
    <w:rsid w:val="00C36A1D"/>
    <w:rsid w:val="00C37AF3"/>
    <w:rsid w:val="00C43C6C"/>
    <w:rsid w:val="00C43E35"/>
    <w:rsid w:val="00C470BC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1ECA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1B03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47A0C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44D5"/>
    <w:rsid w:val="00DB68A2"/>
    <w:rsid w:val="00DC038B"/>
    <w:rsid w:val="00DC039D"/>
    <w:rsid w:val="00DC039E"/>
    <w:rsid w:val="00DC473B"/>
    <w:rsid w:val="00DC5C4C"/>
    <w:rsid w:val="00DD176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1529A"/>
    <w:rsid w:val="00E21EF9"/>
    <w:rsid w:val="00E22986"/>
    <w:rsid w:val="00E25D52"/>
    <w:rsid w:val="00E261F7"/>
    <w:rsid w:val="00E26B33"/>
    <w:rsid w:val="00E276C5"/>
    <w:rsid w:val="00E3383E"/>
    <w:rsid w:val="00E3394B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34B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4D36"/>
    <w:rsid w:val="00EC5A31"/>
    <w:rsid w:val="00EC6165"/>
    <w:rsid w:val="00EC79E3"/>
    <w:rsid w:val="00EC7BBF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4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085A"/>
    <w:rsid w:val="00F6170C"/>
    <w:rsid w:val="00F630A7"/>
    <w:rsid w:val="00F63D55"/>
    <w:rsid w:val="00F64000"/>
    <w:rsid w:val="00F641E7"/>
    <w:rsid w:val="00F647AB"/>
    <w:rsid w:val="00F65C64"/>
    <w:rsid w:val="00F66951"/>
    <w:rsid w:val="00F71563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3DBB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olomoucky.cz/dotace20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olomoucky.cz/dotace20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11F9-3750-4D5E-8F56-0F22878B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4779</Words>
  <Characters>28199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3</cp:revision>
  <cp:lastPrinted>2019-08-29T08:54:00Z</cp:lastPrinted>
  <dcterms:created xsi:type="dcterms:W3CDTF">2019-09-02T13:16:00Z</dcterms:created>
  <dcterms:modified xsi:type="dcterms:W3CDTF">2019-09-04T12:20:00Z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