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543C3F" w:rsidRDefault="00543C3F" w:rsidP="00543C3F">
      <w:pPr>
        <w:pStyle w:val="Zkladntextodsazen"/>
        <w:ind w:left="0" w:firstLine="708"/>
        <w:jc w:val="both"/>
        <w:rPr>
          <w:rFonts w:ascii="Arial" w:hAnsi="Arial" w:cs="Arial"/>
        </w:rPr>
      </w:pPr>
    </w:p>
    <w:p w:rsidR="00942CDF" w:rsidRDefault="00942CDF" w:rsidP="00942CDF">
      <w:pPr>
        <w:pStyle w:val="Dopisnadpissdlen"/>
        <w:spacing w:before="120" w:after="120"/>
        <w:rPr>
          <w:b w:val="0"/>
        </w:rPr>
      </w:pPr>
    </w:p>
    <w:p w:rsidR="00942CDF" w:rsidRDefault="00942CDF" w:rsidP="00942CDF">
      <w:pPr>
        <w:pStyle w:val="Dopisnadpissdlen"/>
        <w:spacing w:before="120" w:after="120"/>
        <w:rPr>
          <w:b w:val="0"/>
        </w:rPr>
      </w:pPr>
      <w:r>
        <w:rPr>
          <w:b w:val="0"/>
        </w:rPr>
        <w:t xml:space="preserve">Zastupitelstvo Olomouckého kraje dne 24. 6. 2019 (číslo usnesení </w:t>
      </w:r>
      <w:r w:rsidRPr="00203E35">
        <w:rPr>
          <w:b w:val="0"/>
        </w:rPr>
        <w:t>UZ/16/58/2019</w:t>
      </w:r>
      <w:r>
        <w:rPr>
          <w:b w:val="0"/>
        </w:rPr>
        <w:t>) zmocnilo Radu Olomoucké kraje k fixaci úrokové sazby u běžících obchodů.</w:t>
      </w:r>
      <w:r w:rsidR="00FE38DB">
        <w:rPr>
          <w:b w:val="0"/>
        </w:rPr>
        <w:t xml:space="preserve"> Bez Rámcové smlouvy nelze provést fixaci úrokové sazby.</w:t>
      </w:r>
    </w:p>
    <w:p w:rsidR="00942CDF" w:rsidRDefault="00942CDF" w:rsidP="00942CDF">
      <w:pPr>
        <w:pStyle w:val="Dopisnadpissdlen"/>
        <w:spacing w:before="120" w:after="120"/>
        <w:rPr>
          <w:b w:val="0"/>
        </w:rPr>
      </w:pPr>
    </w:p>
    <w:p w:rsidR="005078DC" w:rsidRPr="005078DC" w:rsidRDefault="005078DC" w:rsidP="00942CDF">
      <w:pPr>
        <w:pStyle w:val="Dopisnadpissdlen"/>
        <w:spacing w:before="120" w:after="120"/>
        <w:rPr>
          <w:b w:val="0"/>
        </w:rPr>
      </w:pPr>
      <w:r>
        <w:rPr>
          <w:b w:val="0"/>
        </w:rPr>
        <w:t>Rámcová smlouva o obchodování na finančním trhu byla předložena Komerční bankou, a.s. až po schválení tohoto materiálu v Zastupitelstvu Olomouckého kraje dne 24.</w:t>
      </w:r>
      <w:r w:rsidR="00243751">
        <w:rPr>
          <w:b w:val="0"/>
        </w:rPr>
        <w:t xml:space="preserve"> </w:t>
      </w:r>
      <w:r>
        <w:rPr>
          <w:b w:val="0"/>
        </w:rPr>
        <w:t>6.</w:t>
      </w:r>
      <w:r w:rsidR="00243751">
        <w:rPr>
          <w:b w:val="0"/>
        </w:rPr>
        <w:t xml:space="preserve"> </w:t>
      </w:r>
      <w:r>
        <w:rPr>
          <w:b w:val="0"/>
        </w:rPr>
        <w:t>201</w:t>
      </w:r>
      <w:r w:rsidR="00243751">
        <w:rPr>
          <w:b w:val="0"/>
        </w:rPr>
        <w:t>9</w:t>
      </w:r>
      <w:r>
        <w:rPr>
          <w:b w:val="0"/>
        </w:rPr>
        <w:t>.</w:t>
      </w:r>
    </w:p>
    <w:p w:rsidR="00F72175" w:rsidRDefault="00F72175" w:rsidP="00942CDF">
      <w:pPr>
        <w:pStyle w:val="Dopisnadpissdlen"/>
        <w:spacing w:before="120" w:after="120"/>
        <w:rPr>
          <w:b w:val="0"/>
        </w:rPr>
      </w:pPr>
    </w:p>
    <w:p w:rsidR="00942CDF" w:rsidRPr="005078DC" w:rsidRDefault="00F72175" w:rsidP="00942CDF">
      <w:pPr>
        <w:pStyle w:val="Dopisnadpissdlen"/>
        <w:spacing w:before="120" w:after="120"/>
        <w:rPr>
          <w:b w:val="0"/>
        </w:rPr>
      </w:pPr>
      <w:r>
        <w:rPr>
          <w:b w:val="0"/>
        </w:rPr>
        <w:t>Pro upřesnění uvádíme, že v Příloze č. 3 Rámcové smlouvy o obchodování na finančním trhu jsou oprávněné osoby, po předchozím schválení Radou Olomouckého kraje: A) uzavírat, měnit nebo předčasně ukončovat za Klienta Obchody a B) podepisovat za Klienta Konfirmace a kontaktní osoba pro účely rekonciliace portf</w:t>
      </w:r>
      <w:r w:rsidR="007C7BEC">
        <w:rPr>
          <w:b w:val="0"/>
        </w:rPr>
        <w:t>o</w:t>
      </w:r>
      <w:r>
        <w:rPr>
          <w:b w:val="0"/>
        </w:rPr>
        <w:t>lií</w:t>
      </w:r>
      <w:r w:rsidR="007C7BEC">
        <w:rPr>
          <w:b w:val="0"/>
        </w:rPr>
        <w:t xml:space="preserve"> (Obchodů)</w:t>
      </w:r>
      <w:r>
        <w:rPr>
          <w:b w:val="0"/>
        </w:rPr>
        <w:t>.</w:t>
      </w:r>
    </w:p>
    <w:p w:rsidR="00F72175" w:rsidRDefault="00F72175" w:rsidP="00942CDF">
      <w:pPr>
        <w:pStyle w:val="Dopisnadpissdlen"/>
        <w:spacing w:before="120" w:after="120"/>
        <w:rPr>
          <w:b w:val="0"/>
        </w:rPr>
      </w:pPr>
    </w:p>
    <w:p w:rsidR="00942CDF" w:rsidRDefault="00942CDF" w:rsidP="00942CDF">
      <w:pPr>
        <w:pStyle w:val="Dopisnadpissdlen"/>
        <w:spacing w:before="120" w:after="120"/>
        <w:rPr>
          <w:b w:val="0"/>
        </w:rPr>
      </w:pPr>
      <w:r w:rsidRPr="00990F0F">
        <w:rPr>
          <w:b w:val="0"/>
        </w:rPr>
        <w:t>Komerční banka a.s. předložila Olomouckému kraji</w:t>
      </w:r>
      <w:r>
        <w:rPr>
          <w:b w:val="0"/>
        </w:rPr>
        <w:t xml:space="preserve"> opakovaně</w:t>
      </w:r>
      <w:r w:rsidRPr="00990F0F">
        <w:rPr>
          <w:b w:val="0"/>
        </w:rPr>
        <w:t xml:space="preserve"> indikativní nabídku na </w:t>
      </w:r>
      <w:r>
        <w:rPr>
          <w:b w:val="0"/>
        </w:rPr>
        <w:t xml:space="preserve">fixaci PRIBORU k běžícím obchodům (uzavřeným smlouvám o úvěrech ve výši 700 mil. Kč a 100 mil. Kč). </w:t>
      </w:r>
      <w:r w:rsidR="00667E0F">
        <w:rPr>
          <w:b w:val="0"/>
        </w:rPr>
        <w:t>Indikativní nabídku k úvěru ve výši 700 mil. Kč vzala porada vedení na vědomí a doporučila nepředkládat na jednání Rady Olomouckého kraje.</w:t>
      </w:r>
    </w:p>
    <w:p w:rsidR="00942CDF" w:rsidRDefault="00942CDF" w:rsidP="00942CDF">
      <w:pPr>
        <w:pStyle w:val="Dopisnadpissdlen"/>
        <w:spacing w:before="120" w:after="120"/>
        <w:rPr>
          <w:b w:val="0"/>
        </w:rPr>
      </w:pPr>
    </w:p>
    <w:p w:rsidR="00942CDF" w:rsidRPr="004E4A30" w:rsidRDefault="00667E0F" w:rsidP="00667E0F">
      <w:pPr>
        <w:pStyle w:val="Dopisnadpissdlen"/>
        <w:spacing w:before="120" w:after="120"/>
        <w:rPr>
          <w:b w:val="0"/>
        </w:rPr>
      </w:pPr>
      <w:r>
        <w:rPr>
          <w:b w:val="0"/>
        </w:rPr>
        <w:t>Úvěrový rámec ve výši</w:t>
      </w:r>
      <w:r w:rsidR="00942CDF" w:rsidRPr="0000376D">
        <w:rPr>
          <w:b w:val="0"/>
        </w:rPr>
        <w:t xml:space="preserve"> </w:t>
      </w:r>
      <w:r>
        <w:rPr>
          <w:b w:val="0"/>
        </w:rPr>
        <w:t xml:space="preserve">100 mil. Kč </w:t>
      </w:r>
      <w:r w:rsidR="00942CDF" w:rsidRPr="0000376D">
        <w:rPr>
          <w:b w:val="0"/>
        </w:rPr>
        <w:t xml:space="preserve">schválilo Zastupitelstvo Olomouckého kraje dne </w:t>
      </w:r>
      <w:r>
        <w:rPr>
          <w:b w:val="0"/>
        </w:rPr>
        <w:br/>
      </w:r>
      <w:r w:rsidR="00942CDF" w:rsidRPr="0000376D">
        <w:rPr>
          <w:b w:val="0"/>
        </w:rPr>
        <w:t>24. 4. 2017. Úvěr je ve fázi čerpání. Úroková sazba je nastavena na 6M PRIBOR - pevná odchylka 0,07%.</w:t>
      </w:r>
      <w:r w:rsidR="00942CDF">
        <w:rPr>
          <w:b w:val="0"/>
        </w:rPr>
        <w:t xml:space="preserve"> Úvěr bude splácen od roku 2020. Výše splátek se bude odvíjet od celkově vyčerpaného úvěru. Aktuálně k datu </w:t>
      </w:r>
      <w:r>
        <w:rPr>
          <w:b w:val="0"/>
        </w:rPr>
        <w:t>6. 8</w:t>
      </w:r>
      <w:r w:rsidR="00942CDF">
        <w:rPr>
          <w:b w:val="0"/>
        </w:rPr>
        <w:t xml:space="preserve">. 2019 má Olomoucký kraj načerpáno z úvěru celkem </w:t>
      </w:r>
      <w:r>
        <w:rPr>
          <w:b w:val="0"/>
        </w:rPr>
        <w:t>69 565 646,24</w:t>
      </w:r>
      <w:r w:rsidR="00942CDF">
        <w:rPr>
          <w:b w:val="0"/>
        </w:rPr>
        <w:t xml:space="preserve"> Kč. </w:t>
      </w:r>
      <w:r w:rsidR="00942CDF" w:rsidRPr="0000376D">
        <w:rPr>
          <w:b w:val="0"/>
        </w:rPr>
        <w:t xml:space="preserve"> Komerční banka předložila v průběhu roku 2018 a 2019 </w:t>
      </w:r>
      <w:r w:rsidR="00FE51D8" w:rsidRPr="00FE51D8">
        <w:rPr>
          <w:b w:val="0"/>
        </w:rPr>
        <w:t>šest</w:t>
      </w:r>
      <w:r w:rsidR="00942CDF" w:rsidRPr="0000376D">
        <w:rPr>
          <w:b w:val="0"/>
        </w:rPr>
        <w:t xml:space="preserve"> indikativní</w:t>
      </w:r>
      <w:r w:rsidR="00942CDF">
        <w:rPr>
          <w:b w:val="0"/>
        </w:rPr>
        <w:t>ch</w:t>
      </w:r>
      <w:r w:rsidR="00942CDF" w:rsidRPr="0000376D">
        <w:rPr>
          <w:b w:val="0"/>
        </w:rPr>
        <w:t xml:space="preserve"> nabíd</w:t>
      </w:r>
      <w:r w:rsidR="00942CDF">
        <w:rPr>
          <w:b w:val="0"/>
        </w:rPr>
        <w:t>e</w:t>
      </w:r>
      <w:r w:rsidR="00942CDF" w:rsidRPr="0000376D">
        <w:rPr>
          <w:b w:val="0"/>
        </w:rPr>
        <w:t xml:space="preserve">k na </w:t>
      </w:r>
      <w:r w:rsidR="00942CDF">
        <w:rPr>
          <w:b w:val="0"/>
        </w:rPr>
        <w:t xml:space="preserve">Úrokový swap (viz. </w:t>
      </w:r>
      <w:r w:rsidR="00F3740D">
        <w:rPr>
          <w:b w:val="0"/>
        </w:rPr>
        <w:t>P</w:t>
      </w:r>
      <w:r w:rsidR="00942CDF">
        <w:rPr>
          <w:b w:val="0"/>
        </w:rPr>
        <w:t xml:space="preserve">říloha č. 1 – přehled indikativních nabídek). Indikativní nabídky byly předloženy na poradu vedení, </w:t>
      </w:r>
      <w:r w:rsidR="00942CDF" w:rsidRPr="004E4A30">
        <w:rPr>
          <w:b w:val="0"/>
        </w:rPr>
        <w:t xml:space="preserve">která nabídky vzala na vědomí a doporučila </w:t>
      </w:r>
      <w:r w:rsidR="0061674D" w:rsidRPr="004E4A30">
        <w:rPr>
          <w:b w:val="0"/>
        </w:rPr>
        <w:t>předložit</w:t>
      </w:r>
      <w:r w:rsidR="00942CDF" w:rsidRPr="004E4A30">
        <w:rPr>
          <w:b w:val="0"/>
        </w:rPr>
        <w:t xml:space="preserve"> na </w:t>
      </w:r>
      <w:r w:rsidR="00FE51D8">
        <w:rPr>
          <w:b w:val="0"/>
        </w:rPr>
        <w:t>jednání Rady</w:t>
      </w:r>
      <w:r w:rsidR="00942CDF" w:rsidRPr="004E4A30">
        <w:rPr>
          <w:b w:val="0"/>
        </w:rPr>
        <w:t xml:space="preserve"> Olomouckého kraje.</w:t>
      </w:r>
    </w:p>
    <w:p w:rsidR="00667E0F" w:rsidRDefault="00667E0F" w:rsidP="00667E0F">
      <w:pPr>
        <w:pStyle w:val="Dopisnadpissdlen"/>
        <w:spacing w:before="120" w:after="120"/>
        <w:rPr>
          <w:b w:val="0"/>
        </w:rPr>
      </w:pPr>
    </w:p>
    <w:p w:rsidR="00942CDF" w:rsidRDefault="00942CDF" w:rsidP="00667E0F">
      <w:pPr>
        <w:pStyle w:val="Dopisnadpissdlen"/>
        <w:spacing w:before="120" w:after="120"/>
        <w:rPr>
          <w:b w:val="0"/>
        </w:rPr>
      </w:pPr>
      <w:r>
        <w:rPr>
          <w:b w:val="0"/>
        </w:rPr>
        <w:t xml:space="preserve">Popis produktu: Úrokový swap je dohoda, v rámci které se smluvní strany (Klient a Banka) vyměňují úrokové platby. Jedna strana je plátcem úrokových plateb vycházejících z Pevné sazby a druhá strana je plátcem úrokových plateb vycházejících se sazby Plovoucí. Jednotlivé platby se proti sobě započítávají a na konci každého Úrokovacího období tak dochází vždy pouze k jednomu peněžnímu toku. Sjednaný obchod je závazný pro obě strany. V případě modifikace či předčasného zrušení obchodu bude, v závislosti na tržním vývoji, vypořádána tržní hodnota dotčené transakce. Sjednání Úrokového swapu s sebou nenese žádné poplatky. </w:t>
      </w:r>
    </w:p>
    <w:p w:rsidR="00942CDF" w:rsidRDefault="00942CDF" w:rsidP="00667E0F">
      <w:pPr>
        <w:pStyle w:val="Dopisnadpissdlen"/>
        <w:spacing w:before="120" w:after="120"/>
        <w:rPr>
          <w:b w:val="0"/>
        </w:rPr>
      </w:pPr>
      <w:r>
        <w:rPr>
          <w:b w:val="0"/>
        </w:rPr>
        <w:t>Předpoklad nabytí účinnosti nabídky je k 31. 5. 2020. Úvěr bude pravděpodobně vyčerpán do konce roku 2019.</w:t>
      </w:r>
    </w:p>
    <w:p w:rsidR="004E4A30" w:rsidRDefault="004E4A30" w:rsidP="00942CDF">
      <w:pPr>
        <w:pStyle w:val="Dopisnadpissdlen"/>
        <w:spacing w:before="120" w:after="120"/>
        <w:ind w:left="426"/>
        <w:rPr>
          <w:b w:val="0"/>
        </w:rPr>
      </w:pPr>
    </w:p>
    <w:p w:rsidR="00942CDF" w:rsidRDefault="00942CDF" w:rsidP="00667E0F">
      <w:pPr>
        <w:pStyle w:val="Dopisnadpissdlen"/>
        <w:spacing w:before="120" w:after="120"/>
        <w:rPr>
          <w:b w:val="0"/>
        </w:rPr>
      </w:pPr>
      <w:r>
        <w:rPr>
          <w:b w:val="0"/>
        </w:rPr>
        <w:t xml:space="preserve">V Příloze č. 1 </w:t>
      </w:r>
      <w:bookmarkStart w:id="0" w:name="_GoBack"/>
      <w:bookmarkEnd w:id="0"/>
      <w:r>
        <w:rPr>
          <w:b w:val="0"/>
        </w:rPr>
        <w:t>předkládáme dle data jednotlivé úrokové sazby.</w:t>
      </w:r>
    </w:p>
    <w:p w:rsidR="004E4A30" w:rsidRDefault="004E4A30" w:rsidP="00942CDF">
      <w:pPr>
        <w:pStyle w:val="Dopisnadpissdlen"/>
        <w:spacing w:before="120" w:after="120"/>
        <w:ind w:left="426"/>
      </w:pPr>
    </w:p>
    <w:p w:rsidR="00DE1B58" w:rsidRDefault="00DE1B58" w:rsidP="00942CDF">
      <w:pPr>
        <w:pStyle w:val="Dopisnadpissdlen"/>
        <w:spacing w:before="120" w:after="120"/>
        <w:ind w:left="426"/>
      </w:pPr>
    </w:p>
    <w:p w:rsidR="00DE1B58" w:rsidRDefault="00DE1B58" w:rsidP="00942CDF">
      <w:pPr>
        <w:pStyle w:val="Dopisnadpissdlen"/>
        <w:spacing w:before="120" w:after="120"/>
        <w:ind w:left="426"/>
      </w:pPr>
    </w:p>
    <w:p w:rsidR="00942CDF" w:rsidRPr="00D5098B" w:rsidRDefault="00942CDF" w:rsidP="00667E0F">
      <w:pPr>
        <w:pStyle w:val="Dopisnadpissdlen"/>
        <w:spacing w:before="120" w:after="120"/>
      </w:pPr>
      <w:r w:rsidRPr="00D5098B">
        <w:lastRenderedPageBreak/>
        <w:t xml:space="preserve">V případě, že </w:t>
      </w:r>
      <w:r w:rsidR="004E4A30">
        <w:t>se Olomoucký kraj rozhodne</w:t>
      </w:r>
      <w:r w:rsidRPr="00D5098B">
        <w:t xml:space="preserve"> fixovat úrokovou sazbu u tohoto úvěru, </w:t>
      </w:r>
      <w:r w:rsidR="004E4A30">
        <w:t>je nutné</w:t>
      </w:r>
      <w:r w:rsidRPr="00D5098B">
        <w:t xml:space="preserve"> uzavřít s Komerční bankou, a.s. Rámcovou smlouvu, která </w:t>
      </w:r>
      <w:r w:rsidR="004E4A30">
        <w:t>je</w:t>
      </w:r>
      <w:r w:rsidR="00243751">
        <w:t xml:space="preserve"> v Příloze č. 2 tohoto materiálu</w:t>
      </w:r>
      <w:r w:rsidRPr="00D5098B">
        <w:t>.</w:t>
      </w:r>
    </w:p>
    <w:p w:rsidR="00942CDF" w:rsidRPr="00D5098B" w:rsidRDefault="00942CDF" w:rsidP="00942CDF">
      <w:pPr>
        <w:pStyle w:val="Zkladntextodsazendek"/>
        <w:rPr>
          <w:b/>
          <w:sz w:val="10"/>
          <w:szCs w:val="10"/>
        </w:rPr>
      </w:pPr>
    </w:p>
    <w:p w:rsidR="00942CDF" w:rsidRPr="00667E0F" w:rsidRDefault="00667E0F" w:rsidP="00667E0F">
      <w:pPr>
        <w:pStyle w:val="Zkladntextodsazendek"/>
        <w:ind w:left="0"/>
        <w:rPr>
          <w:b/>
        </w:rPr>
      </w:pPr>
      <w:r w:rsidRPr="00667E0F">
        <w:t xml:space="preserve">Na základě výše uvedeného předkladatel a zpracovatel navrhují Radě Olomouckého kraje souhlasit s uzavření Rámcové smlouvy o obchodech na finančním trhu </w:t>
      </w:r>
      <w:r>
        <w:t xml:space="preserve">dle Přílohy č. </w:t>
      </w:r>
      <w:r w:rsidR="00243751">
        <w:t>2</w:t>
      </w:r>
      <w:r w:rsidRPr="00667E0F">
        <w:t xml:space="preserve"> </w:t>
      </w:r>
      <w:r>
        <w:br/>
      </w:r>
      <w:r w:rsidRPr="00667E0F">
        <w:t xml:space="preserve">a současně doporučit Zastupitelstvu Olomouckého kraje, na základě §36, písmena i) zákona 129/2000 Sb. o krajích, schválit uzavření </w:t>
      </w:r>
      <w:r>
        <w:t xml:space="preserve">Rámcové smlouvy o obchodování na finančním trhu a </w:t>
      </w:r>
      <w:r w:rsidRPr="00667E0F">
        <w:t>pověřit hejtmana Ladi</w:t>
      </w:r>
      <w:r>
        <w:t>slava Oklešťka k podepsání smlouvy.</w:t>
      </w:r>
      <w:r w:rsidRPr="00667E0F">
        <w:t xml:space="preserve"> </w:t>
      </w: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DE1B58" w:rsidRDefault="00DE1B58" w:rsidP="00667E0F">
      <w:pPr>
        <w:pStyle w:val="Zkladntextodsazendek"/>
        <w:ind w:left="0"/>
        <w:rPr>
          <w:rFonts w:cs="Arial"/>
          <w:szCs w:val="24"/>
          <w:u w:val="single"/>
        </w:rPr>
      </w:pPr>
    </w:p>
    <w:p w:rsidR="00543C3F" w:rsidRPr="0079026C" w:rsidRDefault="00543C3F" w:rsidP="00667E0F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543C3F" w:rsidRPr="00543C3F" w:rsidRDefault="00543C3F" w:rsidP="00543C3F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- </w:t>
      </w:r>
      <w:r w:rsidRPr="00543C3F">
        <w:rPr>
          <w:rFonts w:ascii="Arial" w:hAnsi="Arial" w:cs="Arial"/>
        </w:rPr>
        <w:t>Příloha č. 1</w:t>
      </w:r>
    </w:p>
    <w:p w:rsidR="00543C3F" w:rsidRPr="00543C3F" w:rsidRDefault="00543C3F" w:rsidP="00543C3F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543C3F">
        <w:rPr>
          <w:rFonts w:ascii="Arial" w:hAnsi="Arial" w:cs="Arial"/>
          <w:sz w:val="24"/>
          <w:szCs w:val="24"/>
        </w:rPr>
        <w:t xml:space="preserve">Přehled </w:t>
      </w:r>
      <w:r w:rsidR="00EC67C4">
        <w:rPr>
          <w:rFonts w:ascii="Arial" w:hAnsi="Arial" w:cs="Arial"/>
          <w:sz w:val="24"/>
          <w:szCs w:val="24"/>
        </w:rPr>
        <w:t>indikativních nabídek</w:t>
      </w:r>
      <w:r w:rsidRPr="00543C3F">
        <w:rPr>
          <w:rFonts w:ascii="Arial" w:hAnsi="Arial" w:cs="Arial"/>
          <w:sz w:val="24"/>
          <w:szCs w:val="24"/>
        </w:rPr>
        <w:tab/>
        <w:t xml:space="preserve">(strana </w:t>
      </w:r>
      <w:r w:rsidR="00D962F9">
        <w:rPr>
          <w:rFonts w:ascii="Arial" w:hAnsi="Arial" w:cs="Arial"/>
          <w:sz w:val="24"/>
          <w:szCs w:val="24"/>
        </w:rPr>
        <w:t>3</w:t>
      </w:r>
      <w:r w:rsidRPr="00543C3F">
        <w:rPr>
          <w:rFonts w:ascii="Arial" w:hAnsi="Arial" w:cs="Arial"/>
          <w:sz w:val="24"/>
          <w:szCs w:val="24"/>
        </w:rPr>
        <w:t>)</w:t>
      </w:r>
    </w:p>
    <w:p w:rsidR="00543C3F" w:rsidRPr="00543C3F" w:rsidRDefault="00543C3F" w:rsidP="00543C3F">
      <w:pPr>
        <w:rPr>
          <w:rFonts w:ascii="Arial" w:hAnsi="Arial" w:cs="Arial"/>
          <w:sz w:val="24"/>
          <w:szCs w:val="24"/>
        </w:rPr>
      </w:pPr>
    </w:p>
    <w:p w:rsidR="00543C3F" w:rsidRPr="00543C3F" w:rsidRDefault="00543C3F" w:rsidP="00543C3F">
      <w:pPr>
        <w:pStyle w:val="Zkladntextodsazen"/>
        <w:ind w:left="900" w:hanging="900"/>
        <w:jc w:val="both"/>
        <w:rPr>
          <w:rFonts w:ascii="Arial" w:hAnsi="Arial" w:cs="Arial"/>
        </w:rPr>
      </w:pPr>
      <w:r w:rsidRPr="00543C3F">
        <w:rPr>
          <w:rFonts w:ascii="Arial" w:hAnsi="Arial" w:cs="Arial"/>
        </w:rPr>
        <w:t>- Příloha č. 2</w:t>
      </w:r>
    </w:p>
    <w:p w:rsidR="00543C3F" w:rsidRDefault="005D0E12" w:rsidP="00543C3F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Rámcová smlouva</w:t>
      </w:r>
      <w:r w:rsidR="00543C3F" w:rsidRPr="00543C3F">
        <w:rPr>
          <w:rFonts w:ascii="Arial" w:hAnsi="Arial" w:cs="Arial"/>
          <w:sz w:val="24"/>
          <w:szCs w:val="24"/>
        </w:rPr>
        <w:tab/>
        <w:t xml:space="preserve">(strana </w:t>
      </w:r>
      <w:r w:rsidR="00942CDF">
        <w:rPr>
          <w:rFonts w:ascii="Arial" w:hAnsi="Arial" w:cs="Arial"/>
          <w:sz w:val="24"/>
          <w:szCs w:val="24"/>
        </w:rPr>
        <w:t>4</w:t>
      </w:r>
      <w:r w:rsidR="00543C3F" w:rsidRPr="00543C3F">
        <w:rPr>
          <w:rFonts w:ascii="Arial" w:hAnsi="Arial" w:cs="Arial"/>
          <w:sz w:val="24"/>
          <w:szCs w:val="24"/>
        </w:rPr>
        <w:t xml:space="preserve"> - </w:t>
      </w:r>
      <w:r w:rsidR="00942CDF">
        <w:rPr>
          <w:rFonts w:ascii="Arial" w:hAnsi="Arial" w:cs="Arial"/>
          <w:sz w:val="24"/>
          <w:szCs w:val="24"/>
        </w:rPr>
        <w:t>39</w:t>
      </w:r>
      <w:r w:rsidR="00543C3F" w:rsidRPr="00543C3F">
        <w:rPr>
          <w:rFonts w:ascii="Arial" w:hAnsi="Arial" w:cs="Arial"/>
          <w:sz w:val="24"/>
          <w:szCs w:val="24"/>
        </w:rPr>
        <w:t>)</w:t>
      </w:r>
    </w:p>
    <w:p w:rsidR="0068628D" w:rsidRPr="00543C3F" w:rsidRDefault="0068628D" w:rsidP="00543C3F">
      <w:pPr>
        <w:tabs>
          <w:tab w:val="left" w:pos="7371"/>
        </w:tabs>
        <w:rPr>
          <w:rFonts w:ascii="Arial" w:hAnsi="Arial" w:cs="Arial"/>
          <w:b/>
          <w:bCs/>
          <w:noProof/>
          <w:sz w:val="24"/>
          <w:szCs w:val="24"/>
        </w:rPr>
      </w:pPr>
    </w:p>
    <w:p w:rsidR="00543C3F" w:rsidRDefault="00543C3F" w:rsidP="0079026C">
      <w:pPr>
        <w:pStyle w:val="Zkladntextodsazendek"/>
        <w:ind w:left="0"/>
      </w:pPr>
    </w:p>
    <w:sectPr w:rsidR="00543C3F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5A1446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23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0B1115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261A6C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82285E">
      <w:rPr>
        <w:rStyle w:val="slostrnky"/>
        <w:rFonts w:ascii="Arial" w:hAnsi="Arial" w:cs="Arial"/>
        <w:i/>
        <w:iCs/>
      </w:rPr>
      <w:t>39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1B2214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</w:t>
    </w:r>
    <w:r w:rsidR="00543C3F">
      <w:rPr>
        <w:rFonts w:ascii="Arial" w:hAnsi="Arial" w:cs="Arial"/>
        <w:i/>
      </w:rPr>
      <w:t>–</w:t>
    </w:r>
    <w:r w:rsidR="002549D7" w:rsidRPr="00606DB4">
      <w:t xml:space="preserve"> </w:t>
    </w:r>
    <w:r w:rsidR="005D329D" w:rsidRPr="005D329D">
      <w:rPr>
        <w:rFonts w:ascii="Arial" w:hAnsi="Arial" w:cs="Arial"/>
        <w:i/>
        <w:iCs/>
      </w:rPr>
      <w:t xml:space="preserve">Rámcová smlouva o obchodování na finančním trhu s </w:t>
    </w:r>
    <w:r w:rsidR="005D329D">
      <w:rPr>
        <w:rFonts w:ascii="Arial" w:hAnsi="Arial" w:cs="Arial"/>
        <w:i/>
        <w:iCs/>
      </w:rPr>
      <w:t>KB</w:t>
    </w:r>
    <w:r w:rsidR="005D329D" w:rsidRPr="005D329D">
      <w:rPr>
        <w:rFonts w:ascii="Arial" w:hAnsi="Arial" w:cs="Arial"/>
        <w:i/>
        <w:iCs/>
      </w:rPr>
      <w:t>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138C"/>
    <w:multiLevelType w:val="hybridMultilevel"/>
    <w:tmpl w:val="047C8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14F68"/>
    <w:multiLevelType w:val="hybridMultilevel"/>
    <w:tmpl w:val="7E529F62"/>
    <w:lvl w:ilvl="0" w:tplc="4B4E55C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3652FF"/>
    <w:multiLevelType w:val="hybridMultilevel"/>
    <w:tmpl w:val="D18A15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153C"/>
    <w:multiLevelType w:val="hybridMultilevel"/>
    <w:tmpl w:val="8B3E2E06"/>
    <w:lvl w:ilvl="0" w:tplc="1F0A24D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61179D"/>
    <w:multiLevelType w:val="hybridMultilevel"/>
    <w:tmpl w:val="9196C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B42A4"/>
    <w:multiLevelType w:val="hybridMultilevel"/>
    <w:tmpl w:val="D406AB80"/>
    <w:lvl w:ilvl="0" w:tplc="EB76D6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4155"/>
    <w:multiLevelType w:val="hybridMultilevel"/>
    <w:tmpl w:val="D0D03238"/>
    <w:lvl w:ilvl="0" w:tplc="E4CE3B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7E83"/>
    <w:rsid w:val="00040DA6"/>
    <w:rsid w:val="000443D1"/>
    <w:rsid w:val="00061CA6"/>
    <w:rsid w:val="00063BDE"/>
    <w:rsid w:val="00070B0E"/>
    <w:rsid w:val="000836B0"/>
    <w:rsid w:val="00087ABA"/>
    <w:rsid w:val="000A304F"/>
    <w:rsid w:val="000B1115"/>
    <w:rsid w:val="000B53F2"/>
    <w:rsid w:val="000D54F9"/>
    <w:rsid w:val="000E0B6B"/>
    <w:rsid w:val="000F51D1"/>
    <w:rsid w:val="00102FF7"/>
    <w:rsid w:val="00130188"/>
    <w:rsid w:val="00131917"/>
    <w:rsid w:val="001353F1"/>
    <w:rsid w:val="00150E03"/>
    <w:rsid w:val="00174143"/>
    <w:rsid w:val="0017456F"/>
    <w:rsid w:val="00181B04"/>
    <w:rsid w:val="00182C9F"/>
    <w:rsid w:val="00185AC4"/>
    <w:rsid w:val="00196757"/>
    <w:rsid w:val="001A46D5"/>
    <w:rsid w:val="001B2214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04B85"/>
    <w:rsid w:val="00222D5A"/>
    <w:rsid w:val="00223F81"/>
    <w:rsid w:val="00223FAE"/>
    <w:rsid w:val="00224F3C"/>
    <w:rsid w:val="00243751"/>
    <w:rsid w:val="0025132F"/>
    <w:rsid w:val="00251AFD"/>
    <w:rsid w:val="0025339A"/>
    <w:rsid w:val="002549D7"/>
    <w:rsid w:val="00261A6C"/>
    <w:rsid w:val="00262DE3"/>
    <w:rsid w:val="00264146"/>
    <w:rsid w:val="0026421E"/>
    <w:rsid w:val="002823F2"/>
    <w:rsid w:val="002829B0"/>
    <w:rsid w:val="00284891"/>
    <w:rsid w:val="002901D7"/>
    <w:rsid w:val="0029354F"/>
    <w:rsid w:val="00296FF7"/>
    <w:rsid w:val="002A1106"/>
    <w:rsid w:val="002B0CD7"/>
    <w:rsid w:val="002B12F5"/>
    <w:rsid w:val="002B3693"/>
    <w:rsid w:val="002C6163"/>
    <w:rsid w:val="002E403D"/>
    <w:rsid w:val="002E440B"/>
    <w:rsid w:val="002E536C"/>
    <w:rsid w:val="002E5B9A"/>
    <w:rsid w:val="00300F6A"/>
    <w:rsid w:val="00314053"/>
    <w:rsid w:val="00314F25"/>
    <w:rsid w:val="00316AF1"/>
    <w:rsid w:val="003229E9"/>
    <w:rsid w:val="00337820"/>
    <w:rsid w:val="003448D1"/>
    <w:rsid w:val="003533D6"/>
    <w:rsid w:val="0036349A"/>
    <w:rsid w:val="0037486D"/>
    <w:rsid w:val="003853A6"/>
    <w:rsid w:val="00385DDD"/>
    <w:rsid w:val="003A3AE4"/>
    <w:rsid w:val="003A3E9E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71110"/>
    <w:rsid w:val="00471805"/>
    <w:rsid w:val="0047326E"/>
    <w:rsid w:val="004772AD"/>
    <w:rsid w:val="00483DCF"/>
    <w:rsid w:val="004934E9"/>
    <w:rsid w:val="00493709"/>
    <w:rsid w:val="0049512E"/>
    <w:rsid w:val="004A0D61"/>
    <w:rsid w:val="004A3D4E"/>
    <w:rsid w:val="004D2A97"/>
    <w:rsid w:val="004E21DE"/>
    <w:rsid w:val="004E4A30"/>
    <w:rsid w:val="004E6980"/>
    <w:rsid w:val="004E7406"/>
    <w:rsid w:val="004E7C5D"/>
    <w:rsid w:val="00501497"/>
    <w:rsid w:val="00505139"/>
    <w:rsid w:val="005078DC"/>
    <w:rsid w:val="005147CA"/>
    <w:rsid w:val="00525461"/>
    <w:rsid w:val="00530804"/>
    <w:rsid w:val="00531956"/>
    <w:rsid w:val="0053226D"/>
    <w:rsid w:val="00543C3F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A1446"/>
    <w:rsid w:val="005A279D"/>
    <w:rsid w:val="005A3D51"/>
    <w:rsid w:val="005B5166"/>
    <w:rsid w:val="005B76A6"/>
    <w:rsid w:val="005C722C"/>
    <w:rsid w:val="005D0E12"/>
    <w:rsid w:val="005D329D"/>
    <w:rsid w:val="005E0DDC"/>
    <w:rsid w:val="005F360B"/>
    <w:rsid w:val="005F4C03"/>
    <w:rsid w:val="005F64A2"/>
    <w:rsid w:val="006054D8"/>
    <w:rsid w:val="00611C2C"/>
    <w:rsid w:val="0061674D"/>
    <w:rsid w:val="00643252"/>
    <w:rsid w:val="0064450B"/>
    <w:rsid w:val="0064475A"/>
    <w:rsid w:val="00645052"/>
    <w:rsid w:val="00665DF9"/>
    <w:rsid w:val="00667E0F"/>
    <w:rsid w:val="00671C4D"/>
    <w:rsid w:val="00675288"/>
    <w:rsid w:val="00684C54"/>
    <w:rsid w:val="0068628D"/>
    <w:rsid w:val="0069538A"/>
    <w:rsid w:val="00695E50"/>
    <w:rsid w:val="006B4410"/>
    <w:rsid w:val="006C6AD4"/>
    <w:rsid w:val="006D1AE4"/>
    <w:rsid w:val="006F06CE"/>
    <w:rsid w:val="006F7EC2"/>
    <w:rsid w:val="00702EC2"/>
    <w:rsid w:val="007043D2"/>
    <w:rsid w:val="007077BF"/>
    <w:rsid w:val="00713FF8"/>
    <w:rsid w:val="00715F5F"/>
    <w:rsid w:val="0072612D"/>
    <w:rsid w:val="007309E2"/>
    <w:rsid w:val="00740647"/>
    <w:rsid w:val="007520C9"/>
    <w:rsid w:val="00764097"/>
    <w:rsid w:val="0077106F"/>
    <w:rsid w:val="00771BEB"/>
    <w:rsid w:val="00785728"/>
    <w:rsid w:val="00786DF0"/>
    <w:rsid w:val="0079026C"/>
    <w:rsid w:val="007957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C7BEC"/>
    <w:rsid w:val="007D5DD8"/>
    <w:rsid w:val="007F04CC"/>
    <w:rsid w:val="007F376B"/>
    <w:rsid w:val="008028FB"/>
    <w:rsid w:val="00804693"/>
    <w:rsid w:val="00810A5C"/>
    <w:rsid w:val="008154A6"/>
    <w:rsid w:val="00817C5E"/>
    <w:rsid w:val="008227AE"/>
    <w:rsid w:val="0082285E"/>
    <w:rsid w:val="0083086B"/>
    <w:rsid w:val="008339F4"/>
    <w:rsid w:val="008468B5"/>
    <w:rsid w:val="0085368A"/>
    <w:rsid w:val="0085727E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8E4141"/>
    <w:rsid w:val="009001B4"/>
    <w:rsid w:val="0092039D"/>
    <w:rsid w:val="0092092E"/>
    <w:rsid w:val="009212FD"/>
    <w:rsid w:val="00921C26"/>
    <w:rsid w:val="00925E6A"/>
    <w:rsid w:val="00942CDF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546D7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1C56"/>
    <w:rsid w:val="00AC3A85"/>
    <w:rsid w:val="00AC4BAD"/>
    <w:rsid w:val="00AC667A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66CB4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69B6"/>
    <w:rsid w:val="00C00410"/>
    <w:rsid w:val="00C11308"/>
    <w:rsid w:val="00C20ADD"/>
    <w:rsid w:val="00C25277"/>
    <w:rsid w:val="00C25422"/>
    <w:rsid w:val="00C26D73"/>
    <w:rsid w:val="00C271D6"/>
    <w:rsid w:val="00C4071B"/>
    <w:rsid w:val="00C42615"/>
    <w:rsid w:val="00C4400E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CF53E5"/>
    <w:rsid w:val="00D0744F"/>
    <w:rsid w:val="00D07775"/>
    <w:rsid w:val="00D100EA"/>
    <w:rsid w:val="00D14CD5"/>
    <w:rsid w:val="00D20CA2"/>
    <w:rsid w:val="00D21B4B"/>
    <w:rsid w:val="00D3364B"/>
    <w:rsid w:val="00D3393F"/>
    <w:rsid w:val="00D44F04"/>
    <w:rsid w:val="00D54CE2"/>
    <w:rsid w:val="00D55A4C"/>
    <w:rsid w:val="00D642C2"/>
    <w:rsid w:val="00D65074"/>
    <w:rsid w:val="00D65F1A"/>
    <w:rsid w:val="00D8477C"/>
    <w:rsid w:val="00D931A0"/>
    <w:rsid w:val="00D946BD"/>
    <w:rsid w:val="00D962F9"/>
    <w:rsid w:val="00DA04DD"/>
    <w:rsid w:val="00DA44D5"/>
    <w:rsid w:val="00DC51C6"/>
    <w:rsid w:val="00DC63DE"/>
    <w:rsid w:val="00DE0169"/>
    <w:rsid w:val="00DE1B58"/>
    <w:rsid w:val="00DE4A24"/>
    <w:rsid w:val="00DE608F"/>
    <w:rsid w:val="00DE79D7"/>
    <w:rsid w:val="00E146F1"/>
    <w:rsid w:val="00E16B50"/>
    <w:rsid w:val="00E20E1B"/>
    <w:rsid w:val="00E25931"/>
    <w:rsid w:val="00E36BED"/>
    <w:rsid w:val="00E37581"/>
    <w:rsid w:val="00E53D37"/>
    <w:rsid w:val="00E62F61"/>
    <w:rsid w:val="00E6612E"/>
    <w:rsid w:val="00E756B9"/>
    <w:rsid w:val="00E871C5"/>
    <w:rsid w:val="00E951F3"/>
    <w:rsid w:val="00EB7DC2"/>
    <w:rsid w:val="00EC40F9"/>
    <w:rsid w:val="00EC67C4"/>
    <w:rsid w:val="00ED1D70"/>
    <w:rsid w:val="00ED313C"/>
    <w:rsid w:val="00EE58D9"/>
    <w:rsid w:val="00F10D9E"/>
    <w:rsid w:val="00F1791B"/>
    <w:rsid w:val="00F211FC"/>
    <w:rsid w:val="00F22EC6"/>
    <w:rsid w:val="00F24184"/>
    <w:rsid w:val="00F30D8F"/>
    <w:rsid w:val="00F34418"/>
    <w:rsid w:val="00F3740D"/>
    <w:rsid w:val="00F45D67"/>
    <w:rsid w:val="00F616BF"/>
    <w:rsid w:val="00F72175"/>
    <w:rsid w:val="00F74379"/>
    <w:rsid w:val="00F770C5"/>
    <w:rsid w:val="00F82A2C"/>
    <w:rsid w:val="00FB2E2C"/>
    <w:rsid w:val="00FB5A52"/>
    <w:rsid w:val="00FB74D5"/>
    <w:rsid w:val="00FC2DCC"/>
    <w:rsid w:val="00FC40ED"/>
    <w:rsid w:val="00FC792E"/>
    <w:rsid w:val="00FD758C"/>
    <w:rsid w:val="00FD79B1"/>
    <w:rsid w:val="00FE38DB"/>
    <w:rsid w:val="00FE51D8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1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pisnadpissdlen">
    <w:name w:val="Dopis nadpis sdělení"/>
    <w:basedOn w:val="Normln"/>
    <w:rsid w:val="00543C3F"/>
    <w:pPr>
      <w:widowControl w:val="0"/>
      <w:spacing w:before="360" w:after="240"/>
      <w:jc w:val="both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224</cp:revision>
  <cp:lastPrinted>2019-08-06T09:22:00Z</cp:lastPrinted>
  <dcterms:created xsi:type="dcterms:W3CDTF">2018-05-02T08:34:00Z</dcterms:created>
  <dcterms:modified xsi:type="dcterms:W3CDTF">2019-09-05T08:27:00Z</dcterms:modified>
</cp:coreProperties>
</file>