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B112C" w:rsidTr="0047588F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8B112C" w:rsidRDefault="00E306F9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29622821" r:id="rId9"/>
              </w:object>
            </w:r>
          </w:p>
        </w:tc>
        <w:tc>
          <w:tcPr>
            <w:tcW w:w="7740" w:type="dxa"/>
            <w:gridSpan w:val="3"/>
          </w:tcPr>
          <w:p w:rsidR="00D333CE" w:rsidRPr="008B112C" w:rsidRDefault="00D333CE" w:rsidP="00120AF5">
            <w:pPr>
              <w:pStyle w:val="Vbornadpis"/>
            </w:pPr>
          </w:p>
          <w:p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000BFD" w:rsidRPr="008B112C">
              <w:t>1</w:t>
            </w:r>
            <w:r w:rsidR="00E306F9">
              <w:t>5</w:t>
            </w:r>
            <w:bookmarkStart w:id="0" w:name="_GoBack"/>
            <w:bookmarkEnd w:id="0"/>
          </w:p>
          <w:p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E306F9">
              <w:t>6</w:t>
            </w:r>
            <w:r w:rsidRPr="008B112C">
              <w:t xml:space="preserve">. </w:t>
            </w:r>
            <w:r w:rsidR="00E306F9">
              <w:t>8</w:t>
            </w:r>
            <w:r w:rsidR="00D333CE" w:rsidRPr="008B112C">
              <w:t>. 201</w:t>
            </w:r>
            <w:r w:rsidR="00000BFD" w:rsidRPr="008B112C">
              <w:t>9</w:t>
            </w:r>
          </w:p>
          <w:p w:rsidR="000303D6" w:rsidRPr="008B112C" w:rsidRDefault="000303D6" w:rsidP="00B856FE">
            <w:pPr>
              <w:pStyle w:val="Vbornadpis"/>
            </w:pPr>
          </w:p>
        </w:tc>
      </w:tr>
      <w:tr w:rsidR="001C1AF6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8B112C" w:rsidRDefault="001C1AF6" w:rsidP="00120AF5">
            <w:pPr>
              <w:pStyle w:val="Vborptomni"/>
            </w:pPr>
            <w:r w:rsidRPr="008B112C">
              <w:t>Přítomni:</w:t>
            </w:r>
          </w:p>
        </w:tc>
        <w:tc>
          <w:tcPr>
            <w:tcW w:w="4862" w:type="dxa"/>
          </w:tcPr>
          <w:p w:rsidR="001C1AF6" w:rsidRPr="008B112C" w:rsidRDefault="001C1AF6" w:rsidP="000B6E10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Omluveni:</w:t>
            </w:r>
          </w:p>
        </w:tc>
      </w:tr>
      <w:tr w:rsidR="00F211C0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8B112C" w:rsidRDefault="00F211C0" w:rsidP="00F211C0">
            <w:pPr>
              <w:pStyle w:val="Vborptomnitext"/>
              <w:rPr>
                <w:iCs/>
              </w:rPr>
            </w:pPr>
            <w:r w:rsidRPr="008B112C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:rsidR="00F211C0" w:rsidRPr="008B112C" w:rsidRDefault="0047588F" w:rsidP="000B6E10">
            <w:pPr>
              <w:pStyle w:val="Vborptomnitext"/>
              <w:rPr>
                <w:bCs/>
                <w:iCs/>
                <w:color w:val="FF0000"/>
              </w:rPr>
            </w:pPr>
            <w:r w:rsidRPr="008B112C">
              <w:rPr>
                <w:bCs/>
                <w:iCs/>
              </w:rPr>
              <w:t>Radek Hofer</w:t>
            </w:r>
          </w:p>
        </w:tc>
      </w:tr>
      <w:tr w:rsidR="00F211C0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8B112C" w:rsidRDefault="0047588F" w:rsidP="00120AF5">
            <w:pPr>
              <w:pStyle w:val="Vborptomnitext"/>
              <w:rPr>
                <w:iCs/>
              </w:rPr>
            </w:pPr>
            <w:r w:rsidRPr="008B112C">
              <w:t>Ing. Ján Babnič</w:t>
            </w:r>
          </w:p>
        </w:tc>
        <w:tc>
          <w:tcPr>
            <w:tcW w:w="4862" w:type="dxa"/>
          </w:tcPr>
          <w:p w:rsidR="00F211C0" w:rsidRPr="008B112C" w:rsidRDefault="0047588F" w:rsidP="000B6E10">
            <w:pPr>
              <w:pStyle w:val="Vborptomnitext"/>
              <w:rPr>
                <w:bCs/>
                <w:iCs/>
                <w:color w:val="FF0000"/>
              </w:rPr>
            </w:pPr>
            <w:r w:rsidRPr="008B112C">
              <w:rPr>
                <w:bCs/>
                <w:iCs/>
              </w:rPr>
              <w:t>Mgr. Yvona Kubjátová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t>Mgr. Djamila Bekhedda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iCs/>
              </w:rPr>
              <w:t>Ing. Petr Mudra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</w:pPr>
            <w:r w:rsidRPr="008B112C">
              <w:t>Mgr. Svatopluk Binder, Ph.D.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Ing. Jan Šafařík, MBA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Radek Hofer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Tajemník výboru: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</w:pPr>
            <w:r w:rsidRPr="008B112C">
              <w:t>Bc. Milan Blaho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/>
              </w:rPr>
            </w:pPr>
            <w:r w:rsidRPr="008B112C">
              <w:t>Mgr. Radek Stojan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</w:pPr>
            <w:r w:rsidRPr="008B112C">
              <w:rPr>
                <w:b/>
              </w:rPr>
              <w:t>Hosté: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JUDr. Vladimír Lichnovský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</w:pPr>
            <w:r w:rsidRPr="008B112C">
              <w:t xml:space="preserve">Mgr. Tomáš Rak 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Mgr. Michal Stoupa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  <w:r w:rsidRPr="008B112C">
              <w:rPr>
                <w:b w:val="0"/>
              </w:rPr>
              <w:t>Bc. Tomáš Weber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  <w:r w:rsidRPr="008B112C">
              <w:rPr>
                <w:b w:val="0"/>
              </w:rPr>
              <w:t>Ing. Ondřej Špaček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  <w:r w:rsidRPr="008B112C">
              <w:rPr>
                <w:b w:val="0"/>
              </w:rPr>
              <w:t>Ing. Jiří Juřena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  <w:r w:rsidRPr="008B112C">
              <w:rPr>
                <w:b w:val="0"/>
              </w:rPr>
              <w:t>JUDr. Květa Olašáková</w:t>
            </w:r>
          </w:p>
        </w:tc>
      </w:tr>
      <w:tr w:rsidR="0047588F" w:rsidRPr="008B112C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</w:pPr>
            <w:r w:rsidRPr="008B112C">
              <w:rPr>
                <w:iCs/>
                <w:szCs w:val="22"/>
              </w:rPr>
              <w:t>Ing. Lubomír Žmolík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</w:tbl>
    <w:p w:rsidR="00000BFD" w:rsidRDefault="00000BFD" w:rsidP="00081F1D">
      <w:pPr>
        <w:pStyle w:val="Vborprogram"/>
        <w:spacing w:before="0" w:after="0"/>
        <w:rPr>
          <w:noProof w:val="0"/>
        </w:rPr>
      </w:pPr>
    </w:p>
    <w:p w:rsidR="004F0F7A" w:rsidRPr="008B112C" w:rsidRDefault="004F0F7A" w:rsidP="00081F1D">
      <w:pPr>
        <w:pStyle w:val="Vborprogram"/>
        <w:spacing w:before="0" w:after="0"/>
        <w:rPr>
          <w:noProof w:val="0"/>
        </w:rPr>
      </w:pPr>
    </w:p>
    <w:p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:rsidR="0047588F" w:rsidRPr="008B112C" w:rsidRDefault="0047588F" w:rsidP="0047588F">
      <w:pPr>
        <w:pStyle w:val="slo1text"/>
        <w:rPr>
          <w:noProof w:val="0"/>
          <w:lang w:val="cs-CZ"/>
        </w:rPr>
      </w:pPr>
      <w:r w:rsidRPr="008B112C">
        <w:rPr>
          <w:noProof w:val="0"/>
          <w:lang w:val="cs-CZ"/>
        </w:rPr>
        <w:t>Personální záležitosti výboru</w:t>
      </w:r>
    </w:p>
    <w:p w:rsidR="0047588F" w:rsidRPr="008B112C" w:rsidRDefault="0047588F" w:rsidP="0047588F">
      <w:pPr>
        <w:pStyle w:val="slo1text"/>
        <w:rPr>
          <w:noProof w:val="0"/>
          <w:lang w:val="cs-CZ"/>
        </w:rPr>
      </w:pPr>
      <w:r w:rsidRPr="008B112C">
        <w:rPr>
          <w:noProof w:val="0"/>
          <w:lang w:val="cs-CZ"/>
        </w:rPr>
        <w:t>Záměr založení Centrály cestovního ruchu Olomouckého kraje</w:t>
      </w:r>
    </w:p>
    <w:p w:rsidR="00F55A1D" w:rsidRPr="008B112C" w:rsidRDefault="00F55A1D" w:rsidP="00D333CE">
      <w:pPr>
        <w:pStyle w:val="Vborzpis"/>
      </w:pPr>
    </w:p>
    <w:p w:rsidR="00D333CE" w:rsidRPr="008B112C" w:rsidRDefault="00CA6731" w:rsidP="00D333CE">
      <w:pPr>
        <w:pStyle w:val="Vborzpis"/>
      </w:pPr>
      <w:r w:rsidRPr="008B112C">
        <w:t xml:space="preserve"> </w:t>
      </w:r>
      <w:r w:rsidR="00D333CE" w:rsidRPr="008B112C">
        <w:t>Zápis:</w:t>
      </w:r>
    </w:p>
    <w:p w:rsidR="005C15C7" w:rsidRPr="008B112C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8B112C">
        <w:rPr>
          <w:b w:val="0"/>
          <w:sz w:val="24"/>
          <w:lang w:eastAsia="en-US"/>
        </w:rPr>
        <w:t xml:space="preserve">V úvodu jednání byl jednohlasně schválen program </w:t>
      </w:r>
      <w:r w:rsidR="00000BFD" w:rsidRPr="008B112C">
        <w:rPr>
          <w:b w:val="0"/>
          <w:sz w:val="24"/>
          <w:lang w:eastAsia="en-US"/>
        </w:rPr>
        <w:t>1</w:t>
      </w:r>
      <w:r w:rsidR="0047588F" w:rsidRPr="008B112C">
        <w:rPr>
          <w:b w:val="0"/>
          <w:sz w:val="24"/>
          <w:lang w:eastAsia="en-US"/>
        </w:rPr>
        <w:t>5</w:t>
      </w:r>
      <w:r w:rsidRPr="008B112C">
        <w:rPr>
          <w:b w:val="0"/>
          <w:sz w:val="24"/>
          <w:lang w:eastAsia="en-US"/>
        </w:rPr>
        <w:t>. zasedání Výboru pro rozvoj cestovního ruchu Zastupitelstva Olomouckého kraje</w:t>
      </w:r>
      <w:r w:rsidR="00E13DC9" w:rsidRPr="008B112C">
        <w:rPr>
          <w:b w:val="0"/>
          <w:sz w:val="24"/>
          <w:lang w:eastAsia="en-US"/>
        </w:rPr>
        <w:t xml:space="preserve"> a účast hostů z řad veřejnosti</w:t>
      </w:r>
      <w:r w:rsidR="004F0F7A">
        <w:rPr>
          <w:b w:val="0"/>
          <w:sz w:val="24"/>
          <w:lang w:eastAsia="en-US"/>
        </w:rPr>
        <w:t xml:space="preserve"> na jednání výboru.</w:t>
      </w:r>
    </w:p>
    <w:p w:rsidR="005C15C7" w:rsidRPr="008B112C" w:rsidRDefault="005C15C7" w:rsidP="0047588F">
      <w:pPr>
        <w:pStyle w:val="slo1text"/>
        <w:numPr>
          <w:ilvl w:val="0"/>
          <w:numId w:val="0"/>
        </w:numPr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8B112C" w:rsidRDefault="0047588F" w:rsidP="0047588F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 w:rsidRPr="008B112C">
        <w:rPr>
          <w:b/>
          <w:noProof w:val="0"/>
          <w:lang w:val="cs-CZ"/>
        </w:rPr>
        <w:lastRenderedPageBreak/>
        <w:t>Personální záležitosti výboru</w:t>
      </w:r>
    </w:p>
    <w:p w:rsidR="00F60E66" w:rsidRPr="008B112C" w:rsidRDefault="003F552F" w:rsidP="00E13DC9">
      <w:pPr>
        <w:pStyle w:val="Zkladntext"/>
        <w:spacing w:before="100" w:beforeAutospacing="1" w:after="240"/>
        <w:ind w:left="709"/>
        <w:rPr>
          <w:noProof w:val="0"/>
          <w:lang w:val="cs-CZ"/>
        </w:rPr>
      </w:pPr>
      <w:r w:rsidRPr="008B112C">
        <w:rPr>
          <w:noProof w:val="0"/>
          <w:lang w:val="cs-CZ"/>
        </w:rPr>
        <w:t xml:space="preserve">Předseda výboru </w:t>
      </w:r>
      <w:r w:rsidR="00F60E66" w:rsidRPr="008B112C">
        <w:rPr>
          <w:noProof w:val="0"/>
          <w:lang w:val="cs-CZ"/>
        </w:rPr>
        <w:t xml:space="preserve">Ing. </w:t>
      </w:r>
      <w:r w:rsidR="005C15C7" w:rsidRPr="008B112C">
        <w:rPr>
          <w:noProof w:val="0"/>
          <w:lang w:val="cs-CZ"/>
        </w:rPr>
        <w:t>Kalous</w:t>
      </w:r>
      <w:r w:rsidR="005D2706" w:rsidRPr="008B112C">
        <w:rPr>
          <w:noProof w:val="0"/>
          <w:lang w:val="cs-CZ"/>
        </w:rPr>
        <w:t xml:space="preserve"> </w:t>
      </w:r>
      <w:r w:rsidR="00E13DC9" w:rsidRPr="008B112C">
        <w:rPr>
          <w:noProof w:val="0"/>
          <w:lang w:val="cs-CZ"/>
        </w:rPr>
        <w:t xml:space="preserve">informoval o personálních změnách ve složení výboru. Zastupitelstvo Olomouckého kraje dne 24. 6. 2019 vzalo na vědomí písemné oznámení pana Mgr. Miloslava Tichého o odstoupení z funkce člena výboru a odvolalo paní Lucii Krmenčíkovou z funkce členky výboru a zvolilo novými členy výboru Mgr. Svatopluka Bindera, Ph.D. a Mgr. Michala Stoupu. Oběma novým členům výboru předal </w:t>
      </w:r>
      <w:r w:rsidR="00E13DC9" w:rsidRPr="008B112C">
        <w:rPr>
          <w:bCs w:val="0"/>
          <w:noProof w:val="0"/>
          <w:lang w:val="cs-CZ"/>
        </w:rPr>
        <w:t>předseda výboru Ing. Kalous jmenovací dekrety.</w:t>
      </w:r>
    </w:p>
    <w:p w:rsidR="00F60E66" w:rsidRPr="008B112C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B112C">
        <w:rPr>
          <w:b/>
          <w:bCs w:val="0"/>
          <w:noProof w:val="0"/>
          <w:lang w:val="cs-CZ"/>
        </w:rPr>
        <w:t>Výbor bere na vědomí informace k tomuto bodu jednání.</w:t>
      </w:r>
    </w:p>
    <w:p w:rsidR="005C15C7" w:rsidRPr="008B112C" w:rsidRDefault="009507DE" w:rsidP="009507DE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 w:rsidRPr="008B112C">
        <w:rPr>
          <w:b/>
          <w:noProof w:val="0"/>
          <w:lang w:val="cs-CZ"/>
        </w:rPr>
        <w:t>Záměr založení Centrály cestovního ruchu Olomouckého kraje</w:t>
      </w:r>
    </w:p>
    <w:p w:rsidR="00382111" w:rsidRPr="008B112C" w:rsidRDefault="00382111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 w:rsidRPr="008B112C">
        <w:rPr>
          <w:rFonts w:cs="Arial"/>
          <w:noProof w:val="0"/>
          <w:lang w:val="cs-CZ"/>
        </w:rPr>
        <w:t xml:space="preserve">Mgr. Radek Stojan na úvod informoval členy výbory o výchozí situaci vedoucí </w:t>
      </w:r>
      <w:r w:rsidRPr="008B112C">
        <w:rPr>
          <w:rFonts w:cs="Arial"/>
          <w:noProof w:val="0"/>
          <w:lang w:val="cs-CZ"/>
        </w:rPr>
        <w:br/>
        <w:t>k záměru založení Centrály cestovního ruchu Olomouckého kraje. V roce 2018 vytvořilo Ministerstvo pro místní rozvoj ve spolupráci s agenturou Czechtourism tzv. Kategorizaci organizací destinačního managementu (DMO), která je zpracována ve formě normy, která definuje minimální požadavky na činnost DMO. Kategorizace vymezuje 4 základní kategorie DMO - na státní, krajské, oblastní a lokální úrovni a stanovuje pro ně závazné požadavky, na základě jejichž splnění může být organizace certifikována. Olomoucký kraj je v současné době jedním z posledních krajů České republiky, který doposud nemá krajskou organizaci destinačního managementu založenou. DMO není založena také v Libereckém, Plzeňském a Ústeckém kraji.</w:t>
      </w:r>
    </w:p>
    <w:p w:rsidR="00382111" w:rsidRPr="008B112C" w:rsidRDefault="00382111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 w:rsidRPr="008B112C">
        <w:rPr>
          <w:rFonts w:cs="Arial"/>
          <w:noProof w:val="0"/>
          <w:lang w:val="cs-CZ"/>
        </w:rPr>
        <w:t xml:space="preserve">Vytvoření Kategorizace organizací destinačního managementu reflektovalo Ministerstvo pro místní rozvoj České republiky také v Národním programu podpory cestovního ruchu v regionech pro rok 2019, kdy v podprogramu Marketingové aktivity v cestovním ruchu, Dotační titul č. 1 - Marketingové aktivity na úrovni krajů byli oprávněnými žadateli pouze krajské </w:t>
      </w:r>
      <w:r w:rsidR="008B112C">
        <w:rPr>
          <w:rFonts w:cs="Arial"/>
          <w:noProof w:val="0"/>
          <w:lang w:val="cs-CZ"/>
        </w:rPr>
        <w:t>DMO</w:t>
      </w:r>
      <w:r w:rsidRPr="008B112C">
        <w:rPr>
          <w:rFonts w:cs="Arial"/>
          <w:noProof w:val="0"/>
          <w:lang w:val="cs-CZ"/>
        </w:rPr>
        <w:t xml:space="preserve">, případně krajské oddělení cestovního ruchu v případě, že certifikovaná krajská </w:t>
      </w:r>
      <w:r w:rsidR="008B112C">
        <w:rPr>
          <w:rFonts w:cs="Arial"/>
          <w:noProof w:val="0"/>
          <w:lang w:val="cs-CZ"/>
        </w:rPr>
        <w:t>DMO</w:t>
      </w:r>
      <w:r w:rsidRPr="008B112C">
        <w:rPr>
          <w:rFonts w:cs="Arial"/>
          <w:noProof w:val="0"/>
          <w:lang w:val="cs-CZ"/>
        </w:rPr>
        <w:t xml:space="preserve"> neprokáže min. 1 rok činnosti. Další možností, kterou využil Olomoucký kraj</w:t>
      </w:r>
      <w:r w:rsidR="008B112C">
        <w:rPr>
          <w:rFonts w:cs="Arial"/>
          <w:noProof w:val="0"/>
          <w:lang w:val="cs-CZ"/>
        </w:rPr>
        <w:t>,</w:t>
      </w:r>
      <w:r w:rsidRPr="008B112C">
        <w:rPr>
          <w:rFonts w:cs="Arial"/>
          <w:noProof w:val="0"/>
          <w:lang w:val="cs-CZ"/>
        </w:rPr>
        <w:t xml:space="preserve"> byla žádost prostřednictvím krajského oddělení cestovního ruchu</w:t>
      </w:r>
      <w:r w:rsidR="008B112C" w:rsidRPr="008B112C">
        <w:rPr>
          <w:rFonts w:cs="Arial"/>
          <w:noProof w:val="0"/>
          <w:lang w:val="cs-CZ"/>
        </w:rPr>
        <w:t xml:space="preserve"> s</w:t>
      </w:r>
      <w:r w:rsidRPr="008B112C">
        <w:rPr>
          <w:rFonts w:cs="Arial"/>
          <w:noProof w:val="0"/>
          <w:lang w:val="cs-CZ"/>
        </w:rPr>
        <w:t xml:space="preserve"> podmínkou</w:t>
      </w:r>
      <w:r w:rsidR="008B112C" w:rsidRPr="008B112C">
        <w:rPr>
          <w:rFonts w:cs="Arial"/>
          <w:noProof w:val="0"/>
          <w:lang w:val="cs-CZ"/>
        </w:rPr>
        <w:t>, že bude</w:t>
      </w:r>
      <w:r w:rsidRPr="008B112C">
        <w:rPr>
          <w:rFonts w:cs="Arial"/>
          <w:noProof w:val="0"/>
          <w:lang w:val="cs-CZ"/>
        </w:rPr>
        <w:t xml:space="preserve"> doložen</w:t>
      </w:r>
      <w:r w:rsidR="008B112C" w:rsidRPr="008B112C">
        <w:rPr>
          <w:rFonts w:cs="Arial"/>
          <w:noProof w:val="0"/>
          <w:lang w:val="cs-CZ"/>
        </w:rPr>
        <w:t>a</w:t>
      </w:r>
      <w:r w:rsidRPr="008B112C">
        <w:rPr>
          <w:rFonts w:cs="Arial"/>
          <w:noProof w:val="0"/>
          <w:lang w:val="cs-CZ"/>
        </w:rPr>
        <w:t xml:space="preserve"> povinn</w:t>
      </w:r>
      <w:r w:rsidR="008B112C" w:rsidRPr="008B112C">
        <w:rPr>
          <w:rFonts w:cs="Arial"/>
          <w:noProof w:val="0"/>
          <w:lang w:val="cs-CZ"/>
        </w:rPr>
        <w:t>á</w:t>
      </w:r>
      <w:r w:rsidRPr="008B112C">
        <w:rPr>
          <w:rFonts w:cs="Arial"/>
          <w:noProof w:val="0"/>
          <w:lang w:val="cs-CZ"/>
        </w:rPr>
        <w:t xml:space="preserve"> příloh</w:t>
      </w:r>
      <w:r w:rsidR="008B112C" w:rsidRPr="008B112C">
        <w:rPr>
          <w:rFonts w:cs="Arial"/>
          <w:noProof w:val="0"/>
          <w:lang w:val="cs-CZ"/>
        </w:rPr>
        <w:t>a</w:t>
      </w:r>
      <w:r w:rsidRPr="008B112C">
        <w:rPr>
          <w:rFonts w:cs="Arial"/>
          <w:noProof w:val="0"/>
          <w:lang w:val="cs-CZ"/>
        </w:rPr>
        <w:t xml:space="preserve"> – usnesení rady, že bude </w:t>
      </w:r>
      <w:r w:rsidR="008B112C" w:rsidRPr="008B112C">
        <w:rPr>
          <w:rFonts w:cs="Arial"/>
          <w:noProof w:val="0"/>
          <w:lang w:val="cs-CZ"/>
        </w:rPr>
        <w:t xml:space="preserve">krajská </w:t>
      </w:r>
      <w:r w:rsidR="008B112C">
        <w:rPr>
          <w:rFonts w:cs="Arial"/>
          <w:noProof w:val="0"/>
          <w:lang w:val="cs-CZ"/>
        </w:rPr>
        <w:t>DMO</w:t>
      </w:r>
      <w:r w:rsidR="008B112C" w:rsidRPr="008B112C">
        <w:rPr>
          <w:rFonts w:cs="Arial"/>
          <w:noProof w:val="0"/>
          <w:lang w:val="cs-CZ"/>
        </w:rPr>
        <w:t xml:space="preserve"> </w:t>
      </w:r>
      <w:r w:rsidR="008B112C">
        <w:rPr>
          <w:rFonts w:cs="Arial"/>
          <w:noProof w:val="0"/>
          <w:lang w:val="cs-CZ"/>
        </w:rPr>
        <w:t>založena</w:t>
      </w:r>
      <w:r w:rsidRPr="008B112C">
        <w:rPr>
          <w:rFonts w:cs="Arial"/>
          <w:noProof w:val="0"/>
          <w:lang w:val="cs-CZ"/>
        </w:rPr>
        <w:t xml:space="preserve"> nejpozději do 12 měsíců.</w:t>
      </w:r>
    </w:p>
    <w:p w:rsidR="00382111" w:rsidRPr="008B112C" w:rsidRDefault="008B112C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 w:rsidRPr="008B112C">
        <w:rPr>
          <w:rFonts w:cs="Arial"/>
          <w:noProof w:val="0"/>
          <w:lang w:val="cs-CZ"/>
        </w:rPr>
        <w:t>Olomoucký kraj</w:t>
      </w:r>
      <w:r w:rsidR="00382111" w:rsidRPr="008B112C">
        <w:rPr>
          <w:rFonts w:cs="Arial"/>
          <w:noProof w:val="0"/>
          <w:lang w:val="cs-CZ"/>
        </w:rPr>
        <w:t xml:space="preserve"> předložil do této výzvy projekt „Podpora rozvoje cestovního ruchu v Olomouckém kraji II“, jehož cílem je koordinovaná propagace Olomouckého kraje jako turistické destinace a následné zvýšení návštěvnosti kraje. </w:t>
      </w:r>
    </w:p>
    <w:p w:rsidR="00382111" w:rsidRPr="008B112C" w:rsidRDefault="004F0F7A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>Aby mohl být Olomoucký kraj</w:t>
      </w:r>
      <w:r w:rsidR="00382111" w:rsidRPr="008B112C">
        <w:rPr>
          <w:rFonts w:cs="Arial"/>
          <w:noProof w:val="0"/>
          <w:lang w:val="cs-CZ"/>
        </w:rPr>
        <w:t xml:space="preserve"> oprávněným žadatelem, bylo </w:t>
      </w:r>
      <w:r w:rsidR="008B112C">
        <w:rPr>
          <w:rFonts w:cs="Arial"/>
          <w:noProof w:val="0"/>
          <w:lang w:val="cs-CZ"/>
        </w:rPr>
        <w:t xml:space="preserve">tedy </w:t>
      </w:r>
      <w:r w:rsidR="00382111" w:rsidRPr="008B112C">
        <w:rPr>
          <w:rFonts w:cs="Arial"/>
          <w:noProof w:val="0"/>
          <w:lang w:val="cs-CZ"/>
        </w:rPr>
        <w:t xml:space="preserve">nutné splnit základní podmínku, tj. doložení usnesení Rady Olomouckého kraje, že bude založena krajská organizace destinačního managementu nejpozději do 12 měsíců. </w:t>
      </w:r>
    </w:p>
    <w:p w:rsidR="00382111" w:rsidRPr="008B112C" w:rsidRDefault="00382111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 w:rsidRPr="008B112C">
        <w:rPr>
          <w:rFonts w:cs="Arial"/>
          <w:noProof w:val="0"/>
          <w:lang w:val="cs-CZ"/>
        </w:rPr>
        <w:t xml:space="preserve">S ohledem na </w:t>
      </w:r>
      <w:r w:rsidR="008B112C" w:rsidRPr="008B112C">
        <w:rPr>
          <w:rFonts w:cs="Arial"/>
          <w:noProof w:val="0"/>
          <w:lang w:val="cs-CZ"/>
        </w:rPr>
        <w:t xml:space="preserve">tyto skutečnosti </w:t>
      </w:r>
      <w:r w:rsidRPr="008B112C">
        <w:rPr>
          <w:rFonts w:cs="Arial"/>
          <w:noProof w:val="0"/>
          <w:lang w:val="cs-CZ"/>
        </w:rPr>
        <w:t xml:space="preserve">Rada Olomouckého kraje svým usnesením </w:t>
      </w:r>
      <w:r w:rsidRPr="008B112C">
        <w:rPr>
          <w:rFonts w:cs="Arial"/>
          <w:noProof w:val="0"/>
          <w:lang w:val="cs-CZ"/>
        </w:rPr>
        <w:br/>
        <w:t>ze dne 4. 2. 2019 deklarovala záměr založit v roce 2019 krajskou organizaci destinačního managementu. Toto usnesení bylo první deklarací záměru založit krajskou organizaci destinačního managementu</w:t>
      </w:r>
      <w:r w:rsidR="008B112C" w:rsidRPr="008B112C">
        <w:rPr>
          <w:rFonts w:cs="Arial"/>
          <w:noProof w:val="0"/>
          <w:lang w:val="cs-CZ"/>
        </w:rPr>
        <w:t xml:space="preserve"> a výbor o něm byl informován</w:t>
      </w:r>
      <w:r w:rsidRPr="008B112C">
        <w:rPr>
          <w:rFonts w:cs="Arial"/>
          <w:noProof w:val="0"/>
          <w:lang w:val="cs-CZ"/>
        </w:rPr>
        <w:t xml:space="preserve">. </w:t>
      </w:r>
    </w:p>
    <w:p w:rsidR="008B112C" w:rsidRDefault="00382111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 w:rsidRPr="008B112C">
        <w:rPr>
          <w:rFonts w:cs="Arial"/>
          <w:noProof w:val="0"/>
          <w:lang w:val="cs-CZ"/>
        </w:rPr>
        <w:t xml:space="preserve">Na základě výše uvedených skutečností </w:t>
      </w:r>
      <w:r w:rsidR="008B112C">
        <w:rPr>
          <w:rFonts w:cs="Arial"/>
          <w:noProof w:val="0"/>
          <w:lang w:val="cs-CZ"/>
        </w:rPr>
        <w:t>byla v</w:t>
      </w:r>
      <w:r w:rsidRPr="008B112C">
        <w:rPr>
          <w:rFonts w:cs="Arial"/>
          <w:noProof w:val="0"/>
          <w:lang w:val="cs-CZ"/>
        </w:rPr>
        <w:t xml:space="preserve"> březnu 2019 oddělením cestovního ruchu zadána objednávka na vytvoření analýzy pro přípravu zřízení organizace destinačního managementu Olomouckého kraje. </w:t>
      </w:r>
      <w:r w:rsidR="008B112C">
        <w:rPr>
          <w:rFonts w:cs="Arial"/>
          <w:noProof w:val="0"/>
          <w:lang w:val="cs-CZ"/>
        </w:rPr>
        <w:t>Mgr. Stojan dále doplnil, že v</w:t>
      </w:r>
      <w:r w:rsidRPr="008B112C">
        <w:rPr>
          <w:rFonts w:cs="Arial"/>
          <w:noProof w:val="0"/>
          <w:lang w:val="cs-CZ"/>
        </w:rPr>
        <w:t xml:space="preserve">ytvoření analýzy zajistil Ing. Ondřej Špaček, který se mimo jiné podílel na vytvoření </w:t>
      </w:r>
      <w:r w:rsidRPr="008B112C">
        <w:rPr>
          <w:rFonts w:cs="Arial"/>
          <w:noProof w:val="0"/>
          <w:lang w:val="cs-CZ"/>
        </w:rPr>
        <w:lastRenderedPageBreak/>
        <w:t xml:space="preserve">Kategorizace organizací destinačního managementu a patří v dnešní době mezi největší odborníky na tematiku cestovního ruchu v České republice. </w:t>
      </w:r>
    </w:p>
    <w:p w:rsidR="00CC40BC" w:rsidRDefault="00CC40BC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>JUDr. Lichnovský uvedl, že podkladov</w:t>
      </w:r>
      <w:r w:rsidR="00E0736D">
        <w:rPr>
          <w:rFonts w:cs="Arial"/>
          <w:noProof w:val="0"/>
          <w:lang w:val="cs-CZ"/>
        </w:rPr>
        <w:t>é</w:t>
      </w:r>
      <w:r>
        <w:rPr>
          <w:rFonts w:cs="Arial"/>
          <w:noProof w:val="0"/>
          <w:lang w:val="cs-CZ"/>
        </w:rPr>
        <w:t xml:space="preserve"> materiály a prezentace </w:t>
      </w:r>
      <w:r w:rsidR="00E0736D">
        <w:rPr>
          <w:rFonts w:cs="Arial"/>
          <w:noProof w:val="0"/>
          <w:lang w:val="cs-CZ"/>
        </w:rPr>
        <w:t xml:space="preserve">k </w:t>
      </w:r>
      <w:r>
        <w:rPr>
          <w:rFonts w:cs="Arial"/>
          <w:noProof w:val="0"/>
          <w:lang w:val="cs-CZ"/>
        </w:rPr>
        <w:t xml:space="preserve">založení </w:t>
      </w:r>
      <w:r w:rsidRPr="008B112C">
        <w:rPr>
          <w:rFonts w:cs="Arial"/>
          <w:noProof w:val="0"/>
          <w:lang w:val="cs-CZ"/>
        </w:rPr>
        <w:t>organizace destinačního managementu Olomouckého kraje</w:t>
      </w:r>
      <w:r>
        <w:rPr>
          <w:rFonts w:cs="Arial"/>
          <w:noProof w:val="0"/>
          <w:lang w:val="cs-CZ"/>
        </w:rPr>
        <w:t xml:space="preserve"> je nejprve předložena výboru, jakožto hlavnímu poradnímu orgánu Zastupitelstva Olomouckého kraje. Po projednání ve výboru proběhne rovněž jednání se zástupci správních a dozorčích radu obou sdružení cestovního ruchu, na které bude navazovat seminář pro všechny </w:t>
      </w:r>
      <w:r w:rsidR="00E0736D">
        <w:rPr>
          <w:rFonts w:cs="Arial"/>
          <w:noProof w:val="0"/>
          <w:lang w:val="cs-CZ"/>
        </w:rPr>
        <w:t xml:space="preserve">členy obou sdružení, na kterém bude prezentován záměr založení </w:t>
      </w:r>
      <w:r w:rsidR="00E0736D" w:rsidRPr="008B112C">
        <w:rPr>
          <w:rFonts w:cs="Arial"/>
          <w:noProof w:val="0"/>
          <w:lang w:val="cs-CZ"/>
        </w:rPr>
        <w:t>organizace destinačního managementu Olomouckého kraje</w:t>
      </w:r>
      <w:r w:rsidR="00E0736D">
        <w:rPr>
          <w:rFonts w:cs="Arial"/>
          <w:noProof w:val="0"/>
          <w:lang w:val="cs-CZ"/>
        </w:rPr>
        <w:t>.</w:t>
      </w:r>
    </w:p>
    <w:p w:rsidR="00382111" w:rsidRPr="008B112C" w:rsidRDefault="008B112C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>Ing. Špaček následně ve své prezentaci představil členům výboru základní výstupy a</w:t>
      </w:r>
      <w:r w:rsidR="00382111" w:rsidRPr="008B112C">
        <w:rPr>
          <w:rFonts w:cs="Arial"/>
          <w:noProof w:val="0"/>
          <w:lang w:val="cs-CZ"/>
        </w:rPr>
        <w:t>nalýz</w:t>
      </w:r>
      <w:r>
        <w:rPr>
          <w:rFonts w:cs="Arial"/>
          <w:noProof w:val="0"/>
          <w:lang w:val="cs-CZ"/>
        </w:rPr>
        <w:t xml:space="preserve">y, která je </w:t>
      </w:r>
      <w:r w:rsidR="00382111" w:rsidRPr="008B112C">
        <w:rPr>
          <w:rFonts w:cs="Arial"/>
          <w:noProof w:val="0"/>
          <w:lang w:val="cs-CZ"/>
        </w:rPr>
        <w:t xml:space="preserve">rozčleněna do základních 11 kapitol, </w:t>
      </w:r>
      <w:r w:rsidR="00CC40BC">
        <w:rPr>
          <w:rFonts w:cs="Arial"/>
          <w:noProof w:val="0"/>
          <w:lang w:val="cs-CZ"/>
        </w:rPr>
        <w:t xml:space="preserve">které řeší základní parametry a nastavení nově vzniklé </w:t>
      </w:r>
      <w:r w:rsidR="00CC40BC" w:rsidRPr="008B112C">
        <w:rPr>
          <w:rFonts w:cs="Arial"/>
          <w:noProof w:val="0"/>
          <w:lang w:val="cs-CZ"/>
        </w:rPr>
        <w:t>organizace destinačního managementu Olomouckého kraje</w:t>
      </w:r>
      <w:r w:rsidR="00CC40BC">
        <w:rPr>
          <w:rFonts w:cs="Arial"/>
          <w:noProof w:val="0"/>
          <w:lang w:val="cs-CZ"/>
        </w:rPr>
        <w:t xml:space="preserve">. Jedná se například o </w:t>
      </w:r>
      <w:r w:rsidR="00CC40BC" w:rsidRPr="00CC40BC">
        <w:rPr>
          <w:rFonts w:cs="Arial"/>
          <w:noProof w:val="0"/>
          <w:lang w:val="cs-CZ"/>
        </w:rPr>
        <w:t>právní formu krajské organizace destinačního managementu</w:t>
      </w:r>
      <w:r w:rsidR="00CC40BC">
        <w:rPr>
          <w:rFonts w:cs="Arial"/>
          <w:noProof w:val="0"/>
          <w:lang w:val="cs-CZ"/>
        </w:rPr>
        <w:t>, její orgány, zajišťované činnosti, personální zajištění, rozpočet, systém financování, partnerství či vyhodnocení činností. Podkladové materiály byly členům výboru rozeslány v předstihu emailem.</w:t>
      </w:r>
    </w:p>
    <w:p w:rsidR="00382111" w:rsidRDefault="00CC40BC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 xml:space="preserve">Po </w:t>
      </w:r>
      <w:r w:rsidR="007B40F0">
        <w:rPr>
          <w:rFonts w:cs="Arial"/>
          <w:noProof w:val="0"/>
          <w:lang w:val="cs-CZ"/>
        </w:rPr>
        <w:t>prezentaci Ing. Špačka byly otevřena diskuze. Mgr. Tomáš Rak, ředitel Jeseníky – Sdružení cestovního ruchu</w:t>
      </w:r>
      <w:r w:rsidR="00F14793">
        <w:rPr>
          <w:rFonts w:cs="Arial"/>
          <w:noProof w:val="0"/>
          <w:lang w:val="cs-CZ"/>
        </w:rPr>
        <w:t>,</w:t>
      </w:r>
      <w:r w:rsidR="007B40F0">
        <w:rPr>
          <w:rFonts w:cs="Arial"/>
          <w:noProof w:val="0"/>
          <w:lang w:val="cs-CZ"/>
        </w:rPr>
        <w:t xml:space="preserve"> přednesl obavy nad dopadem upraveného systému financování sdružení cestovního ruchu ze strany Olomouckého kraje v souvislosti se vznikem </w:t>
      </w:r>
      <w:r w:rsidR="00F14793">
        <w:rPr>
          <w:rFonts w:cs="Arial"/>
          <w:noProof w:val="0"/>
          <w:lang w:val="cs-CZ"/>
        </w:rPr>
        <w:t xml:space="preserve">krajské </w:t>
      </w:r>
      <w:r w:rsidR="007B40F0" w:rsidRPr="008B112C">
        <w:rPr>
          <w:rFonts w:cs="Arial"/>
          <w:noProof w:val="0"/>
          <w:lang w:val="cs-CZ"/>
        </w:rPr>
        <w:t xml:space="preserve">organizace destinačního managementu </w:t>
      </w:r>
      <w:r w:rsidR="00F14793">
        <w:rPr>
          <w:rFonts w:cs="Arial"/>
          <w:noProof w:val="0"/>
          <w:lang w:val="cs-CZ"/>
        </w:rPr>
        <w:t>s tím, že dle předloženého návrhu není sdružení schopné garantovat, že bude schopné zajistit výkon všech svých dosavadních aktivit.</w:t>
      </w:r>
      <w:r w:rsidR="007B40F0">
        <w:rPr>
          <w:rFonts w:cs="Arial"/>
          <w:noProof w:val="0"/>
          <w:lang w:val="cs-CZ"/>
        </w:rPr>
        <w:t xml:space="preserve">  </w:t>
      </w:r>
      <w:r w:rsidR="00F14793">
        <w:rPr>
          <w:rFonts w:cs="Arial"/>
          <w:noProof w:val="0"/>
          <w:lang w:val="cs-CZ"/>
        </w:rPr>
        <w:t>P</w:t>
      </w:r>
      <w:r w:rsidR="007B40F0">
        <w:rPr>
          <w:rFonts w:cs="Arial"/>
          <w:noProof w:val="0"/>
          <w:lang w:val="cs-CZ"/>
        </w:rPr>
        <w:t>ožádal o zvážení přechodného období financování sdružení do plnohodnotného fungování nové organizace. Tento záměr podpořila rovněž Mgr. Djamila Behhedda, ředitelka Střední Morava – Sdružení cestovního ruchu.</w:t>
      </w:r>
    </w:p>
    <w:p w:rsidR="007B40F0" w:rsidRDefault="007B40F0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>V další diskuzi padaly především dotazy na rozdělení kompetencí a nastavení financování mezi nově vzniklou organizací</w:t>
      </w:r>
      <w:r w:rsidRPr="008B112C">
        <w:rPr>
          <w:rFonts w:cs="Arial"/>
          <w:noProof w:val="0"/>
          <w:lang w:val="cs-CZ"/>
        </w:rPr>
        <w:t xml:space="preserve"> destinačního managementu Olomouckého kraje</w:t>
      </w:r>
      <w:r>
        <w:rPr>
          <w:rFonts w:cs="Arial"/>
          <w:noProof w:val="0"/>
          <w:lang w:val="cs-CZ"/>
        </w:rPr>
        <w:t xml:space="preserve"> a oběma sdruženími cestovního ruchu. </w:t>
      </w:r>
      <w:r w:rsidR="00056083">
        <w:rPr>
          <w:rFonts w:cs="Arial"/>
          <w:noProof w:val="0"/>
          <w:lang w:val="cs-CZ"/>
        </w:rPr>
        <w:t>Tyto dotazy byly zodpovězeny Mgr. Stojanem a Ing. Špačkem. Dále byly m</w:t>
      </w:r>
      <w:r>
        <w:rPr>
          <w:rFonts w:cs="Arial"/>
          <w:noProof w:val="0"/>
          <w:lang w:val="cs-CZ"/>
        </w:rPr>
        <w:t>imo jiné vzneseny obavy nad odchodem zkušených pracovníků ze sdružení v souvislosti s nově navrženým systémem financování.</w:t>
      </w:r>
    </w:p>
    <w:p w:rsidR="007B40F0" w:rsidRPr="008B112C" w:rsidRDefault="007B40F0" w:rsidP="00382111">
      <w:pPr>
        <w:pStyle w:val="Zkladntext"/>
        <w:spacing w:before="100" w:beforeAutospacing="1" w:after="240"/>
        <w:ind w:left="709"/>
        <w:rPr>
          <w:rFonts w:cs="Arial"/>
          <w:noProof w:val="0"/>
          <w:lang w:val="cs-CZ"/>
        </w:rPr>
      </w:pPr>
      <w:r>
        <w:rPr>
          <w:rFonts w:cs="Arial"/>
          <w:noProof w:val="0"/>
          <w:lang w:val="cs-CZ"/>
        </w:rPr>
        <w:t xml:space="preserve">Členové výboru se </w:t>
      </w:r>
      <w:r w:rsidR="00056083">
        <w:rPr>
          <w:rFonts w:cs="Arial"/>
          <w:noProof w:val="0"/>
          <w:lang w:val="cs-CZ"/>
        </w:rPr>
        <w:t xml:space="preserve">na závěr </w:t>
      </w:r>
      <w:r>
        <w:rPr>
          <w:rFonts w:cs="Arial"/>
          <w:noProof w:val="0"/>
          <w:lang w:val="cs-CZ"/>
        </w:rPr>
        <w:t>diskuz</w:t>
      </w:r>
      <w:r w:rsidR="00056083">
        <w:rPr>
          <w:rFonts w:cs="Arial"/>
          <w:noProof w:val="0"/>
          <w:lang w:val="cs-CZ"/>
        </w:rPr>
        <w:t>e</w:t>
      </w:r>
      <w:r>
        <w:rPr>
          <w:rFonts w:cs="Arial"/>
          <w:noProof w:val="0"/>
          <w:lang w:val="cs-CZ"/>
        </w:rPr>
        <w:t xml:space="preserve"> shodli, že podporují vznik krajské </w:t>
      </w:r>
      <w:r w:rsidRPr="008B112C">
        <w:rPr>
          <w:rFonts w:cs="Arial"/>
          <w:noProof w:val="0"/>
          <w:lang w:val="cs-CZ"/>
        </w:rPr>
        <w:t>organizace destinačního managementu Olomouckého kraje</w:t>
      </w:r>
      <w:r>
        <w:rPr>
          <w:rFonts w:cs="Arial"/>
          <w:noProof w:val="0"/>
          <w:lang w:val="cs-CZ"/>
        </w:rPr>
        <w:t xml:space="preserve">, nicméně doporučují zvážit úpravu navrženého systému financování </w:t>
      </w:r>
      <w:r w:rsidR="00F14793">
        <w:rPr>
          <w:rFonts w:cs="Arial"/>
          <w:noProof w:val="0"/>
          <w:lang w:val="cs-CZ"/>
        </w:rPr>
        <w:t xml:space="preserve">sdružení cestovního ruchu ze strany kraje </w:t>
      </w:r>
      <w:r>
        <w:rPr>
          <w:rFonts w:cs="Arial"/>
          <w:noProof w:val="0"/>
          <w:lang w:val="cs-CZ"/>
        </w:rPr>
        <w:t>během přechodného období do plnohodnotného fungování nové organizace</w:t>
      </w:r>
      <w:r w:rsidR="00F14793">
        <w:rPr>
          <w:rFonts w:cs="Arial"/>
          <w:noProof w:val="0"/>
          <w:lang w:val="cs-CZ"/>
        </w:rPr>
        <w:t>.</w:t>
      </w:r>
    </w:p>
    <w:p w:rsidR="00382111" w:rsidRDefault="00F14793" w:rsidP="009507DE">
      <w:pPr>
        <w:pStyle w:val="Zkladntext"/>
        <w:spacing w:after="240"/>
        <w:ind w:left="720"/>
        <w:rPr>
          <w:rFonts w:cs="Arial"/>
          <w:noProof w:val="0"/>
          <w:lang w:val="cs-CZ"/>
        </w:rPr>
      </w:pPr>
      <w:r>
        <w:rPr>
          <w:noProof w:val="0"/>
          <w:lang w:val="cs-CZ"/>
        </w:rPr>
        <w:t xml:space="preserve">JUDr. </w:t>
      </w:r>
      <w:r w:rsidR="004F0F7A">
        <w:rPr>
          <w:noProof w:val="0"/>
          <w:lang w:val="cs-CZ"/>
        </w:rPr>
        <w:t>Lichnovský</w:t>
      </w:r>
      <w:r>
        <w:rPr>
          <w:noProof w:val="0"/>
          <w:lang w:val="cs-CZ"/>
        </w:rPr>
        <w:t xml:space="preserve"> uvedl, že </w:t>
      </w:r>
      <w:r w:rsidR="004F0F7A">
        <w:rPr>
          <w:noProof w:val="0"/>
          <w:lang w:val="cs-CZ"/>
        </w:rPr>
        <w:t xml:space="preserve">požadavek na úpravu navrženého systému financování sdružení během </w:t>
      </w:r>
      <w:r w:rsidR="004F0F7A">
        <w:rPr>
          <w:rFonts w:cs="Arial"/>
          <w:noProof w:val="0"/>
          <w:lang w:val="cs-CZ"/>
        </w:rPr>
        <w:t xml:space="preserve">přechodného období do plnohodnotného fungování nové organizace bude určitě možné diskutovat na jednání se zástupci správních a dozorčích radu obou sdružení cestovního ruchu. </w:t>
      </w:r>
      <w:r w:rsidR="00056083">
        <w:rPr>
          <w:rFonts w:cs="Arial"/>
          <w:noProof w:val="0"/>
          <w:lang w:val="cs-CZ"/>
        </w:rPr>
        <w:t xml:space="preserve">V této souvislosti </w:t>
      </w:r>
      <w:r w:rsidR="004F0F7A">
        <w:rPr>
          <w:rFonts w:cs="Arial"/>
          <w:noProof w:val="0"/>
          <w:lang w:val="cs-CZ"/>
        </w:rPr>
        <w:t>požádal ředitele obou sdružení o předložení podkladů s dopadem navrženého systé</w:t>
      </w:r>
      <w:r w:rsidR="00056083">
        <w:rPr>
          <w:rFonts w:cs="Arial"/>
          <w:noProof w:val="0"/>
          <w:lang w:val="cs-CZ"/>
        </w:rPr>
        <w:t xml:space="preserve">mu financování na chod sdružení. </w:t>
      </w:r>
    </w:p>
    <w:p w:rsidR="004F0F7A" w:rsidRPr="008B112C" w:rsidRDefault="004F0F7A" w:rsidP="009507DE">
      <w:pPr>
        <w:pStyle w:val="Zkladntext"/>
        <w:spacing w:after="240"/>
        <w:ind w:left="720"/>
        <w:rPr>
          <w:noProof w:val="0"/>
          <w:lang w:val="cs-CZ"/>
        </w:rPr>
      </w:pPr>
      <w:r>
        <w:rPr>
          <w:rFonts w:cs="Arial"/>
          <w:noProof w:val="0"/>
          <w:lang w:val="cs-CZ"/>
        </w:rPr>
        <w:t>Na závěr diskuze bylo schváleno níže uvedené usnesení.</w:t>
      </w:r>
    </w:p>
    <w:p w:rsidR="00544009" w:rsidRPr="008B112C" w:rsidRDefault="00544009" w:rsidP="009507DE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B112C">
        <w:rPr>
          <w:b/>
          <w:bCs w:val="0"/>
          <w:noProof w:val="0"/>
          <w:lang w:val="cs-CZ"/>
        </w:rPr>
        <w:t xml:space="preserve">Výbor </w:t>
      </w:r>
      <w:r w:rsidR="009507DE" w:rsidRPr="008B112C">
        <w:rPr>
          <w:b/>
          <w:bCs w:val="0"/>
          <w:noProof w:val="0"/>
          <w:lang w:val="cs-CZ"/>
        </w:rPr>
        <w:t>doporučuje Zastupitelstvu Olomouckého kraje schválit založení Centrály cestovního ruchu Olomouckého kraje</w:t>
      </w:r>
      <w:r w:rsidRPr="008B112C">
        <w:rPr>
          <w:b/>
          <w:bCs w:val="0"/>
          <w:noProof w:val="0"/>
          <w:lang w:val="cs-CZ"/>
        </w:rPr>
        <w:t>.</w:t>
      </w:r>
    </w:p>
    <w:p w:rsidR="00EC613C" w:rsidRPr="008B112C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</w:p>
    <w:p w:rsidR="00D333CE" w:rsidRPr="008B112C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8B112C">
        <w:rPr>
          <w:noProof w:val="0"/>
          <w:szCs w:val="24"/>
        </w:rPr>
        <w:t xml:space="preserve">V Olomouci dne </w:t>
      </w:r>
      <w:r w:rsidR="0047588F" w:rsidRPr="008B112C">
        <w:rPr>
          <w:noProof w:val="0"/>
          <w:szCs w:val="24"/>
        </w:rPr>
        <w:t>20</w:t>
      </w:r>
      <w:r w:rsidRPr="008B112C">
        <w:rPr>
          <w:noProof w:val="0"/>
          <w:szCs w:val="24"/>
        </w:rPr>
        <w:t xml:space="preserve">. </w:t>
      </w:r>
      <w:r w:rsidR="0047588F" w:rsidRPr="008B112C">
        <w:rPr>
          <w:noProof w:val="0"/>
          <w:szCs w:val="24"/>
        </w:rPr>
        <w:t>8</w:t>
      </w:r>
      <w:r w:rsidR="004A0997" w:rsidRPr="008B112C">
        <w:rPr>
          <w:noProof w:val="0"/>
          <w:szCs w:val="24"/>
        </w:rPr>
        <w:t>.</w:t>
      </w:r>
      <w:r w:rsidRPr="008B112C">
        <w:rPr>
          <w:noProof w:val="0"/>
          <w:szCs w:val="24"/>
        </w:rPr>
        <w:t xml:space="preserve"> 201</w:t>
      </w:r>
      <w:r w:rsidR="00885E3C" w:rsidRPr="008B112C">
        <w:rPr>
          <w:noProof w:val="0"/>
          <w:szCs w:val="24"/>
        </w:rPr>
        <w:t>9</w:t>
      </w:r>
    </w:p>
    <w:p w:rsidR="00D333CE" w:rsidRPr="008B112C" w:rsidRDefault="00D333CE" w:rsidP="00D333CE">
      <w:pPr>
        <w:pStyle w:val="Mstoadatumvlevo"/>
        <w:spacing w:before="0"/>
        <w:rPr>
          <w:noProof w:val="0"/>
          <w:szCs w:val="24"/>
        </w:rPr>
      </w:pPr>
      <w:r w:rsidRPr="008B112C">
        <w:rPr>
          <w:noProof w:val="0"/>
          <w:szCs w:val="24"/>
        </w:rPr>
        <w:t>Zapsal</w:t>
      </w:r>
      <w:r w:rsidR="00646AA0" w:rsidRPr="008B112C">
        <w:rPr>
          <w:noProof w:val="0"/>
          <w:szCs w:val="24"/>
        </w:rPr>
        <w:t xml:space="preserve">: </w:t>
      </w:r>
      <w:r w:rsidR="00885E3C" w:rsidRPr="008B112C">
        <w:rPr>
          <w:noProof w:val="0"/>
          <w:szCs w:val="24"/>
        </w:rPr>
        <w:t>Mgr. Radek Stojan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noProof w:val="0"/>
          <w:szCs w:val="24"/>
          <w:lang w:val="cs-CZ"/>
        </w:rPr>
        <w:t>……………………………….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iCs/>
          <w:noProof w:val="0"/>
          <w:lang w:val="cs-CZ"/>
        </w:rPr>
        <w:t xml:space="preserve">Ing. </w:t>
      </w:r>
      <w:r w:rsidR="008D4812" w:rsidRPr="008B112C">
        <w:rPr>
          <w:iCs/>
          <w:noProof w:val="0"/>
          <w:lang w:val="cs-CZ"/>
        </w:rPr>
        <w:t>Adam Kalous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noProof w:val="0"/>
          <w:szCs w:val="24"/>
          <w:lang w:val="cs-CZ"/>
        </w:rPr>
        <w:t>předseda Výboru</w:t>
      </w:r>
    </w:p>
    <w:p w:rsidR="00D333CE" w:rsidRPr="008B112C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Pr="008B112C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8B112C" w:rsidRDefault="00D333CE" w:rsidP="00450FF4">
      <w:pPr>
        <w:pStyle w:val="Vborplohy"/>
        <w:spacing w:after="0"/>
        <w:rPr>
          <w:sz w:val="24"/>
          <w:szCs w:val="24"/>
        </w:rPr>
      </w:pPr>
      <w:r w:rsidRPr="008B112C">
        <w:rPr>
          <w:sz w:val="24"/>
          <w:szCs w:val="24"/>
        </w:rPr>
        <w:t>Přílohy: Prezenční listina</w:t>
      </w: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7C" w:rsidRDefault="00C6767C">
      <w:r>
        <w:separator/>
      </w:r>
    </w:p>
  </w:endnote>
  <w:endnote w:type="continuationSeparator" w:id="0">
    <w:p w:rsidR="00C6767C" w:rsidRDefault="00C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306F9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306F9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7C" w:rsidRDefault="00C6767C">
      <w:r>
        <w:separator/>
      </w:r>
    </w:p>
  </w:footnote>
  <w:footnote w:type="continuationSeparator" w:id="0">
    <w:p w:rsidR="00C6767C" w:rsidRDefault="00C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2"/>
  </w:num>
  <w:num w:numId="5">
    <w:abstractNumId w:val="12"/>
  </w:num>
  <w:num w:numId="6">
    <w:abstractNumId w:val="8"/>
  </w:num>
  <w:num w:numId="7">
    <w:abstractNumId w:val="12"/>
  </w:num>
  <w:num w:numId="8">
    <w:abstractNumId w:val="11"/>
  </w:num>
  <w:num w:numId="9">
    <w:abstractNumId w:val="12"/>
  </w:num>
  <w:num w:numId="10">
    <w:abstractNumId w:val="4"/>
  </w:num>
  <w:num w:numId="11">
    <w:abstractNumId w:val="12"/>
  </w:num>
  <w:num w:numId="12">
    <w:abstractNumId w:val="12"/>
  </w:num>
  <w:num w:numId="13">
    <w:abstractNumId w:val="5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12"/>
  </w:num>
  <w:num w:numId="19">
    <w:abstractNumId w:val="17"/>
  </w:num>
  <w:num w:numId="20">
    <w:abstractNumId w:val="9"/>
  </w:num>
  <w:num w:numId="21">
    <w:abstractNumId w:val="12"/>
  </w:num>
  <w:num w:numId="22">
    <w:abstractNumId w:val="12"/>
  </w:num>
  <w:num w:numId="23">
    <w:abstractNumId w:val="12"/>
  </w:num>
  <w:num w:numId="24">
    <w:abstractNumId w:val="6"/>
  </w:num>
  <w:num w:numId="25">
    <w:abstractNumId w:val="12"/>
  </w:num>
  <w:num w:numId="26">
    <w:abstractNumId w:val="15"/>
  </w:num>
  <w:num w:numId="27">
    <w:abstractNumId w:val="1"/>
  </w:num>
  <w:num w:numId="28">
    <w:abstractNumId w:val="12"/>
  </w:num>
  <w:num w:numId="29">
    <w:abstractNumId w:val="16"/>
  </w:num>
  <w:num w:numId="30">
    <w:abstractNumId w:val="7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0BFD"/>
    <w:rsid w:val="0001319C"/>
    <w:rsid w:val="000153D7"/>
    <w:rsid w:val="000303D6"/>
    <w:rsid w:val="000339A6"/>
    <w:rsid w:val="00056083"/>
    <w:rsid w:val="0006663B"/>
    <w:rsid w:val="00070188"/>
    <w:rsid w:val="00072AED"/>
    <w:rsid w:val="000769D0"/>
    <w:rsid w:val="00081F1D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93C"/>
    <w:rsid w:val="001A2DCD"/>
    <w:rsid w:val="001A427F"/>
    <w:rsid w:val="001B39DE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546B2"/>
    <w:rsid w:val="00260F94"/>
    <w:rsid w:val="00261EF2"/>
    <w:rsid w:val="00267F96"/>
    <w:rsid w:val="00286F66"/>
    <w:rsid w:val="0029485E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7337B"/>
    <w:rsid w:val="00375B1C"/>
    <w:rsid w:val="00382111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3F7DFD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588F"/>
    <w:rsid w:val="0047610E"/>
    <w:rsid w:val="0048026F"/>
    <w:rsid w:val="004814BD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0F7A"/>
    <w:rsid w:val="004F211A"/>
    <w:rsid w:val="00506F53"/>
    <w:rsid w:val="00516F64"/>
    <w:rsid w:val="005208C7"/>
    <w:rsid w:val="0053369B"/>
    <w:rsid w:val="005372E8"/>
    <w:rsid w:val="00544009"/>
    <w:rsid w:val="00546B47"/>
    <w:rsid w:val="00553EE2"/>
    <w:rsid w:val="00556E46"/>
    <w:rsid w:val="00560C8D"/>
    <w:rsid w:val="00560F03"/>
    <w:rsid w:val="005617DA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10F7E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1832"/>
    <w:rsid w:val="006D322F"/>
    <w:rsid w:val="006D6F8F"/>
    <w:rsid w:val="006D7C28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D443B"/>
    <w:rsid w:val="007E0B7A"/>
    <w:rsid w:val="007E3350"/>
    <w:rsid w:val="007E6805"/>
    <w:rsid w:val="007E77B4"/>
    <w:rsid w:val="007F525E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5E3C"/>
    <w:rsid w:val="008868C4"/>
    <w:rsid w:val="00890413"/>
    <w:rsid w:val="00891232"/>
    <w:rsid w:val="008A2612"/>
    <w:rsid w:val="008A7D6F"/>
    <w:rsid w:val="008B09AD"/>
    <w:rsid w:val="008B112C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5ED3"/>
    <w:rsid w:val="009507DE"/>
    <w:rsid w:val="00954E03"/>
    <w:rsid w:val="009577E6"/>
    <w:rsid w:val="00963689"/>
    <w:rsid w:val="00965E51"/>
    <w:rsid w:val="00967D50"/>
    <w:rsid w:val="00970D9B"/>
    <w:rsid w:val="009734E9"/>
    <w:rsid w:val="0097619E"/>
    <w:rsid w:val="00977974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9E584D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A31A5"/>
    <w:rsid w:val="00BB2E3C"/>
    <w:rsid w:val="00BB4B22"/>
    <w:rsid w:val="00BB5304"/>
    <w:rsid w:val="00BC4EF2"/>
    <w:rsid w:val="00BC5531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6767C"/>
    <w:rsid w:val="00C80A28"/>
    <w:rsid w:val="00C866AA"/>
    <w:rsid w:val="00C9574C"/>
    <w:rsid w:val="00CA4D78"/>
    <w:rsid w:val="00CA6731"/>
    <w:rsid w:val="00CB22FE"/>
    <w:rsid w:val="00CB5A03"/>
    <w:rsid w:val="00CC3D73"/>
    <w:rsid w:val="00CC40BC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57A6"/>
    <w:rsid w:val="00D95B3A"/>
    <w:rsid w:val="00D97F79"/>
    <w:rsid w:val="00DB2945"/>
    <w:rsid w:val="00DB4AA2"/>
    <w:rsid w:val="00DC05E4"/>
    <w:rsid w:val="00DC2160"/>
    <w:rsid w:val="00DC6D3E"/>
    <w:rsid w:val="00DD489F"/>
    <w:rsid w:val="00DE5E06"/>
    <w:rsid w:val="00E0736D"/>
    <w:rsid w:val="00E07F8A"/>
    <w:rsid w:val="00E13DC9"/>
    <w:rsid w:val="00E2229B"/>
    <w:rsid w:val="00E27194"/>
    <w:rsid w:val="00E306F9"/>
    <w:rsid w:val="00E376E9"/>
    <w:rsid w:val="00E43FE0"/>
    <w:rsid w:val="00E568E4"/>
    <w:rsid w:val="00E90780"/>
    <w:rsid w:val="00E924C2"/>
    <w:rsid w:val="00EC0126"/>
    <w:rsid w:val="00EC5670"/>
    <w:rsid w:val="00EC613C"/>
    <w:rsid w:val="00ED0AAB"/>
    <w:rsid w:val="00ED5DD0"/>
    <w:rsid w:val="00EE3D3E"/>
    <w:rsid w:val="00EF1CF4"/>
    <w:rsid w:val="00EF7566"/>
    <w:rsid w:val="00F02448"/>
    <w:rsid w:val="00F03B4B"/>
    <w:rsid w:val="00F13B4E"/>
    <w:rsid w:val="00F14793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0A461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9ECD-8DDB-41A0-A99A-8F0CE467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1054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7</cp:revision>
  <cp:lastPrinted>2014-10-01T13:30:00Z</cp:lastPrinted>
  <dcterms:created xsi:type="dcterms:W3CDTF">2019-04-17T10:48:00Z</dcterms:created>
  <dcterms:modified xsi:type="dcterms:W3CDTF">2019-09-10T10:14:00Z</dcterms:modified>
</cp:coreProperties>
</file>