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Pr="00AC436A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1D4A2E" w:rsidRPr="00A647D2" w:rsidRDefault="00D3440B" w:rsidP="00EE2E80">
      <w:pPr>
        <w:pStyle w:val="Normal"/>
        <w:jc w:val="both"/>
        <w:rPr>
          <w:rFonts w:eastAsia="Times New Roman"/>
          <w:lang w:eastAsia="cs-CZ"/>
        </w:rPr>
      </w:pPr>
      <w:r w:rsidRPr="00A647D2">
        <w:rPr>
          <w:rFonts w:eastAsia="Times New Roman"/>
          <w:lang w:eastAsia="cs-CZ"/>
        </w:rPr>
        <w:t xml:space="preserve">V loňském roce došlo k zásadní změně v systému poskytování dotací z rozpočtu Olomouckého kraje. Důvodem byla </w:t>
      </w:r>
      <w:r w:rsidR="00F97593">
        <w:rPr>
          <w:rFonts w:eastAsia="Times New Roman"/>
          <w:lang w:eastAsia="cs-CZ"/>
        </w:rPr>
        <w:t xml:space="preserve">jednak </w:t>
      </w:r>
      <w:r w:rsidR="00F97593" w:rsidRPr="00A647D2">
        <w:rPr>
          <w:rFonts w:eastAsia="Times New Roman"/>
          <w:lang w:eastAsia="cs-CZ"/>
        </w:rPr>
        <w:t>novel</w:t>
      </w:r>
      <w:r w:rsidR="006E1B6D">
        <w:rPr>
          <w:rFonts w:eastAsia="Times New Roman"/>
          <w:lang w:eastAsia="cs-CZ"/>
        </w:rPr>
        <w:t>izace zákona č. 250/2000 Sb., o </w:t>
      </w:r>
      <w:r w:rsidR="00F97593" w:rsidRPr="00A647D2">
        <w:rPr>
          <w:rFonts w:eastAsia="Times New Roman"/>
          <w:lang w:eastAsia="cs-CZ"/>
        </w:rPr>
        <w:t>rozpočtových pravidlech územních rozpočtů, a s</w:t>
      </w:r>
      <w:r w:rsidR="006E1B6D">
        <w:rPr>
          <w:rFonts w:eastAsia="Times New Roman"/>
          <w:lang w:eastAsia="cs-CZ"/>
        </w:rPr>
        <w:t>ouvisející novelizace zákona č. </w:t>
      </w:r>
      <w:r w:rsidR="00F97593" w:rsidRPr="00A647D2">
        <w:rPr>
          <w:rFonts w:eastAsia="Times New Roman"/>
          <w:lang w:eastAsia="cs-CZ"/>
        </w:rPr>
        <w:t>129/2000 Sb.</w:t>
      </w:r>
      <w:r w:rsidR="00A664E5">
        <w:rPr>
          <w:rFonts w:eastAsia="Times New Roman"/>
          <w:lang w:eastAsia="cs-CZ"/>
        </w:rPr>
        <w:t>,</w:t>
      </w:r>
      <w:r w:rsidR="00F97593" w:rsidRPr="00A647D2">
        <w:rPr>
          <w:rFonts w:eastAsia="Times New Roman"/>
          <w:lang w:eastAsia="cs-CZ"/>
        </w:rPr>
        <w:t xml:space="preserve"> o krajích (krajské zřízení)</w:t>
      </w:r>
      <w:r w:rsidR="006E1B6D">
        <w:rPr>
          <w:rFonts w:eastAsia="Times New Roman"/>
          <w:lang w:eastAsia="cs-CZ"/>
        </w:rPr>
        <w:t>,</w:t>
      </w:r>
      <w:r w:rsidR="00F97593">
        <w:rPr>
          <w:rFonts w:eastAsia="Times New Roman"/>
          <w:lang w:eastAsia="cs-CZ"/>
        </w:rPr>
        <w:t xml:space="preserve"> a</w:t>
      </w:r>
      <w:r w:rsidR="006E1B6D">
        <w:rPr>
          <w:rFonts w:eastAsia="Times New Roman"/>
          <w:lang w:eastAsia="cs-CZ"/>
        </w:rPr>
        <w:t xml:space="preserve">le také </w:t>
      </w:r>
      <w:r w:rsidRPr="00A647D2">
        <w:rPr>
          <w:rFonts w:eastAsia="Times New Roman"/>
          <w:lang w:eastAsia="cs-CZ"/>
        </w:rPr>
        <w:t xml:space="preserve">snaha stávajícího Zastupitelstva Olomouckého kraje (ZOK) zavést přehlednější </w:t>
      </w:r>
      <w:r w:rsidR="00A80E2A" w:rsidRPr="00A647D2">
        <w:rPr>
          <w:rFonts w:eastAsia="Times New Roman"/>
          <w:lang w:eastAsia="cs-CZ"/>
        </w:rPr>
        <w:t>proces poskytování dotací</w:t>
      </w:r>
      <w:r w:rsidR="00306581" w:rsidRPr="00A647D2">
        <w:rPr>
          <w:rFonts w:eastAsia="Times New Roman"/>
          <w:lang w:eastAsia="cs-CZ"/>
        </w:rPr>
        <w:t xml:space="preserve"> a jasně definovat cíle poskytování dotací. Diskuze ke změně systému a transparentn</w:t>
      </w:r>
      <w:r w:rsidR="00F97593">
        <w:rPr>
          <w:rFonts w:eastAsia="Times New Roman"/>
          <w:lang w:eastAsia="cs-CZ"/>
        </w:rPr>
        <w:t>ějšímu</w:t>
      </w:r>
      <w:r w:rsidR="00306581" w:rsidRPr="00A647D2">
        <w:rPr>
          <w:rFonts w:eastAsia="Times New Roman"/>
          <w:lang w:eastAsia="cs-CZ"/>
        </w:rPr>
        <w:t xml:space="preserve"> nastavení pravidel pro podávání žádostí o dotace probíhala na zasedáních zastupitelstva hned od začátku volebního období 2012 – 2016 a týkala se nejen </w:t>
      </w:r>
      <w:r w:rsidR="00765D4D" w:rsidRPr="00A647D2">
        <w:rPr>
          <w:rFonts w:eastAsia="Times New Roman"/>
          <w:lang w:eastAsia="cs-CZ"/>
        </w:rPr>
        <w:t>systému hodnocení žádostí o dotace</w:t>
      </w:r>
      <w:r w:rsidR="00765D4D">
        <w:rPr>
          <w:rFonts w:eastAsia="Times New Roman"/>
          <w:lang w:eastAsia="cs-CZ"/>
        </w:rPr>
        <w:t xml:space="preserve">, </w:t>
      </w:r>
      <w:r w:rsidR="00765D4D" w:rsidRPr="00A647D2">
        <w:rPr>
          <w:rFonts w:eastAsia="Times New Roman"/>
          <w:lang w:eastAsia="cs-CZ"/>
        </w:rPr>
        <w:t xml:space="preserve">ale i samotného </w:t>
      </w:r>
      <w:r w:rsidR="00306581" w:rsidRPr="00A647D2">
        <w:rPr>
          <w:rFonts w:eastAsia="Times New Roman"/>
          <w:lang w:eastAsia="cs-CZ"/>
        </w:rPr>
        <w:t xml:space="preserve">podávání žádostí. </w:t>
      </w:r>
      <w:r w:rsidR="00F97593">
        <w:rPr>
          <w:rFonts w:eastAsia="Times New Roman"/>
          <w:lang w:eastAsia="cs-CZ"/>
        </w:rPr>
        <w:t xml:space="preserve">Navíc uvedené </w:t>
      </w:r>
      <w:r w:rsidR="00306581" w:rsidRPr="00A647D2">
        <w:rPr>
          <w:rFonts w:eastAsia="Times New Roman"/>
          <w:lang w:eastAsia="cs-CZ"/>
        </w:rPr>
        <w:t>l</w:t>
      </w:r>
      <w:r w:rsidR="00A80E2A" w:rsidRPr="00A647D2">
        <w:rPr>
          <w:rFonts w:eastAsia="Times New Roman"/>
          <w:lang w:eastAsia="cs-CZ"/>
        </w:rPr>
        <w:t xml:space="preserve">egislativní změny významně ovlivnily projednávání </w:t>
      </w:r>
      <w:r w:rsidR="00572196" w:rsidRPr="00A647D2">
        <w:rPr>
          <w:rFonts w:eastAsia="Times New Roman"/>
          <w:lang w:eastAsia="cs-CZ"/>
        </w:rPr>
        <w:t xml:space="preserve">jednotlivých </w:t>
      </w:r>
      <w:r w:rsidR="00A80E2A" w:rsidRPr="00A647D2">
        <w:rPr>
          <w:rFonts w:eastAsia="Times New Roman"/>
          <w:lang w:eastAsia="cs-CZ"/>
        </w:rPr>
        <w:t xml:space="preserve">dotačních programů </w:t>
      </w:r>
      <w:r w:rsidR="00C96F59">
        <w:rPr>
          <w:rFonts w:eastAsia="Times New Roman"/>
          <w:lang w:eastAsia="cs-CZ"/>
        </w:rPr>
        <w:t xml:space="preserve">už </w:t>
      </w:r>
      <w:r w:rsidR="00306581" w:rsidRPr="00A647D2">
        <w:rPr>
          <w:rFonts w:eastAsia="Times New Roman"/>
          <w:lang w:eastAsia="cs-CZ"/>
        </w:rPr>
        <w:t>v roce 2015</w:t>
      </w:r>
      <w:r w:rsidR="00F97593">
        <w:rPr>
          <w:rFonts w:eastAsia="Times New Roman"/>
          <w:lang w:eastAsia="cs-CZ"/>
        </w:rPr>
        <w:t xml:space="preserve"> a bylo tedy zřejmé, že systém dotací pro rok 2016 musí doznat podstatných změn. </w:t>
      </w:r>
      <w:r w:rsidR="00306581" w:rsidRPr="00A647D2">
        <w:rPr>
          <w:rFonts w:eastAsia="Times New Roman"/>
          <w:lang w:eastAsia="cs-CZ"/>
        </w:rPr>
        <w:t>Na zasedání ZOK 25. 9. 201</w:t>
      </w:r>
      <w:r w:rsidR="00C96F59">
        <w:rPr>
          <w:rFonts w:eastAsia="Times New Roman"/>
          <w:lang w:eastAsia="cs-CZ"/>
        </w:rPr>
        <w:t>5</w:t>
      </w:r>
      <w:r w:rsidR="00306581" w:rsidRPr="00A647D2">
        <w:rPr>
          <w:rFonts w:eastAsia="Times New Roman"/>
          <w:lang w:eastAsia="cs-CZ"/>
        </w:rPr>
        <w:t xml:space="preserve"> byl usnesením</w:t>
      </w:r>
      <w:r w:rsidR="00572196" w:rsidRPr="00A647D2">
        <w:rPr>
          <w:rFonts w:eastAsia="Times New Roman"/>
          <w:lang w:eastAsia="cs-CZ"/>
        </w:rPr>
        <w:t xml:space="preserve"> č. </w:t>
      </w:r>
      <w:r w:rsidR="00306581" w:rsidRPr="00A647D2">
        <w:rPr>
          <w:rFonts w:eastAsia="Times New Roman"/>
          <w:lang w:eastAsia="cs-CZ"/>
        </w:rPr>
        <w:t>UZ/17/58/2015 schválen vzorový dotační program</w:t>
      </w:r>
      <w:r w:rsidR="001D4A2E" w:rsidRPr="00A647D2">
        <w:rPr>
          <w:rFonts w:eastAsia="Times New Roman"/>
          <w:lang w:eastAsia="cs-CZ"/>
        </w:rPr>
        <w:t xml:space="preserve"> na rok 2016 a z</w:t>
      </w:r>
      <w:r w:rsidR="00572196" w:rsidRPr="00A647D2">
        <w:rPr>
          <w:rFonts w:eastAsia="Times New Roman"/>
          <w:lang w:eastAsia="cs-CZ"/>
        </w:rPr>
        <w:t xml:space="preserve">e </w:t>
      </w:r>
      <w:r w:rsidR="001D4A2E" w:rsidRPr="00A647D2">
        <w:rPr>
          <w:rFonts w:eastAsia="Times New Roman"/>
          <w:lang w:eastAsia="cs-CZ"/>
        </w:rPr>
        <w:t>schválených vzorových pravidel</w:t>
      </w:r>
      <w:r w:rsidR="00F97593">
        <w:rPr>
          <w:rFonts w:eastAsia="Times New Roman"/>
          <w:lang w:eastAsia="cs-CZ"/>
        </w:rPr>
        <w:t xml:space="preserve"> </w:t>
      </w:r>
      <w:r w:rsidR="001D4A2E" w:rsidRPr="00A647D2">
        <w:rPr>
          <w:rFonts w:eastAsia="Times New Roman"/>
          <w:lang w:eastAsia="cs-CZ"/>
        </w:rPr>
        <w:t>vycházela většina dotačních programů, vyhlašovaných v prosinci 2015 a v letošním roce.</w:t>
      </w:r>
    </w:p>
    <w:p w:rsidR="00EE2E80" w:rsidRPr="00262DF3" w:rsidRDefault="00EE2E80" w:rsidP="00EE2E80">
      <w:pPr>
        <w:pStyle w:val="Normal"/>
        <w:jc w:val="both"/>
        <w:rPr>
          <w:sz w:val="16"/>
          <w:szCs w:val="16"/>
        </w:rPr>
      </w:pPr>
    </w:p>
    <w:p w:rsidR="00364FB2" w:rsidRPr="004A3D72" w:rsidRDefault="00364FB2" w:rsidP="004A3D72">
      <w:pPr>
        <w:pStyle w:val="Odstavecseseznamem"/>
        <w:numPr>
          <w:ilvl w:val="0"/>
          <w:numId w:val="5"/>
        </w:numPr>
        <w:spacing w:after="120"/>
        <w:ind w:left="567" w:hanging="425"/>
        <w:jc w:val="both"/>
        <w:rPr>
          <w:rFonts w:ascii="Arial" w:hAnsi="Arial" w:cs="Arial"/>
          <w:b/>
          <w:sz w:val="26"/>
          <w:szCs w:val="26"/>
        </w:rPr>
      </w:pPr>
      <w:r w:rsidRPr="004A3D72">
        <w:rPr>
          <w:rFonts w:ascii="Arial" w:hAnsi="Arial" w:cs="Arial"/>
          <w:b/>
          <w:sz w:val="26"/>
          <w:szCs w:val="26"/>
        </w:rPr>
        <w:t>Vyhodnocení systému poskytování dotací 2016</w:t>
      </w:r>
    </w:p>
    <w:p w:rsidR="00EE2E80" w:rsidRPr="00A647D2" w:rsidRDefault="00D61B78" w:rsidP="00A647D2">
      <w:pPr>
        <w:pStyle w:val="Normal"/>
        <w:jc w:val="both"/>
        <w:rPr>
          <w:rFonts w:eastAsia="Times New Roman"/>
          <w:lang w:eastAsia="cs-CZ"/>
        </w:rPr>
      </w:pPr>
      <w:r w:rsidRPr="00A647D2">
        <w:rPr>
          <w:rFonts w:eastAsia="Times New Roman"/>
          <w:lang w:eastAsia="cs-CZ"/>
        </w:rPr>
        <w:t>V průběhu administrace žádostí o krajsk</w:t>
      </w:r>
      <w:r w:rsidR="000B5BD9">
        <w:rPr>
          <w:rFonts w:eastAsia="Times New Roman"/>
          <w:lang w:eastAsia="cs-CZ"/>
        </w:rPr>
        <w:t>é dotace i během projednávání a </w:t>
      </w:r>
      <w:r w:rsidRPr="00A647D2">
        <w:rPr>
          <w:rFonts w:eastAsia="Times New Roman"/>
          <w:lang w:eastAsia="cs-CZ"/>
        </w:rPr>
        <w:t xml:space="preserve">schvalování dotací v jednotlivých dotačních programech byla ze strany vedení kraje několikrát deklarována snaha vyhodnotit první rok fungování dotací dle nově </w:t>
      </w:r>
      <w:r w:rsidR="000C55B2" w:rsidRPr="00A647D2">
        <w:rPr>
          <w:rFonts w:eastAsia="Times New Roman"/>
          <w:lang w:eastAsia="cs-CZ"/>
        </w:rPr>
        <w:t>zav</w:t>
      </w:r>
      <w:r w:rsidR="00F16602">
        <w:rPr>
          <w:rFonts w:eastAsia="Times New Roman"/>
          <w:lang w:eastAsia="cs-CZ"/>
        </w:rPr>
        <w:t>ede</w:t>
      </w:r>
      <w:r w:rsidR="000C55B2" w:rsidRPr="00A647D2">
        <w:rPr>
          <w:rFonts w:eastAsia="Times New Roman"/>
          <w:lang w:eastAsia="cs-CZ"/>
        </w:rPr>
        <w:t xml:space="preserve">ného </w:t>
      </w:r>
      <w:r w:rsidRPr="00A647D2">
        <w:rPr>
          <w:rFonts w:eastAsia="Times New Roman"/>
          <w:lang w:eastAsia="cs-CZ"/>
        </w:rPr>
        <w:t>systému, zohlednit případné problémy</w:t>
      </w:r>
      <w:r w:rsidR="00855A71">
        <w:rPr>
          <w:rFonts w:eastAsia="Times New Roman"/>
          <w:lang w:eastAsia="cs-CZ"/>
        </w:rPr>
        <w:t xml:space="preserve"> </w:t>
      </w:r>
      <w:r w:rsidRPr="00A647D2">
        <w:rPr>
          <w:rFonts w:eastAsia="Times New Roman"/>
          <w:lang w:eastAsia="cs-CZ"/>
        </w:rPr>
        <w:t xml:space="preserve">a </w:t>
      </w:r>
      <w:r w:rsidR="000C55B2" w:rsidRPr="00A647D2">
        <w:rPr>
          <w:rFonts w:eastAsia="Times New Roman"/>
          <w:lang w:eastAsia="cs-CZ"/>
        </w:rPr>
        <w:t xml:space="preserve">v rámci přípravy vzorového dotačního programu na rok 2017 </w:t>
      </w:r>
      <w:r w:rsidR="006B1BAE" w:rsidRPr="00A647D2">
        <w:rPr>
          <w:rFonts w:eastAsia="Times New Roman"/>
          <w:lang w:eastAsia="cs-CZ"/>
        </w:rPr>
        <w:t xml:space="preserve">vzít v úvahu </w:t>
      </w:r>
      <w:r w:rsidR="000C55B2" w:rsidRPr="00A647D2">
        <w:rPr>
          <w:rFonts w:eastAsia="Times New Roman"/>
          <w:lang w:eastAsia="cs-CZ"/>
        </w:rPr>
        <w:t>připomínky všech</w:t>
      </w:r>
      <w:r w:rsidR="00A1054C" w:rsidRPr="00A647D2">
        <w:rPr>
          <w:rFonts w:eastAsia="Times New Roman"/>
          <w:lang w:eastAsia="cs-CZ"/>
        </w:rPr>
        <w:t xml:space="preserve"> účastníků procesu přidělování dotací.</w:t>
      </w:r>
      <w:r w:rsidR="00EE2E80" w:rsidRPr="00A647D2">
        <w:rPr>
          <w:rFonts w:eastAsia="Times New Roman"/>
          <w:lang w:eastAsia="cs-CZ"/>
        </w:rPr>
        <w:t xml:space="preserve"> </w:t>
      </w:r>
      <w:r w:rsidR="006B1BAE" w:rsidRPr="00A647D2">
        <w:rPr>
          <w:rFonts w:eastAsia="Times New Roman"/>
          <w:lang w:eastAsia="cs-CZ"/>
        </w:rPr>
        <w:t>V dubnu letošního roku tedy byl</w:t>
      </w:r>
      <w:r w:rsidR="00EE2E80" w:rsidRPr="00A647D2">
        <w:rPr>
          <w:rFonts w:eastAsia="Times New Roman"/>
          <w:lang w:eastAsia="cs-CZ"/>
        </w:rPr>
        <w:t xml:space="preserve">y osloveny odbory krajského úřadu, komise rady, výbory zastupitelstva i kluby ZOK s žádostí o zaslání připomínek ke stávajícímu systému dotací a implementaci dotačního vzoru do jednotlivých dotačních programů. Během připomínkového řízení se sešlo celkem 149 připomínek a návrhů na zlepšení stávajícího systému. Náměty byly roztříděny dle procesu schvalování dotací a analyzovány dle 3 oblastí: </w:t>
      </w:r>
    </w:p>
    <w:p w:rsidR="00EE2E80" w:rsidRPr="009C693C" w:rsidRDefault="00EE2E80" w:rsidP="00EE2E80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C693C">
        <w:rPr>
          <w:rFonts w:ascii="Arial" w:hAnsi="Arial" w:cs="Arial"/>
          <w:sz w:val="24"/>
          <w:szCs w:val="24"/>
        </w:rPr>
        <w:t>říprava pravidel a vyhlášení</w:t>
      </w:r>
      <w:r w:rsidR="00EC5884">
        <w:rPr>
          <w:rFonts w:ascii="Arial" w:hAnsi="Arial" w:cs="Arial"/>
          <w:sz w:val="24"/>
          <w:szCs w:val="24"/>
        </w:rPr>
        <w:t xml:space="preserve"> (vzorová žádost a smlouva, hodnotící kritéria…)</w:t>
      </w:r>
    </w:p>
    <w:p w:rsidR="00EE2E80" w:rsidRDefault="00EE2E80" w:rsidP="00EE2E80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1310D">
        <w:rPr>
          <w:rFonts w:ascii="Arial" w:hAnsi="Arial" w:cs="Arial"/>
          <w:sz w:val="24"/>
          <w:szCs w:val="24"/>
        </w:rPr>
        <w:t>dministrace žádostí a hodnocení</w:t>
      </w:r>
      <w:r w:rsidR="00EC5884">
        <w:rPr>
          <w:rFonts w:ascii="Arial" w:hAnsi="Arial" w:cs="Arial"/>
          <w:sz w:val="24"/>
          <w:szCs w:val="24"/>
        </w:rPr>
        <w:t xml:space="preserve"> (žádosti a jejich příjem, hodnocení…)</w:t>
      </w:r>
    </w:p>
    <w:p w:rsidR="00EE2E80" w:rsidRPr="0011310D" w:rsidRDefault="00EE2E80" w:rsidP="00EE2E80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1310D">
        <w:rPr>
          <w:rFonts w:ascii="Arial" w:hAnsi="Arial" w:cs="Arial"/>
          <w:sz w:val="24"/>
          <w:szCs w:val="24"/>
        </w:rPr>
        <w:t>chvalování</w:t>
      </w:r>
      <w:r>
        <w:rPr>
          <w:rFonts w:ascii="Arial" w:hAnsi="Arial" w:cs="Arial"/>
          <w:sz w:val="24"/>
          <w:szCs w:val="24"/>
        </w:rPr>
        <w:t xml:space="preserve"> a </w:t>
      </w:r>
      <w:r w:rsidRPr="0011310D">
        <w:rPr>
          <w:rFonts w:ascii="Arial" w:hAnsi="Arial" w:cs="Arial"/>
          <w:sz w:val="24"/>
          <w:szCs w:val="24"/>
        </w:rPr>
        <w:t>administrace smluv</w:t>
      </w:r>
      <w:r w:rsidR="00EC5884">
        <w:rPr>
          <w:rFonts w:ascii="Arial" w:hAnsi="Arial" w:cs="Arial"/>
          <w:sz w:val="24"/>
          <w:szCs w:val="24"/>
        </w:rPr>
        <w:t xml:space="preserve"> (podklady, schvalování, smlouvy…)</w:t>
      </w:r>
    </w:p>
    <w:p w:rsidR="00262DF3" w:rsidRDefault="00286E91" w:rsidP="00A647D2">
      <w:pPr>
        <w:pStyle w:val="Normal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Jak ukázala zpracovaná analýza, n</w:t>
      </w:r>
      <w:r w:rsidR="00262DF3" w:rsidRPr="00A647D2">
        <w:rPr>
          <w:rFonts w:eastAsia="Times New Roman"/>
          <w:lang w:eastAsia="cs-CZ"/>
        </w:rPr>
        <w:t>ejvíce připomínek – celkem 68 (</w:t>
      </w:r>
      <w:r w:rsidR="000E5F2A">
        <w:rPr>
          <w:rFonts w:eastAsia="Times New Roman"/>
          <w:lang w:eastAsia="cs-CZ"/>
        </w:rPr>
        <w:t xml:space="preserve">tedy </w:t>
      </w:r>
      <w:r w:rsidR="00262DF3" w:rsidRPr="00A647D2">
        <w:rPr>
          <w:rFonts w:eastAsia="Times New Roman"/>
          <w:lang w:eastAsia="cs-CZ"/>
        </w:rPr>
        <w:t>46</w:t>
      </w:r>
      <w:r w:rsidR="004A4DF1">
        <w:rPr>
          <w:rFonts w:eastAsia="Times New Roman"/>
          <w:lang w:eastAsia="cs-CZ"/>
        </w:rPr>
        <w:t xml:space="preserve"> %</w:t>
      </w:r>
      <w:r w:rsidR="005C19E0">
        <w:rPr>
          <w:rFonts w:eastAsia="Times New Roman"/>
          <w:lang w:eastAsia="cs-CZ"/>
        </w:rPr>
        <w:t>),</w:t>
      </w:r>
      <w:r w:rsidR="00262DF3" w:rsidRPr="00A647D2">
        <w:rPr>
          <w:rFonts w:eastAsia="Times New Roman"/>
          <w:lang w:eastAsia="cs-CZ"/>
        </w:rPr>
        <w:t xml:space="preserve"> se týkalo přípravy pravidel vyhlašování dotačních programů</w:t>
      </w:r>
      <w:r w:rsidR="004B0375">
        <w:rPr>
          <w:rFonts w:eastAsia="Times New Roman"/>
          <w:lang w:eastAsia="cs-CZ"/>
        </w:rPr>
        <w:t xml:space="preserve">, a to </w:t>
      </w:r>
      <w:r w:rsidR="00262DF3" w:rsidRPr="00A647D2">
        <w:rPr>
          <w:rFonts w:eastAsia="Times New Roman"/>
          <w:lang w:eastAsia="cs-CZ"/>
        </w:rPr>
        <w:t xml:space="preserve">včetně vzorových dokumentů </w:t>
      </w:r>
      <w:r w:rsidR="00410018">
        <w:rPr>
          <w:rFonts w:eastAsia="Times New Roman"/>
          <w:lang w:eastAsia="cs-CZ"/>
        </w:rPr>
        <w:t>Ž</w:t>
      </w:r>
      <w:r w:rsidR="00262DF3" w:rsidRPr="00A647D2">
        <w:rPr>
          <w:rFonts w:eastAsia="Times New Roman"/>
          <w:lang w:eastAsia="cs-CZ"/>
        </w:rPr>
        <w:t xml:space="preserve">ádost a </w:t>
      </w:r>
      <w:r w:rsidR="00410018">
        <w:rPr>
          <w:rFonts w:eastAsia="Times New Roman"/>
          <w:lang w:eastAsia="cs-CZ"/>
        </w:rPr>
        <w:t>S</w:t>
      </w:r>
      <w:r w:rsidR="00262DF3" w:rsidRPr="00A647D2">
        <w:rPr>
          <w:rFonts w:eastAsia="Times New Roman"/>
          <w:lang w:eastAsia="cs-CZ"/>
        </w:rPr>
        <w:t>mlouva.</w:t>
      </w:r>
    </w:p>
    <w:p w:rsidR="00FD2A91" w:rsidRPr="00A647D2" w:rsidRDefault="00FD2A91" w:rsidP="00A647D2">
      <w:pPr>
        <w:pStyle w:val="Normal"/>
        <w:jc w:val="both"/>
        <w:rPr>
          <w:rFonts w:eastAsia="Times New Roman"/>
          <w:lang w:eastAsia="cs-CZ"/>
        </w:rPr>
      </w:pPr>
    </w:p>
    <w:p w:rsidR="00262DF3" w:rsidRDefault="00262DF3" w:rsidP="00A647D2">
      <w:pPr>
        <w:jc w:val="center"/>
        <w:rPr>
          <w:rFonts w:ascii="Arial" w:hAnsi="Arial" w:cs="Arial"/>
          <w:sz w:val="24"/>
          <w:szCs w:val="24"/>
        </w:rPr>
      </w:pPr>
      <w:r w:rsidRPr="0011310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67250" cy="2190750"/>
            <wp:effectExtent l="0" t="0" r="19050" b="1905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0129" w:rsidRPr="00560129" w:rsidRDefault="00560129" w:rsidP="00A647D2">
      <w:pPr>
        <w:jc w:val="center"/>
        <w:rPr>
          <w:rFonts w:ascii="Arial" w:hAnsi="Arial" w:cs="Arial"/>
          <w:sz w:val="18"/>
          <w:szCs w:val="24"/>
        </w:rPr>
      </w:pPr>
      <w:r w:rsidRPr="00560129">
        <w:rPr>
          <w:rFonts w:ascii="Arial" w:hAnsi="Arial" w:cs="Arial"/>
          <w:sz w:val="18"/>
          <w:szCs w:val="24"/>
        </w:rPr>
        <w:t>Celkový počet připomínek k dotačním programům 2016 – členění dle 3 základních kategorií</w:t>
      </w:r>
    </w:p>
    <w:p w:rsidR="00FD2A91" w:rsidRDefault="00FD2A91" w:rsidP="004B0375">
      <w:pPr>
        <w:pStyle w:val="Normal"/>
        <w:jc w:val="both"/>
        <w:rPr>
          <w:rFonts w:eastAsia="Times New Roman"/>
          <w:lang w:eastAsia="cs-CZ"/>
        </w:rPr>
      </w:pPr>
    </w:p>
    <w:p w:rsidR="00306581" w:rsidRDefault="00262DF3" w:rsidP="0087095E">
      <w:pPr>
        <w:pStyle w:val="Normal"/>
        <w:spacing w:after="120"/>
        <w:jc w:val="both"/>
        <w:rPr>
          <w:rFonts w:eastAsia="Times New Roman"/>
          <w:lang w:eastAsia="cs-CZ"/>
        </w:rPr>
      </w:pPr>
      <w:r w:rsidRPr="00A647D2">
        <w:rPr>
          <w:rFonts w:eastAsia="Times New Roman"/>
          <w:lang w:eastAsia="cs-CZ"/>
        </w:rPr>
        <w:lastRenderedPageBreak/>
        <w:t>Pokud jde o konkrétní postřehy k celému procesu administrace dotací</w:t>
      </w:r>
      <w:r w:rsidR="004A4DF1" w:rsidRPr="0087095E">
        <w:rPr>
          <w:rStyle w:val="Znakapoznpodarou"/>
          <w:sz w:val="16"/>
          <w:szCs w:val="16"/>
        </w:rPr>
        <w:footnoteReference w:id="1"/>
      </w:r>
      <w:r w:rsidRPr="00A647D2">
        <w:rPr>
          <w:rFonts w:eastAsia="Times New Roman"/>
          <w:lang w:eastAsia="cs-CZ"/>
        </w:rPr>
        <w:t xml:space="preserve">, nejvíce námětů na změnu se týkalo žádosti o dotaci. </w:t>
      </w:r>
      <w:r w:rsidR="004B0375">
        <w:rPr>
          <w:rFonts w:eastAsia="Times New Roman"/>
          <w:lang w:eastAsia="cs-CZ"/>
        </w:rPr>
        <w:t xml:space="preserve">Z provedené analýzy tedy jednoznačně vyplynula potřeba upravit </w:t>
      </w:r>
      <w:r w:rsidR="00D105EB">
        <w:rPr>
          <w:rFonts w:eastAsia="Times New Roman"/>
          <w:lang w:eastAsia="cs-CZ"/>
        </w:rPr>
        <w:t xml:space="preserve">formu žádosti i samotný </w:t>
      </w:r>
      <w:r w:rsidR="004B0375">
        <w:rPr>
          <w:rFonts w:eastAsia="Times New Roman"/>
          <w:lang w:eastAsia="cs-CZ"/>
        </w:rPr>
        <w:t>proces podávání žádostí.</w:t>
      </w:r>
    </w:p>
    <w:p w:rsidR="00692DF4" w:rsidRDefault="00CD1719" w:rsidP="004B0375">
      <w:pPr>
        <w:tabs>
          <w:tab w:val="left" w:pos="180"/>
          <w:tab w:val="left" w:pos="360"/>
        </w:tabs>
        <w:spacing w:before="60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5386070" cy="3752215"/>
            <wp:effectExtent l="0" t="0" r="24130" b="19685"/>
            <wp:docPr id="3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47D2" w:rsidRPr="00A647D2" w:rsidRDefault="00A647D2" w:rsidP="00CD1719">
      <w:pPr>
        <w:tabs>
          <w:tab w:val="left" w:pos="180"/>
          <w:tab w:val="left" w:pos="360"/>
        </w:tabs>
        <w:jc w:val="center"/>
        <w:rPr>
          <w:rFonts w:ascii="Arial" w:hAnsi="Arial" w:cs="Arial"/>
          <w:sz w:val="18"/>
          <w:szCs w:val="24"/>
        </w:rPr>
      </w:pPr>
      <w:r w:rsidRPr="00A647D2">
        <w:rPr>
          <w:rFonts w:ascii="Arial" w:hAnsi="Arial" w:cs="Arial"/>
          <w:sz w:val="18"/>
          <w:szCs w:val="24"/>
        </w:rPr>
        <w:t>Nejčastější připomínky k systému dotací v r. 2016</w:t>
      </w:r>
    </w:p>
    <w:p w:rsidR="00D3440B" w:rsidRPr="00917994" w:rsidRDefault="00D3440B" w:rsidP="00BC7CBB">
      <w:pPr>
        <w:tabs>
          <w:tab w:val="left" w:pos="180"/>
          <w:tab w:val="left" w:pos="360"/>
        </w:tabs>
        <w:spacing w:before="60"/>
        <w:jc w:val="both"/>
        <w:rPr>
          <w:rFonts w:ascii="Arial" w:hAnsi="Arial" w:cs="Arial"/>
          <w:sz w:val="6"/>
          <w:szCs w:val="6"/>
        </w:rPr>
      </w:pPr>
    </w:p>
    <w:p w:rsidR="009915FC" w:rsidRDefault="00A647D2" w:rsidP="00227F79">
      <w:pPr>
        <w:pStyle w:val="Normal"/>
        <w:spacing w:before="120" w:after="119"/>
        <w:jc w:val="both"/>
      </w:pPr>
      <w:r>
        <w:t>Z výsledků provedené analýzy</w:t>
      </w:r>
      <w:r w:rsidR="002354FE">
        <w:t xml:space="preserve">, </w:t>
      </w:r>
      <w:r w:rsidR="002354FE" w:rsidRPr="00A84CE9">
        <w:t xml:space="preserve">která byla v červnu </w:t>
      </w:r>
      <w:r w:rsidR="008B137C" w:rsidRPr="00A84CE9">
        <w:t xml:space="preserve">letošního roku </w:t>
      </w:r>
      <w:r w:rsidR="002354FE" w:rsidRPr="00A84CE9">
        <w:t>předána předsedům klubů zastupitelstva,</w:t>
      </w:r>
      <w:r w:rsidR="002354FE">
        <w:t xml:space="preserve"> </w:t>
      </w:r>
      <w:r w:rsidR="00327315">
        <w:t xml:space="preserve">vycházela </w:t>
      </w:r>
      <w:r>
        <w:t>pracovní skupina</w:t>
      </w:r>
      <w:r w:rsidR="00DD6611">
        <w:t>,</w:t>
      </w:r>
      <w:r w:rsidR="00513784">
        <w:t xml:space="preserve"> </w:t>
      </w:r>
      <w:r>
        <w:t xml:space="preserve">ustavená ředitelkou KÚOK za účelem přípravy nového systému dotací </w:t>
      </w:r>
      <w:r w:rsidR="000B5BD9">
        <w:t>pro rok 2017. Během práce na </w:t>
      </w:r>
      <w:r w:rsidRPr="00D9428A">
        <w:t xml:space="preserve">změně pravidel pro vyhlašování </w:t>
      </w:r>
      <w:r w:rsidR="002354FE" w:rsidRPr="00D9428A">
        <w:t xml:space="preserve">dotačních programů </w:t>
      </w:r>
      <w:r w:rsidR="004B0375" w:rsidRPr="00D9428A">
        <w:t xml:space="preserve">spolupracovali </w:t>
      </w:r>
      <w:r w:rsidR="002354FE" w:rsidRPr="00D9428A">
        <w:t xml:space="preserve">s pracovní </w:t>
      </w:r>
      <w:r w:rsidRPr="00D9428A">
        <w:t xml:space="preserve">skupinou </w:t>
      </w:r>
      <w:r w:rsidR="004B0375">
        <w:t xml:space="preserve">další </w:t>
      </w:r>
      <w:r w:rsidR="004B0375" w:rsidRPr="00D9428A">
        <w:t>specialisté</w:t>
      </w:r>
      <w:r w:rsidR="004B0375">
        <w:t xml:space="preserve">, a to především </w:t>
      </w:r>
      <w:r w:rsidR="009915FC">
        <w:t xml:space="preserve">na </w:t>
      </w:r>
      <w:r w:rsidR="009915FC" w:rsidRPr="00D9428A">
        <w:t>úprav</w:t>
      </w:r>
      <w:r w:rsidR="009915FC">
        <w:t>ách</w:t>
      </w:r>
      <w:r w:rsidR="009915FC" w:rsidRPr="00D9428A">
        <w:t xml:space="preserve"> dílčích odborných částí pravidel</w:t>
      </w:r>
      <w:r w:rsidRPr="00D9428A">
        <w:t xml:space="preserve">. </w:t>
      </w:r>
      <w:r w:rsidR="00D9428A">
        <w:t xml:space="preserve">Kromě </w:t>
      </w:r>
      <w:r w:rsidR="00364FB2">
        <w:t>vypořádání zásadních</w:t>
      </w:r>
      <w:r w:rsidR="00D9428A">
        <w:t xml:space="preserve"> připomínek k</w:t>
      </w:r>
      <w:r w:rsidR="009915FC">
        <w:t xml:space="preserve"> </w:t>
      </w:r>
      <w:r w:rsidR="00D9428A">
        <w:t xml:space="preserve">pravidlům, hodnotícím </w:t>
      </w:r>
      <w:r w:rsidR="00364FB2">
        <w:t xml:space="preserve">kritériím, žádosti </w:t>
      </w:r>
      <w:r w:rsidR="00D9428A">
        <w:t>o dotace</w:t>
      </w:r>
      <w:r w:rsidR="00364FB2">
        <w:t xml:space="preserve"> atp. byly řešeny </w:t>
      </w:r>
      <w:r w:rsidR="004B0375">
        <w:t xml:space="preserve">rovněž </w:t>
      </w:r>
      <w:r w:rsidR="00364FB2">
        <w:t>obecné otázky poskytování dotací a jejich schvalování příslušným</w:t>
      </w:r>
      <w:r w:rsidR="00D54C9F">
        <w:t>i</w:t>
      </w:r>
      <w:r w:rsidR="00364FB2">
        <w:t xml:space="preserve"> orgán</w:t>
      </w:r>
      <w:r w:rsidR="00D54C9F">
        <w:t>y</w:t>
      </w:r>
      <w:r w:rsidR="00364FB2">
        <w:t xml:space="preserve"> kraje. </w:t>
      </w:r>
      <w:r w:rsidR="009915FC">
        <w:t>V </w:t>
      </w:r>
      <w:r w:rsidRPr="00364FB2">
        <w:t xml:space="preserve">úzké spolupráci s právníky </w:t>
      </w:r>
      <w:r w:rsidR="00D9428A" w:rsidRPr="00364FB2">
        <w:t xml:space="preserve">byla </w:t>
      </w:r>
      <w:r w:rsidR="004B0375">
        <w:t xml:space="preserve">například </w:t>
      </w:r>
      <w:r w:rsidRPr="00364FB2">
        <w:t>intenzivně řešena otázka sledování hranice dotace 200 000 Kč, kdy se některé kraje po novelizaci zákona o krajích rozhodly nesčítat částky dotací v</w:t>
      </w:r>
      <w:r w:rsidR="004B0375">
        <w:t> </w:t>
      </w:r>
      <w:r w:rsidRPr="00364FB2">
        <w:t>kal</w:t>
      </w:r>
      <w:r w:rsidR="004B0375">
        <w:t xml:space="preserve">endářním </w:t>
      </w:r>
      <w:r w:rsidRPr="00364FB2">
        <w:t>roce pro jednotlivý subjekt, ale posuzovat finanční limit pro předložení radě či zastupitelstvu vždy z pohledu 1 konkrétní žádosti o dotaci</w:t>
      </w:r>
      <w:r w:rsidR="009915FC">
        <w:t xml:space="preserve">. Jiné kraje však </w:t>
      </w:r>
      <w:r w:rsidR="00364FB2">
        <w:t xml:space="preserve">nadále </w:t>
      </w:r>
      <w:r w:rsidR="009915FC">
        <w:t>s</w:t>
      </w:r>
      <w:r w:rsidR="00364FB2" w:rsidRPr="00364FB2">
        <w:t>čít</w:t>
      </w:r>
      <w:r w:rsidR="00364FB2">
        <w:t xml:space="preserve">ají </w:t>
      </w:r>
      <w:r w:rsidR="00364FB2" w:rsidRPr="00364FB2">
        <w:t xml:space="preserve">částky dotací </w:t>
      </w:r>
      <w:r w:rsidR="00364FB2">
        <w:t xml:space="preserve">příjemcům </w:t>
      </w:r>
      <w:r w:rsidR="00364FB2" w:rsidRPr="00364FB2">
        <w:t>v</w:t>
      </w:r>
      <w:r w:rsidR="00364FB2">
        <w:t> </w:t>
      </w:r>
      <w:r w:rsidR="00364FB2" w:rsidRPr="00364FB2">
        <w:t>kal</w:t>
      </w:r>
      <w:r w:rsidR="00364FB2">
        <w:t xml:space="preserve">endářním </w:t>
      </w:r>
      <w:r w:rsidR="00364FB2" w:rsidRPr="00364FB2">
        <w:t>roce</w:t>
      </w:r>
      <w:r w:rsidR="00364FB2">
        <w:t xml:space="preserve"> bez ohledu na účel, na který jsou dotace poskytovány. </w:t>
      </w:r>
      <w:r w:rsidR="009915FC">
        <w:t>D</w:t>
      </w:r>
      <w:r w:rsidR="00315598">
        <w:t>le provedeného zjištění nepřevažuje ani jeden z</w:t>
      </w:r>
      <w:r w:rsidR="00D4698D">
        <w:t> </w:t>
      </w:r>
      <w:r w:rsidR="00315598">
        <w:t>postupů</w:t>
      </w:r>
      <w:r w:rsidR="00D4698D">
        <w:t xml:space="preserve"> (</w:t>
      </w:r>
      <w:r w:rsidR="00315598">
        <w:t>polovina krajů dotace sčítá, polovina nesčítá</w:t>
      </w:r>
      <w:r w:rsidR="00D4698D">
        <w:t>)</w:t>
      </w:r>
      <w:r w:rsidR="009915FC">
        <w:t xml:space="preserve">. Bylo tedy </w:t>
      </w:r>
      <w:r w:rsidR="00315598">
        <w:t xml:space="preserve">provedeno důkladné právní posouzení možnosti </w:t>
      </w:r>
      <w:r w:rsidR="00A65180">
        <w:t>sledovat</w:t>
      </w:r>
      <w:r w:rsidR="00315598" w:rsidRPr="00364FB2">
        <w:t xml:space="preserve"> finanční limit pro předložení radě či zastupitelstvu vždy z pohledu 1 konkrétní žádosti o dotaci</w:t>
      </w:r>
      <w:r w:rsidR="00315598">
        <w:t xml:space="preserve"> – tedy 1 konkrétního účelu, na který jsou finanční prostředky </w:t>
      </w:r>
      <w:r w:rsidR="004B0375">
        <w:t xml:space="preserve">příjemci </w:t>
      </w:r>
      <w:r w:rsidR="00315598">
        <w:t xml:space="preserve">poskytovány. </w:t>
      </w:r>
      <w:r w:rsidR="00D4698D">
        <w:t xml:space="preserve">Rozhodnutí o změně postupu </w:t>
      </w:r>
      <w:r w:rsidR="009915FC">
        <w:t xml:space="preserve">při sledování výše dotací a hranice 200 tis. Kč </w:t>
      </w:r>
      <w:r w:rsidR="00D4698D">
        <w:t xml:space="preserve">je v kompetenci </w:t>
      </w:r>
      <w:r w:rsidR="009C686E" w:rsidRPr="00D4698D">
        <w:t>nové samosprávy</w:t>
      </w:r>
      <w:r w:rsidR="00107D3C">
        <w:t xml:space="preserve"> (bod </w:t>
      </w:r>
      <w:r w:rsidR="00B8798B">
        <w:t>II. A). V letošním</w:t>
      </w:r>
      <w:r w:rsidR="00107D3C">
        <w:t xml:space="preserve"> roce </w:t>
      </w:r>
      <w:r w:rsidR="009E1AA7">
        <w:t xml:space="preserve">tedy </w:t>
      </w:r>
      <w:r w:rsidR="00107D3C">
        <w:t xml:space="preserve">zůstává postup nezměněn a u dotací pro 1 příjemce sledujeme hranici 200 000 Kč bez ohledu na účel, na který byly finanční prostředky poskytnuty. </w:t>
      </w:r>
    </w:p>
    <w:p w:rsidR="00C17020" w:rsidRPr="004A3D72" w:rsidRDefault="00C17020" w:rsidP="00B10C36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Arial" w:hAnsi="Arial" w:cs="Arial"/>
          <w:b/>
          <w:sz w:val="26"/>
          <w:szCs w:val="26"/>
        </w:rPr>
      </w:pPr>
      <w:r w:rsidRPr="004A3D72">
        <w:rPr>
          <w:rFonts w:ascii="Arial" w:hAnsi="Arial" w:cs="Arial"/>
          <w:b/>
          <w:sz w:val="26"/>
          <w:szCs w:val="26"/>
        </w:rPr>
        <w:lastRenderedPageBreak/>
        <w:t>Hlavní změny v systému dotací pro rok 2017</w:t>
      </w:r>
    </w:p>
    <w:p w:rsidR="00142AF7" w:rsidRPr="004A4DF1" w:rsidRDefault="00C17020" w:rsidP="00A57E5B">
      <w:pPr>
        <w:pStyle w:val="Normal"/>
        <w:spacing w:before="240" w:after="119"/>
        <w:jc w:val="both"/>
        <w:rPr>
          <w:i/>
        </w:rPr>
      </w:pPr>
      <w:r>
        <w:t xml:space="preserve">ZOK je předkládán na vědomí zpracovaný návrh na systém poskytování dotací z krajského rozpočtu v příštím roce. </w:t>
      </w:r>
      <w:r w:rsidR="00142AF7">
        <w:t xml:space="preserve">Vzorový dotační program je </w:t>
      </w:r>
      <w:r w:rsidR="00A647D2">
        <w:t>v zásadních oblastech koncipován variantně tak, aby mohl být jednoduše zvolen způsob poskytování dotací v roce 2017</w:t>
      </w:r>
      <w:r w:rsidR="00A058FC">
        <w:t xml:space="preserve"> </w:t>
      </w:r>
      <w:r w:rsidR="00A647D2">
        <w:t>dle záměru dotační politiky</w:t>
      </w:r>
      <w:r w:rsidR="00142AF7">
        <w:t xml:space="preserve"> nově zvoleného zastupitelstva. Rovněž je ponechán poměrně velký prostor k provádění úprav pravidel zpracovatelům jednotlivých dotačních programů. Flexibilita vzorových pravidel a hodnotících kritérií žádostí byla</w:t>
      </w:r>
      <w:r w:rsidR="007B0047">
        <w:t xml:space="preserve"> (kromě již zmíněné změny žádosti) </w:t>
      </w:r>
      <w:r w:rsidR="00142AF7">
        <w:t>jedním z hlavních požadavků administrátorů dotací</w:t>
      </w:r>
      <w:r w:rsidR="00680AC6">
        <w:t xml:space="preserve"> i komisí rady. </w:t>
      </w:r>
    </w:p>
    <w:p w:rsidR="00A222BB" w:rsidRPr="00663091" w:rsidRDefault="00AF5059" w:rsidP="00142AF7">
      <w:pPr>
        <w:pStyle w:val="Normal"/>
        <w:spacing w:after="119"/>
        <w:jc w:val="both"/>
        <w:rPr>
          <w:b/>
        </w:rPr>
      </w:pPr>
      <w:r w:rsidRPr="000D2100">
        <w:rPr>
          <w:b/>
        </w:rPr>
        <w:t xml:space="preserve">Přehled </w:t>
      </w:r>
      <w:r w:rsidR="00AD3755" w:rsidRPr="000D2100">
        <w:rPr>
          <w:b/>
        </w:rPr>
        <w:t xml:space="preserve">zásadních </w:t>
      </w:r>
      <w:r w:rsidR="00D8367B" w:rsidRPr="000D2100">
        <w:rPr>
          <w:b/>
        </w:rPr>
        <w:t xml:space="preserve">změn </w:t>
      </w:r>
      <w:r w:rsidR="00E50859" w:rsidRPr="000D2100">
        <w:rPr>
          <w:b/>
        </w:rPr>
        <w:t>připravené</w:t>
      </w:r>
      <w:r w:rsidR="00AD3755" w:rsidRPr="000D2100">
        <w:rPr>
          <w:b/>
        </w:rPr>
        <w:t xml:space="preserve">ho návrhu </w:t>
      </w:r>
      <w:r w:rsidRPr="000D2100">
        <w:rPr>
          <w:b/>
        </w:rPr>
        <w:t>postup</w:t>
      </w:r>
      <w:r w:rsidR="002968B3">
        <w:rPr>
          <w:b/>
        </w:rPr>
        <w:t>u</w:t>
      </w:r>
      <w:r w:rsidRPr="000D2100">
        <w:rPr>
          <w:b/>
        </w:rPr>
        <w:t xml:space="preserve"> při poskytování dotací </w:t>
      </w:r>
      <w:r w:rsidR="00663091" w:rsidRPr="00663091">
        <w:rPr>
          <w:b/>
        </w:rPr>
        <w:t xml:space="preserve">v roce </w:t>
      </w:r>
      <w:r w:rsidR="0099790C" w:rsidRPr="00663091">
        <w:rPr>
          <w:b/>
        </w:rPr>
        <w:t xml:space="preserve">2017 </w:t>
      </w:r>
      <w:r w:rsidR="006A0C63" w:rsidRPr="00663091">
        <w:rPr>
          <w:b/>
        </w:rPr>
        <w:t>oproti</w:t>
      </w:r>
      <w:r w:rsidR="00A222BB" w:rsidRPr="00663091">
        <w:rPr>
          <w:b/>
        </w:rPr>
        <w:t xml:space="preserve"> </w:t>
      </w:r>
      <w:r w:rsidR="000D2100" w:rsidRPr="00663091">
        <w:rPr>
          <w:b/>
        </w:rPr>
        <w:t xml:space="preserve">systému </w:t>
      </w:r>
      <w:r w:rsidRPr="00663091">
        <w:rPr>
          <w:b/>
        </w:rPr>
        <w:t>letošní</w:t>
      </w:r>
      <w:r w:rsidR="000D2100" w:rsidRPr="00663091">
        <w:rPr>
          <w:b/>
        </w:rPr>
        <w:t xml:space="preserve">ho </w:t>
      </w:r>
      <w:r w:rsidRPr="00663091">
        <w:rPr>
          <w:b/>
        </w:rPr>
        <w:t>roku</w:t>
      </w:r>
      <w:r w:rsidR="00A222BB" w:rsidRPr="00663091">
        <w:rPr>
          <w:b/>
        </w:rPr>
        <w:t>:</w:t>
      </w:r>
    </w:p>
    <w:p w:rsidR="00A222BB" w:rsidRPr="00933862" w:rsidRDefault="00933862" w:rsidP="008B59F1">
      <w:pPr>
        <w:pStyle w:val="Normal"/>
        <w:numPr>
          <w:ilvl w:val="0"/>
          <w:numId w:val="33"/>
        </w:numPr>
        <w:spacing w:before="240" w:after="240"/>
        <w:ind w:left="567" w:hanging="567"/>
        <w:rPr>
          <w:b/>
          <w:caps/>
          <w:u w:val="single"/>
        </w:rPr>
      </w:pPr>
      <w:r w:rsidRPr="00933862">
        <w:rPr>
          <w:b/>
          <w:caps/>
          <w:u w:val="single"/>
        </w:rPr>
        <w:t xml:space="preserve">obecné změny </w:t>
      </w:r>
      <w:r w:rsidR="00E532A4">
        <w:rPr>
          <w:b/>
          <w:caps/>
          <w:u w:val="single"/>
        </w:rPr>
        <w:t>dotačního procesu</w:t>
      </w:r>
    </w:p>
    <w:p w:rsidR="00BD2BCC" w:rsidRPr="000E1395" w:rsidRDefault="008B137C" w:rsidP="00172245">
      <w:pPr>
        <w:pStyle w:val="Normal"/>
        <w:spacing w:after="119"/>
        <w:jc w:val="both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Návrh na změnu v postupu rozhodování řídícího</w:t>
      </w:r>
      <w:r w:rsidR="00B270B9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orgánu</w:t>
      </w:r>
    </w:p>
    <w:p w:rsidR="00BD2BCC" w:rsidRDefault="00663091" w:rsidP="005C3072">
      <w:pPr>
        <w:pStyle w:val="Normal"/>
        <w:spacing w:after="119"/>
        <w:jc w:val="both"/>
        <w:rPr>
          <w:rFonts w:eastAsia="Times New Roman"/>
          <w:lang w:eastAsia="cs-CZ"/>
        </w:rPr>
      </w:pPr>
      <w:r>
        <w:t>Pro rok 2017 je navrhováno posuzovat výši dotace dle</w:t>
      </w:r>
      <w:r w:rsidR="00B25857">
        <w:t xml:space="preserve"> </w:t>
      </w:r>
      <w:r w:rsidR="00AF4A63">
        <w:rPr>
          <w:rFonts w:eastAsia="Times New Roman"/>
          <w:lang w:eastAsia="cs-CZ"/>
        </w:rPr>
        <w:t>zákona č. 129/2000 Sb.</w:t>
      </w:r>
      <w:r w:rsidR="00B67D7E">
        <w:rPr>
          <w:rFonts w:eastAsia="Times New Roman"/>
          <w:lang w:eastAsia="cs-CZ"/>
        </w:rPr>
        <w:t>,</w:t>
      </w:r>
      <w:r w:rsidR="00AF4A63">
        <w:rPr>
          <w:rFonts w:eastAsia="Times New Roman"/>
          <w:lang w:eastAsia="cs-CZ"/>
        </w:rPr>
        <w:t xml:space="preserve"> o </w:t>
      </w:r>
      <w:r w:rsidR="00B25857" w:rsidRPr="00A647D2">
        <w:rPr>
          <w:rFonts w:eastAsia="Times New Roman"/>
          <w:lang w:eastAsia="cs-CZ"/>
        </w:rPr>
        <w:t>krajích (krajské zřízení)</w:t>
      </w:r>
      <w:r w:rsidR="00557F7C">
        <w:rPr>
          <w:rFonts w:eastAsia="Times New Roman"/>
          <w:lang w:eastAsia="cs-CZ"/>
        </w:rPr>
        <w:t xml:space="preserve"> dle výše dotace </w:t>
      </w:r>
      <w:r w:rsidR="00557F7C" w:rsidRPr="008254E4">
        <w:rPr>
          <w:rFonts w:eastAsia="Times New Roman"/>
          <w:b/>
          <w:lang w:eastAsia="cs-CZ"/>
        </w:rPr>
        <w:t>v jednotlivém případě</w:t>
      </w:r>
      <w:r w:rsidR="00557F7C">
        <w:rPr>
          <w:rFonts w:eastAsia="Times New Roman"/>
          <w:lang w:eastAsia="cs-CZ"/>
        </w:rPr>
        <w:t xml:space="preserve"> a nesčítat jednomu žadateli dotace na různé účely. Každý </w:t>
      </w:r>
      <w:r w:rsidR="00BD2BCC">
        <w:rPr>
          <w:rFonts w:eastAsia="Times New Roman"/>
          <w:lang w:eastAsia="cs-CZ"/>
        </w:rPr>
        <w:t xml:space="preserve">konkrétní </w:t>
      </w:r>
      <w:r w:rsidR="00557F7C">
        <w:rPr>
          <w:rFonts w:eastAsia="Times New Roman"/>
          <w:lang w:eastAsia="cs-CZ"/>
        </w:rPr>
        <w:t>účel žádosti by byl posuzován samostatně a částky jednotlivým subjektům by se nesčítaly.</w:t>
      </w:r>
      <w:r w:rsidR="00AC636C">
        <w:rPr>
          <w:rFonts w:eastAsia="Times New Roman"/>
          <w:lang w:eastAsia="cs-CZ"/>
        </w:rPr>
        <w:t xml:space="preserve"> K součtu částek poskytnuté podpory by u jednoho žadatele docházelo </w:t>
      </w:r>
      <w:r w:rsidR="00BD2BCC">
        <w:rPr>
          <w:rFonts w:eastAsia="Times New Roman"/>
          <w:lang w:eastAsia="cs-CZ"/>
        </w:rPr>
        <w:t>pouze v</w:t>
      </w:r>
      <w:r w:rsidR="00B823EB">
        <w:rPr>
          <w:rFonts w:eastAsia="Times New Roman"/>
          <w:lang w:eastAsia="cs-CZ"/>
        </w:rPr>
        <w:t> </w:t>
      </w:r>
      <w:r w:rsidR="00BD2BCC">
        <w:rPr>
          <w:rFonts w:eastAsia="Times New Roman"/>
          <w:lang w:eastAsia="cs-CZ"/>
        </w:rPr>
        <w:t>rámci</w:t>
      </w:r>
      <w:r w:rsidR="00B823EB">
        <w:rPr>
          <w:rFonts w:eastAsia="Times New Roman"/>
          <w:lang w:eastAsia="cs-CZ"/>
        </w:rPr>
        <w:t xml:space="preserve"> </w:t>
      </w:r>
      <w:r w:rsidR="00AC636C">
        <w:rPr>
          <w:rFonts w:eastAsia="Times New Roman"/>
          <w:lang w:eastAsia="cs-CZ"/>
        </w:rPr>
        <w:t>konkrétního účelu</w:t>
      </w:r>
      <w:r w:rsidR="00BD2BCC">
        <w:rPr>
          <w:rFonts w:eastAsia="Times New Roman"/>
          <w:lang w:eastAsia="cs-CZ"/>
        </w:rPr>
        <w:t xml:space="preserve"> (uvedeného v žádosti), typu podpory (dotace</w:t>
      </w:r>
      <w:r w:rsidR="008254E4">
        <w:rPr>
          <w:rFonts w:eastAsia="Times New Roman"/>
          <w:lang w:eastAsia="cs-CZ"/>
        </w:rPr>
        <w:t xml:space="preserve"> + návratná finanční výpomoc) a </w:t>
      </w:r>
      <w:r w:rsidR="00AC636C">
        <w:rPr>
          <w:rFonts w:eastAsia="Times New Roman"/>
          <w:lang w:eastAsia="cs-CZ"/>
        </w:rPr>
        <w:t>v rámci kalendářního roku</w:t>
      </w:r>
      <w:r w:rsidR="00BD2BCC">
        <w:rPr>
          <w:rFonts w:eastAsia="Times New Roman"/>
          <w:lang w:eastAsia="cs-CZ"/>
        </w:rPr>
        <w:t>.</w:t>
      </w:r>
    </w:p>
    <w:p w:rsidR="00BD2BCC" w:rsidRDefault="00BD2BCC" w:rsidP="00B823EB">
      <w:pPr>
        <w:pStyle w:val="Normal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Pokud by tedy </w:t>
      </w:r>
      <w:r w:rsidR="008254E4">
        <w:rPr>
          <w:rFonts w:eastAsia="Times New Roman"/>
          <w:lang w:eastAsia="cs-CZ"/>
        </w:rPr>
        <w:t xml:space="preserve">například </w:t>
      </w:r>
      <w:r>
        <w:rPr>
          <w:rFonts w:eastAsia="Times New Roman"/>
          <w:lang w:eastAsia="cs-CZ"/>
        </w:rPr>
        <w:t xml:space="preserve">žadatel požádal </w:t>
      </w:r>
      <w:r w:rsidR="00B23866">
        <w:rPr>
          <w:rFonts w:eastAsia="Times New Roman"/>
          <w:lang w:eastAsia="cs-CZ"/>
        </w:rPr>
        <w:t xml:space="preserve">v průběhu kalendářního roku </w:t>
      </w:r>
      <w:r>
        <w:rPr>
          <w:rFonts w:eastAsia="Times New Roman"/>
          <w:lang w:eastAsia="cs-CZ"/>
        </w:rPr>
        <w:t>1</w:t>
      </w:r>
      <w:r w:rsidR="008254E4">
        <w:rPr>
          <w:rFonts w:eastAsia="Times New Roman"/>
          <w:lang w:eastAsia="cs-CZ"/>
        </w:rPr>
        <w:t xml:space="preserve">. žádostí </w:t>
      </w:r>
      <w:r w:rsidR="00B823EB">
        <w:rPr>
          <w:rFonts w:eastAsia="Times New Roman"/>
          <w:lang w:eastAsia="cs-CZ"/>
        </w:rPr>
        <w:t>o </w:t>
      </w:r>
      <w:r>
        <w:rPr>
          <w:rFonts w:eastAsia="Times New Roman"/>
          <w:lang w:eastAsia="cs-CZ"/>
        </w:rPr>
        <w:t xml:space="preserve">dotaci </w:t>
      </w:r>
      <w:r w:rsidR="00B23866">
        <w:rPr>
          <w:rFonts w:eastAsia="Times New Roman"/>
          <w:lang w:eastAsia="cs-CZ"/>
        </w:rPr>
        <w:t>150 </w:t>
      </w:r>
      <w:r w:rsidR="00160133">
        <w:rPr>
          <w:rFonts w:eastAsia="Times New Roman"/>
          <w:lang w:eastAsia="cs-CZ"/>
        </w:rPr>
        <w:t>000</w:t>
      </w:r>
      <w:r w:rsidR="00B23866">
        <w:rPr>
          <w:rFonts w:eastAsia="Times New Roman"/>
          <w:lang w:eastAsia="cs-CZ"/>
        </w:rPr>
        <w:t> </w:t>
      </w:r>
      <w:r>
        <w:rPr>
          <w:rFonts w:eastAsia="Times New Roman"/>
          <w:lang w:eastAsia="cs-CZ"/>
        </w:rPr>
        <w:t>Kč na</w:t>
      </w:r>
      <w:r w:rsidR="00B23866">
        <w:rPr>
          <w:rFonts w:eastAsia="Times New Roman"/>
          <w:lang w:eastAsia="cs-CZ"/>
        </w:rPr>
        <w:t xml:space="preserve"> 1 </w:t>
      </w:r>
      <w:r>
        <w:rPr>
          <w:rFonts w:eastAsia="Times New Roman"/>
          <w:lang w:eastAsia="cs-CZ"/>
        </w:rPr>
        <w:t>konkrétní účel</w:t>
      </w:r>
      <w:r w:rsidR="00160133">
        <w:rPr>
          <w:rFonts w:eastAsia="Times New Roman"/>
          <w:lang w:eastAsia="cs-CZ"/>
        </w:rPr>
        <w:t xml:space="preserve"> – zajištění </w:t>
      </w:r>
      <w:r>
        <w:rPr>
          <w:rFonts w:eastAsia="Times New Roman"/>
          <w:lang w:eastAsia="cs-CZ"/>
        </w:rPr>
        <w:t>konkrétní akce dle žádosti</w:t>
      </w:r>
      <w:r w:rsidR="00160133">
        <w:rPr>
          <w:rFonts w:eastAsia="Times New Roman"/>
          <w:lang w:eastAsia="cs-CZ"/>
        </w:rPr>
        <w:t xml:space="preserve">, rozhodne o jeho žádosti rada. Pokud tentýž žadatel </w:t>
      </w:r>
      <w:r w:rsidR="00B23866">
        <w:rPr>
          <w:rFonts w:eastAsia="Times New Roman"/>
          <w:lang w:eastAsia="cs-CZ"/>
        </w:rPr>
        <w:t xml:space="preserve">poté </w:t>
      </w:r>
      <w:r w:rsidR="008254E4">
        <w:rPr>
          <w:rFonts w:eastAsia="Times New Roman"/>
          <w:lang w:eastAsia="cs-CZ"/>
        </w:rPr>
        <w:t xml:space="preserve">2. žádostí </w:t>
      </w:r>
      <w:r w:rsidR="00160133">
        <w:rPr>
          <w:rFonts w:eastAsia="Times New Roman"/>
          <w:lang w:eastAsia="cs-CZ"/>
        </w:rPr>
        <w:t xml:space="preserve">požádá o dotaci 150 000 Kč na zajištění své celoroční činnosti, rozhodne o jeho žádosti </w:t>
      </w:r>
      <w:r w:rsidR="008254E4">
        <w:rPr>
          <w:rFonts w:eastAsia="Times New Roman"/>
          <w:lang w:eastAsia="cs-CZ"/>
        </w:rPr>
        <w:t>opět rada (v letošním roce by už tato 2. žádost byla předkládána zastupitelstvu).</w:t>
      </w:r>
      <w:r w:rsidR="00160133">
        <w:rPr>
          <w:rFonts w:eastAsia="Times New Roman"/>
          <w:lang w:eastAsia="cs-CZ"/>
        </w:rPr>
        <w:t xml:space="preserve"> Pokud </w:t>
      </w:r>
      <w:r w:rsidR="008254E4">
        <w:rPr>
          <w:rFonts w:eastAsia="Times New Roman"/>
          <w:lang w:eastAsia="cs-CZ"/>
        </w:rPr>
        <w:t xml:space="preserve">by </w:t>
      </w:r>
      <w:r w:rsidR="00160133">
        <w:rPr>
          <w:rFonts w:eastAsia="Times New Roman"/>
          <w:lang w:eastAsia="cs-CZ"/>
        </w:rPr>
        <w:t xml:space="preserve">však tentýž žadatel </w:t>
      </w:r>
      <w:r w:rsidR="00B23866">
        <w:rPr>
          <w:rFonts w:eastAsia="Times New Roman"/>
          <w:lang w:eastAsia="cs-CZ"/>
        </w:rPr>
        <w:t xml:space="preserve">následně </w:t>
      </w:r>
      <w:r w:rsidR="008254E4">
        <w:rPr>
          <w:rFonts w:eastAsia="Times New Roman"/>
          <w:lang w:eastAsia="cs-CZ"/>
        </w:rPr>
        <w:t xml:space="preserve">v 3. žádosti </w:t>
      </w:r>
      <w:r w:rsidR="00160133" w:rsidRPr="00160133">
        <w:rPr>
          <w:rFonts w:eastAsia="Times New Roman"/>
          <w:lang w:eastAsia="cs-CZ"/>
        </w:rPr>
        <w:t>požád</w:t>
      </w:r>
      <w:r w:rsidR="008254E4">
        <w:rPr>
          <w:rFonts w:eastAsia="Times New Roman"/>
          <w:lang w:eastAsia="cs-CZ"/>
        </w:rPr>
        <w:t xml:space="preserve">al </w:t>
      </w:r>
      <w:r w:rsidR="00160133" w:rsidRPr="00160133">
        <w:rPr>
          <w:rFonts w:eastAsia="Times New Roman"/>
          <w:lang w:eastAsia="cs-CZ"/>
        </w:rPr>
        <w:t xml:space="preserve">o poskytnutí další dotace ve výši 100 000 Kč na zajištění </w:t>
      </w:r>
      <w:r w:rsidR="00160133">
        <w:rPr>
          <w:rFonts w:eastAsia="Times New Roman"/>
          <w:lang w:eastAsia="cs-CZ"/>
        </w:rPr>
        <w:t xml:space="preserve">konkrétní stejné akce, které </w:t>
      </w:r>
      <w:r w:rsidR="00B23866">
        <w:rPr>
          <w:rFonts w:eastAsia="Times New Roman"/>
          <w:lang w:eastAsia="cs-CZ"/>
        </w:rPr>
        <w:t xml:space="preserve">již </w:t>
      </w:r>
      <w:r w:rsidR="00B823EB">
        <w:rPr>
          <w:rFonts w:eastAsia="Times New Roman"/>
          <w:lang w:eastAsia="cs-CZ"/>
        </w:rPr>
        <w:t xml:space="preserve">bylo </w:t>
      </w:r>
      <w:r w:rsidR="00160133">
        <w:rPr>
          <w:rFonts w:eastAsia="Times New Roman"/>
          <w:lang w:eastAsia="cs-CZ"/>
        </w:rPr>
        <w:t xml:space="preserve">vyhověno v 1. žádosti, rozhodne </w:t>
      </w:r>
      <w:r w:rsidR="008254E4">
        <w:rPr>
          <w:rFonts w:eastAsia="Times New Roman"/>
          <w:lang w:eastAsia="cs-CZ"/>
        </w:rPr>
        <w:t xml:space="preserve">už </w:t>
      </w:r>
      <w:r w:rsidR="00160133">
        <w:rPr>
          <w:rFonts w:eastAsia="Times New Roman"/>
          <w:lang w:eastAsia="cs-CZ"/>
        </w:rPr>
        <w:t xml:space="preserve">o dotaci zastupitelstvo. Tzn., částky na konkrétní účel dotace se sčítají. Sčítají se však také formy podpory. </w:t>
      </w:r>
      <w:r w:rsidR="00B3789B">
        <w:rPr>
          <w:rFonts w:eastAsia="Times New Roman"/>
          <w:lang w:eastAsia="cs-CZ"/>
        </w:rPr>
        <w:t>Takže p</w:t>
      </w:r>
      <w:r w:rsidR="00160133">
        <w:rPr>
          <w:rFonts w:eastAsia="Times New Roman"/>
          <w:lang w:eastAsia="cs-CZ"/>
        </w:rPr>
        <w:t>okud by tent</w:t>
      </w:r>
      <w:r w:rsidR="00B823EB">
        <w:rPr>
          <w:rFonts w:eastAsia="Times New Roman"/>
          <w:lang w:eastAsia="cs-CZ"/>
        </w:rPr>
        <w:t xml:space="preserve">o </w:t>
      </w:r>
      <w:r w:rsidR="00160133">
        <w:rPr>
          <w:rFonts w:eastAsia="Times New Roman"/>
          <w:lang w:eastAsia="cs-CZ"/>
        </w:rPr>
        <w:t>žadatel požádal</w:t>
      </w:r>
      <w:r w:rsidR="00B23866">
        <w:rPr>
          <w:rFonts w:eastAsia="Times New Roman"/>
          <w:lang w:eastAsia="cs-CZ"/>
        </w:rPr>
        <w:t xml:space="preserve"> ke konci kalendářního roku </w:t>
      </w:r>
      <w:r w:rsidR="008254E4">
        <w:rPr>
          <w:rFonts w:eastAsia="Times New Roman"/>
          <w:lang w:eastAsia="cs-CZ"/>
        </w:rPr>
        <w:t xml:space="preserve">ještě </w:t>
      </w:r>
      <w:r w:rsidR="00160133" w:rsidRPr="00160133">
        <w:rPr>
          <w:rFonts w:eastAsia="Times New Roman"/>
          <w:lang w:eastAsia="cs-CZ"/>
        </w:rPr>
        <w:t xml:space="preserve">o poskytnutí </w:t>
      </w:r>
      <w:r w:rsidR="00160133">
        <w:rPr>
          <w:rFonts w:eastAsia="Times New Roman"/>
          <w:lang w:eastAsia="cs-CZ"/>
        </w:rPr>
        <w:t xml:space="preserve">návratné finanční </w:t>
      </w:r>
      <w:r w:rsidR="002E5F95">
        <w:rPr>
          <w:rFonts w:eastAsia="Times New Roman"/>
          <w:lang w:eastAsia="cs-CZ"/>
        </w:rPr>
        <w:t>výpomoci</w:t>
      </w:r>
      <w:r w:rsidR="00160133">
        <w:rPr>
          <w:rFonts w:eastAsia="Times New Roman"/>
          <w:lang w:eastAsia="cs-CZ"/>
        </w:rPr>
        <w:t xml:space="preserve"> ve výši 100 000 Kč na zajištění své celoroční činnosti, rozhodne o jeho žádosti zastupitelstvo</w:t>
      </w:r>
      <w:r w:rsidR="000B5BD9">
        <w:rPr>
          <w:rFonts w:eastAsia="Times New Roman"/>
          <w:lang w:eastAsia="cs-CZ"/>
        </w:rPr>
        <w:t xml:space="preserve"> (součet na </w:t>
      </w:r>
      <w:r w:rsidR="002E5F95">
        <w:rPr>
          <w:rFonts w:eastAsia="Times New Roman"/>
          <w:lang w:eastAsia="cs-CZ"/>
        </w:rPr>
        <w:t>každý účel</w:t>
      </w:r>
      <w:r w:rsidR="00256ED6">
        <w:rPr>
          <w:rFonts w:eastAsia="Times New Roman"/>
          <w:lang w:eastAsia="cs-CZ"/>
        </w:rPr>
        <w:t xml:space="preserve"> – akci i celoroční činnost </w:t>
      </w:r>
      <w:r w:rsidR="002E5F95">
        <w:rPr>
          <w:rFonts w:eastAsia="Times New Roman"/>
          <w:lang w:eastAsia="cs-CZ"/>
        </w:rPr>
        <w:t>činí 250 000 Kč).</w:t>
      </w:r>
    </w:p>
    <w:p w:rsidR="00B823EB" w:rsidRPr="0090440D" w:rsidRDefault="00B823EB" w:rsidP="00B823EB">
      <w:pPr>
        <w:pStyle w:val="Normal"/>
        <w:jc w:val="both"/>
        <w:rPr>
          <w:rFonts w:eastAsia="Times New Roman"/>
          <w:sz w:val="16"/>
          <w:szCs w:val="16"/>
          <w:lang w:eastAsia="cs-CZ"/>
        </w:rPr>
      </w:pPr>
    </w:p>
    <w:p w:rsidR="00B23866" w:rsidRPr="008254E4" w:rsidRDefault="00B23866" w:rsidP="005C3072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4E4">
        <w:rPr>
          <w:rFonts w:ascii="Arial" w:hAnsi="Arial" w:cs="Arial"/>
        </w:rPr>
        <w:t>§ 36</w:t>
      </w:r>
    </w:p>
    <w:p w:rsidR="00B23866" w:rsidRPr="008254E4" w:rsidRDefault="00B23866" w:rsidP="002E5F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254E4">
        <w:rPr>
          <w:rFonts w:ascii="Arial" w:hAnsi="Arial" w:cs="Arial"/>
        </w:rPr>
        <w:tab/>
        <w:t xml:space="preserve">Zastupitelstvu je dále vyhrazeno rozhodování o těchto právních jednáních kraje: </w:t>
      </w:r>
    </w:p>
    <w:p w:rsidR="00B23866" w:rsidRPr="008254E4" w:rsidRDefault="00B23866" w:rsidP="002E5F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4E4">
        <w:rPr>
          <w:rFonts w:ascii="Arial" w:hAnsi="Arial" w:cs="Arial"/>
        </w:rPr>
        <w:t xml:space="preserve"> c) poskytování dotací a návratných finančních výpomocí nad 200 000 Kč </w:t>
      </w:r>
      <w:r w:rsidRPr="008254E4">
        <w:rPr>
          <w:rFonts w:ascii="Arial" w:hAnsi="Arial" w:cs="Arial"/>
          <w:b/>
        </w:rPr>
        <w:t>v jednotlivém případě</w:t>
      </w:r>
      <w:r w:rsidR="00862A31">
        <w:rPr>
          <w:rFonts w:ascii="Arial" w:hAnsi="Arial" w:cs="Arial"/>
          <w:b/>
        </w:rPr>
        <w:t>*</w:t>
      </w:r>
      <w:r w:rsidRPr="008254E4">
        <w:rPr>
          <w:rFonts w:ascii="Arial" w:hAnsi="Arial" w:cs="Arial"/>
        </w:rPr>
        <w:t xml:space="preserve"> fyzickým nebo právnickým osobám v kalendářním roce a uzavření veřejnoprávních smluv o jejich poskytnutí, nejedná-li se o účelové dotace z prostředků státního rozpočtu, </w:t>
      </w:r>
    </w:p>
    <w:p w:rsidR="00B23866" w:rsidRPr="008254E4" w:rsidRDefault="00B23866" w:rsidP="005C30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254E4">
        <w:rPr>
          <w:rFonts w:ascii="Arial" w:hAnsi="Arial" w:cs="Arial"/>
        </w:rPr>
        <w:t>§ 59</w:t>
      </w:r>
    </w:p>
    <w:p w:rsidR="00B23866" w:rsidRPr="008254E4" w:rsidRDefault="00B23866" w:rsidP="005C30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4E4">
        <w:rPr>
          <w:rFonts w:ascii="Arial" w:hAnsi="Arial" w:cs="Arial"/>
        </w:rPr>
        <w:tab/>
        <w:t xml:space="preserve">(2) Rada rozhoduje o těchto právních jednáních kraje: </w:t>
      </w:r>
    </w:p>
    <w:p w:rsidR="00B23866" w:rsidRPr="008254E4" w:rsidRDefault="00B23866" w:rsidP="002E5F9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54E4">
        <w:rPr>
          <w:rFonts w:ascii="Arial" w:hAnsi="Arial" w:cs="Arial"/>
        </w:rPr>
        <w:t xml:space="preserve"> a) o poskytování dotací a návratných finančních výpomocí do 200 000 Kč </w:t>
      </w:r>
      <w:r w:rsidRPr="008254E4">
        <w:rPr>
          <w:rFonts w:ascii="Arial" w:hAnsi="Arial" w:cs="Arial"/>
          <w:b/>
        </w:rPr>
        <w:t>v jednotlivém případě</w:t>
      </w:r>
      <w:r w:rsidR="00862A31">
        <w:rPr>
          <w:rFonts w:ascii="Arial" w:hAnsi="Arial" w:cs="Arial"/>
          <w:b/>
        </w:rPr>
        <w:t>*</w:t>
      </w:r>
      <w:r w:rsidRPr="008254E4">
        <w:rPr>
          <w:rFonts w:ascii="Arial" w:hAnsi="Arial" w:cs="Arial"/>
        </w:rPr>
        <w:t xml:space="preserve"> fyzickým nebo právnickým osobám v kalendářním roce a uzavření veřejnoprávních smluv o jejich poskytnutí, nejedná-li se o účelové dotace z prostředků státního rozpočtu, </w:t>
      </w:r>
    </w:p>
    <w:p w:rsidR="00B23866" w:rsidRDefault="00B23866" w:rsidP="00B2386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62A31">
        <w:rPr>
          <w:rFonts w:ascii="Arial" w:hAnsi="Arial" w:cs="Arial"/>
          <w:sz w:val="16"/>
          <w:szCs w:val="16"/>
        </w:rPr>
        <w:t>* doplněno po novelizaci zákona</w:t>
      </w:r>
      <w:r w:rsidR="008E61D9">
        <w:rPr>
          <w:rFonts w:ascii="Arial" w:hAnsi="Arial" w:cs="Arial"/>
          <w:sz w:val="16"/>
          <w:szCs w:val="16"/>
        </w:rPr>
        <w:t xml:space="preserve"> (</w:t>
      </w:r>
      <w:r w:rsidR="00FA58D2">
        <w:rPr>
          <w:rFonts w:ascii="Arial" w:hAnsi="Arial" w:cs="Arial"/>
          <w:sz w:val="16"/>
          <w:szCs w:val="16"/>
        </w:rPr>
        <w:t xml:space="preserve">v r. </w:t>
      </w:r>
      <w:r w:rsidR="008E61D9">
        <w:rPr>
          <w:rFonts w:ascii="Arial" w:hAnsi="Arial" w:cs="Arial"/>
          <w:sz w:val="16"/>
          <w:szCs w:val="16"/>
        </w:rPr>
        <w:t>2015)</w:t>
      </w:r>
    </w:p>
    <w:p w:rsidR="00B23866" w:rsidRDefault="006C1A1F" w:rsidP="00590183">
      <w:pPr>
        <w:pStyle w:val="Normal"/>
        <w:spacing w:before="200" w:after="119"/>
        <w:jc w:val="both"/>
        <w:rPr>
          <w:rFonts w:eastAsia="Times New Roman"/>
          <w:b/>
          <w:lang w:eastAsia="cs-CZ"/>
        </w:rPr>
      </w:pPr>
      <w:r w:rsidRPr="0084286B">
        <w:rPr>
          <w:rFonts w:eastAsia="Times New Roman"/>
          <w:b/>
          <w:lang w:eastAsia="cs-CZ"/>
        </w:rPr>
        <w:t>Předložený návrh na změnu ve sčítání dotací jen podle konkrétního účelu by při schválení bezesporu přinesl úspory</w:t>
      </w:r>
      <w:r w:rsidR="008B59F1">
        <w:rPr>
          <w:rFonts w:eastAsia="Times New Roman"/>
          <w:b/>
          <w:lang w:eastAsia="cs-CZ"/>
        </w:rPr>
        <w:t>, zjednodušil administraci</w:t>
      </w:r>
      <w:r w:rsidRPr="0084286B">
        <w:rPr>
          <w:rFonts w:eastAsia="Times New Roman"/>
          <w:b/>
          <w:lang w:eastAsia="cs-CZ"/>
        </w:rPr>
        <w:t xml:space="preserve"> a zrychl</w:t>
      </w:r>
      <w:r w:rsidR="008B59F1">
        <w:rPr>
          <w:rFonts w:eastAsia="Times New Roman"/>
          <w:b/>
          <w:lang w:eastAsia="cs-CZ"/>
        </w:rPr>
        <w:t xml:space="preserve">il </w:t>
      </w:r>
      <w:r w:rsidRPr="0084286B">
        <w:rPr>
          <w:rFonts w:eastAsia="Times New Roman"/>
          <w:b/>
          <w:lang w:eastAsia="cs-CZ"/>
        </w:rPr>
        <w:t>samotn</w:t>
      </w:r>
      <w:r w:rsidR="008B59F1">
        <w:rPr>
          <w:rFonts w:eastAsia="Times New Roman"/>
          <w:b/>
          <w:lang w:eastAsia="cs-CZ"/>
        </w:rPr>
        <w:t xml:space="preserve">ý </w:t>
      </w:r>
      <w:r w:rsidRPr="0084286B">
        <w:rPr>
          <w:rFonts w:eastAsia="Times New Roman"/>
          <w:b/>
          <w:lang w:eastAsia="cs-CZ"/>
        </w:rPr>
        <w:t>proces vyplácení dotací</w:t>
      </w:r>
      <w:r w:rsidR="008B59F1">
        <w:rPr>
          <w:rFonts w:eastAsia="Times New Roman"/>
          <w:b/>
          <w:lang w:eastAsia="cs-CZ"/>
        </w:rPr>
        <w:t xml:space="preserve"> příjemcům</w:t>
      </w:r>
      <w:r w:rsidRPr="0084286B">
        <w:rPr>
          <w:rFonts w:eastAsia="Times New Roman"/>
          <w:b/>
          <w:lang w:eastAsia="cs-CZ"/>
        </w:rPr>
        <w:t>.</w:t>
      </w:r>
      <w:r w:rsidR="00B83CC9">
        <w:rPr>
          <w:rFonts w:eastAsia="Times New Roman"/>
          <w:b/>
          <w:lang w:eastAsia="cs-CZ"/>
        </w:rPr>
        <w:t xml:space="preserve"> Jedná se o schválení nového postupu předkládání dotačních materiálů do orgánů kraje.</w:t>
      </w:r>
    </w:p>
    <w:p w:rsidR="00B83CC9" w:rsidRPr="000E1395" w:rsidRDefault="00B83CC9" w:rsidP="008B59F1">
      <w:pPr>
        <w:pStyle w:val="Normal"/>
        <w:spacing w:after="119"/>
        <w:jc w:val="both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Návrh na změnu </w:t>
      </w:r>
      <w:r w:rsidR="00275CEB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podávání žádostí</w:t>
      </w:r>
    </w:p>
    <w:p w:rsidR="007B575D" w:rsidRDefault="0049798C" w:rsidP="007B575D">
      <w:pPr>
        <w:pStyle w:val="Normal"/>
        <w:spacing w:after="119"/>
        <w:jc w:val="both"/>
      </w:pPr>
      <w:r>
        <w:t xml:space="preserve">S ohledem na výsledky analýzy letošního systému dotačních programů a vzhledem k navrhované změně posuzování </w:t>
      </w:r>
      <w:r w:rsidR="007B575D">
        <w:t xml:space="preserve">výše podpory na </w:t>
      </w:r>
      <w:r>
        <w:t xml:space="preserve">konkrétní účel jednotlivých žádostí je v oblasti podávání žádostí navrhováno více změn. </w:t>
      </w:r>
    </w:p>
    <w:p w:rsidR="007B575D" w:rsidRDefault="007B575D" w:rsidP="007B575D">
      <w:pPr>
        <w:pStyle w:val="Normal"/>
        <w:spacing w:after="119"/>
        <w:jc w:val="both"/>
      </w:pPr>
      <w:r>
        <w:t>B</w:t>
      </w:r>
      <w:r w:rsidR="0049798C">
        <w:t xml:space="preserve">ude technicky upraven samotný systém podávání žádostí, kdy na webu Olomouckého kraje bude fungovat samostatná </w:t>
      </w:r>
      <w:r w:rsidR="0049798C" w:rsidRPr="00857280">
        <w:rPr>
          <w:color w:val="808080" w:themeColor="background1" w:themeShade="80"/>
        </w:rPr>
        <w:t xml:space="preserve">aplikace </w:t>
      </w:r>
      <w:r w:rsidR="00736DBD" w:rsidRPr="00857280">
        <w:rPr>
          <w:color w:val="808080" w:themeColor="background1" w:themeShade="80"/>
        </w:rPr>
        <w:t>RAP – Rozhraní pro občany</w:t>
      </w:r>
      <w:r>
        <w:t xml:space="preserve">, ve které bude žadateli umožněno, aby svou </w:t>
      </w:r>
      <w:r w:rsidR="001D74CE" w:rsidRPr="00CA3FF6">
        <w:t xml:space="preserve">žádost </w:t>
      </w:r>
      <w:r>
        <w:t xml:space="preserve">mohl </w:t>
      </w:r>
      <w:r w:rsidR="001D74CE" w:rsidRPr="00CA3FF6">
        <w:t>uprav</w:t>
      </w:r>
      <w:r>
        <w:t xml:space="preserve">it, </w:t>
      </w:r>
      <w:r w:rsidR="001D74CE" w:rsidRPr="00CA3FF6">
        <w:t>uložit, odeslat</w:t>
      </w:r>
      <w:r>
        <w:t xml:space="preserve"> a</w:t>
      </w:r>
      <w:r w:rsidR="000B5BD9">
        <w:t> </w:t>
      </w:r>
      <w:r w:rsidR="001D74CE" w:rsidRPr="00CA3FF6">
        <w:t>sledovat její průběh</w:t>
      </w:r>
      <w:r>
        <w:t xml:space="preserve">. Žadatel se zaregistruje do webové aplikace a poté na základě přihlášení do systému bude </w:t>
      </w:r>
      <w:r w:rsidRPr="007B575D">
        <w:t>oprávněn nahlížet do průběhu vyřizování</w:t>
      </w:r>
      <w:r w:rsidR="000B5BD9">
        <w:t xml:space="preserve"> a tedy i </w:t>
      </w:r>
      <w:r>
        <w:t xml:space="preserve">procesu schvalování </w:t>
      </w:r>
      <w:r w:rsidRPr="007B575D">
        <w:t>své žádosti.</w:t>
      </w:r>
      <w:r>
        <w:t xml:space="preserve"> </w:t>
      </w:r>
    </w:p>
    <w:p w:rsidR="00F025B8" w:rsidRDefault="00F025B8" w:rsidP="00F025B8">
      <w:pPr>
        <w:pStyle w:val="Normal"/>
        <w:spacing w:after="119"/>
        <w:jc w:val="both"/>
        <w:rPr>
          <w:rFonts w:eastAsia="Times New Roman"/>
          <w:b/>
          <w:lang w:eastAsia="cs-CZ"/>
        </w:rPr>
      </w:pPr>
      <w:r w:rsidRPr="0084286B">
        <w:rPr>
          <w:rFonts w:eastAsia="Times New Roman"/>
          <w:b/>
          <w:lang w:eastAsia="cs-CZ"/>
        </w:rPr>
        <w:t xml:space="preserve">Předložený návrh na </w:t>
      </w:r>
      <w:r>
        <w:rPr>
          <w:rFonts w:eastAsia="Times New Roman"/>
          <w:b/>
          <w:lang w:eastAsia="cs-CZ"/>
        </w:rPr>
        <w:t xml:space="preserve">robustnější řešení technické stránky podávání žádostí by měl přinést zvýšení uživatelského komfortu pro žadatele. </w:t>
      </w:r>
    </w:p>
    <w:p w:rsidR="00B83CC9" w:rsidRDefault="007B575D" w:rsidP="00B83CC9">
      <w:pPr>
        <w:pStyle w:val="Normal"/>
        <w:spacing w:after="119"/>
        <w:jc w:val="both"/>
      </w:pPr>
      <w:r>
        <w:t xml:space="preserve">Dále je </w:t>
      </w:r>
      <w:r w:rsidR="0049798C">
        <w:t>navrhována</w:t>
      </w:r>
      <w:r>
        <w:t xml:space="preserve"> </w:t>
      </w:r>
      <w:r w:rsidR="0049798C">
        <w:t xml:space="preserve">alternativní </w:t>
      </w:r>
      <w:r>
        <w:t xml:space="preserve">varianta počtu podávaných žádostí. Ve vybraných dotačních programech by bylo 1 žadateli umožněno </w:t>
      </w:r>
      <w:r w:rsidR="004A6584">
        <w:t>podat více žádostí o dotaci (na </w:t>
      </w:r>
      <w:r>
        <w:t xml:space="preserve">více konkrétních účelů dotace). Administrátor navrhne tuto možnost vyhlašovateli </w:t>
      </w:r>
      <w:r w:rsidR="005E1FA6">
        <w:t xml:space="preserve">dle typu dotací </w:t>
      </w:r>
      <w:r>
        <w:t xml:space="preserve">v rámci přípravy pravidel pro jednotlivé dotační programy. </w:t>
      </w:r>
    </w:p>
    <w:p w:rsidR="007B575D" w:rsidRPr="00933862" w:rsidRDefault="00F025B8" w:rsidP="007B575D">
      <w:pPr>
        <w:pStyle w:val="Normal"/>
        <w:spacing w:after="119"/>
        <w:jc w:val="both"/>
        <w:rPr>
          <w:rFonts w:eastAsia="Times New Roman"/>
          <w:b/>
          <w:lang w:eastAsia="cs-CZ"/>
        </w:rPr>
      </w:pPr>
      <w:r w:rsidRPr="00933862">
        <w:rPr>
          <w:b/>
        </w:rPr>
        <w:t>Alternativní varianta počtu podávaných žádostí</w:t>
      </w:r>
      <w:r w:rsidRPr="00933862">
        <w:rPr>
          <w:rFonts w:eastAsia="Times New Roman"/>
          <w:b/>
          <w:lang w:eastAsia="cs-CZ"/>
        </w:rPr>
        <w:t xml:space="preserve"> </w:t>
      </w:r>
      <w:r w:rsidR="007B575D" w:rsidRPr="00933862">
        <w:rPr>
          <w:rFonts w:eastAsia="Times New Roman"/>
          <w:b/>
          <w:lang w:eastAsia="cs-CZ"/>
        </w:rPr>
        <w:t xml:space="preserve">je řešena v předkládaných vzorových pravidlech dotačních programů v bodu </w:t>
      </w:r>
      <w:r w:rsidRPr="00933862">
        <w:rPr>
          <w:rFonts w:eastAsia="Times New Roman"/>
          <w:b/>
          <w:lang w:eastAsia="cs-CZ"/>
        </w:rPr>
        <w:t>7.3.</w:t>
      </w:r>
      <w:r w:rsidR="007B575D" w:rsidRPr="00933862">
        <w:rPr>
          <w:rFonts w:eastAsia="Times New Roman"/>
          <w:b/>
          <w:lang w:eastAsia="cs-CZ"/>
        </w:rPr>
        <w:t xml:space="preserve"> </w:t>
      </w:r>
    </w:p>
    <w:p w:rsidR="005C3072" w:rsidRPr="000E1395" w:rsidRDefault="005C3072" w:rsidP="00033297">
      <w:pPr>
        <w:pStyle w:val="Normal"/>
        <w:spacing w:before="240" w:after="119"/>
        <w:jc w:val="both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Návrh na změnu v</w:t>
      </w:r>
      <w:r w:rsidR="00B270B9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hodnocení žádostí a postupu při nevyhovění či částečném vyhovění žádosti  </w:t>
      </w:r>
    </w:p>
    <w:p w:rsidR="008814CA" w:rsidRPr="008814CA" w:rsidRDefault="00B270B9" w:rsidP="00B83CC9">
      <w:pPr>
        <w:pStyle w:val="Normal"/>
        <w:spacing w:after="119"/>
        <w:jc w:val="both"/>
        <w:rPr>
          <w:rFonts w:eastAsia="Times New Roman"/>
          <w:lang w:eastAsia="cs-CZ"/>
        </w:rPr>
      </w:pPr>
      <w:r w:rsidRPr="0084286B">
        <w:rPr>
          <w:rFonts w:eastAsia="Times New Roman"/>
          <w:lang w:eastAsia="cs-CZ"/>
        </w:rPr>
        <w:t xml:space="preserve">Pro příští rok je navrhována změna </w:t>
      </w:r>
      <w:r w:rsidR="0084286B" w:rsidRPr="0084286B">
        <w:rPr>
          <w:rFonts w:eastAsia="Times New Roman"/>
          <w:lang w:eastAsia="cs-CZ"/>
        </w:rPr>
        <w:t>bodového hodnocení</w:t>
      </w:r>
      <w:r w:rsidR="0084286B">
        <w:rPr>
          <w:rFonts w:eastAsia="Times New Roman"/>
          <w:lang w:eastAsia="cs-CZ"/>
        </w:rPr>
        <w:t xml:space="preserve"> – nastavena </w:t>
      </w:r>
      <w:r w:rsidR="00B83CC9">
        <w:rPr>
          <w:rFonts w:eastAsia="Times New Roman"/>
          <w:lang w:eastAsia="cs-CZ"/>
        </w:rPr>
        <w:t xml:space="preserve">je </w:t>
      </w:r>
      <w:r w:rsidR="0084286B">
        <w:rPr>
          <w:rFonts w:eastAsia="Times New Roman"/>
          <w:lang w:eastAsia="cs-CZ"/>
        </w:rPr>
        <w:t>širší bodová škála pro možnost objektivnějšího hodnocení jednotlivých žádostí</w:t>
      </w:r>
      <w:r w:rsidR="00B83CC9">
        <w:rPr>
          <w:rFonts w:eastAsia="Times New Roman"/>
          <w:lang w:eastAsia="cs-CZ"/>
        </w:rPr>
        <w:t xml:space="preserve">. V </w:t>
      </w:r>
      <w:r w:rsidR="0084286B">
        <w:rPr>
          <w:rFonts w:eastAsia="Times New Roman"/>
          <w:lang w:eastAsia="cs-CZ"/>
        </w:rPr>
        <w:t xml:space="preserve">rámci </w:t>
      </w:r>
      <w:r w:rsidR="0084286B" w:rsidRPr="0084286B">
        <w:rPr>
          <w:rFonts w:eastAsia="Times New Roman"/>
          <w:lang w:eastAsia="cs-CZ"/>
        </w:rPr>
        <w:t>eliminace rizika diskriminace</w:t>
      </w:r>
      <w:r w:rsidR="0084286B">
        <w:rPr>
          <w:rFonts w:eastAsia="Times New Roman"/>
          <w:lang w:eastAsia="cs-CZ"/>
        </w:rPr>
        <w:t xml:space="preserve"> žadatelů jsou připraveny </w:t>
      </w:r>
      <w:r w:rsidR="0084286B" w:rsidRPr="0084286B">
        <w:rPr>
          <w:rFonts w:eastAsia="Times New Roman"/>
          <w:lang w:eastAsia="cs-CZ"/>
        </w:rPr>
        <w:t>bodov</w:t>
      </w:r>
      <w:r w:rsidR="0084286B">
        <w:rPr>
          <w:rFonts w:eastAsia="Times New Roman"/>
          <w:lang w:eastAsia="cs-CZ"/>
        </w:rPr>
        <w:t xml:space="preserve">é </w:t>
      </w:r>
      <w:r w:rsidR="004A6584">
        <w:rPr>
          <w:rFonts w:eastAsia="Times New Roman"/>
          <w:lang w:eastAsia="cs-CZ"/>
        </w:rPr>
        <w:t>hranice pro nevyhovění a </w:t>
      </w:r>
      <w:r w:rsidR="0084286B" w:rsidRPr="0084286B">
        <w:rPr>
          <w:rFonts w:eastAsia="Times New Roman"/>
          <w:lang w:eastAsia="cs-CZ"/>
        </w:rPr>
        <w:t>částečné vyhovění</w:t>
      </w:r>
      <w:r w:rsidR="0084286B">
        <w:rPr>
          <w:rFonts w:eastAsia="Times New Roman"/>
          <w:lang w:eastAsia="cs-CZ"/>
        </w:rPr>
        <w:t xml:space="preserve"> žádosti. </w:t>
      </w:r>
      <w:r w:rsidR="008814CA" w:rsidRPr="008814CA">
        <w:rPr>
          <w:rFonts w:eastAsia="Times New Roman"/>
          <w:lang w:eastAsia="cs-CZ"/>
        </w:rPr>
        <w:t xml:space="preserve">Řídící orgán </w:t>
      </w:r>
      <w:r w:rsidR="008814CA">
        <w:rPr>
          <w:rFonts w:eastAsia="Times New Roman"/>
          <w:lang w:eastAsia="cs-CZ"/>
        </w:rPr>
        <w:t xml:space="preserve">by tak </w:t>
      </w:r>
      <w:r w:rsidR="008814CA" w:rsidRPr="008814CA">
        <w:rPr>
          <w:rFonts w:eastAsia="Times New Roman"/>
          <w:lang w:eastAsia="cs-CZ"/>
        </w:rPr>
        <w:t xml:space="preserve">při posuzování bodového hodnocení </w:t>
      </w:r>
      <w:r w:rsidR="008814CA">
        <w:rPr>
          <w:rFonts w:eastAsia="Times New Roman"/>
          <w:lang w:eastAsia="cs-CZ"/>
        </w:rPr>
        <w:t xml:space="preserve">měl přihlížet </w:t>
      </w:r>
      <w:r w:rsidR="008814CA" w:rsidRPr="008814CA">
        <w:rPr>
          <w:rFonts w:eastAsia="Times New Roman"/>
          <w:lang w:eastAsia="cs-CZ"/>
        </w:rPr>
        <w:t xml:space="preserve">zejména k hranici dosaženého bodového zisku, přičemž žádostem s dosaženým </w:t>
      </w:r>
      <w:r w:rsidR="00873220">
        <w:rPr>
          <w:rFonts w:eastAsia="Times New Roman"/>
          <w:lang w:eastAsia="cs-CZ"/>
        </w:rPr>
        <w:t xml:space="preserve">minimálním </w:t>
      </w:r>
      <w:r w:rsidR="008814CA" w:rsidRPr="008814CA">
        <w:rPr>
          <w:rFonts w:eastAsia="Times New Roman"/>
          <w:lang w:eastAsia="cs-CZ"/>
        </w:rPr>
        <w:t xml:space="preserve">počtem bodů </w:t>
      </w:r>
      <w:r w:rsidR="008814CA">
        <w:rPr>
          <w:rFonts w:eastAsia="Times New Roman"/>
          <w:lang w:eastAsia="cs-CZ"/>
        </w:rPr>
        <w:t xml:space="preserve">by nebylo </w:t>
      </w:r>
      <w:r w:rsidR="008814CA" w:rsidRPr="008814CA">
        <w:rPr>
          <w:rFonts w:eastAsia="Times New Roman"/>
          <w:lang w:eastAsia="cs-CZ"/>
        </w:rPr>
        <w:t xml:space="preserve">vyhověno a v případě žádostí </w:t>
      </w:r>
      <w:r w:rsidR="00B83CC9">
        <w:rPr>
          <w:rFonts w:eastAsia="Times New Roman"/>
          <w:lang w:eastAsia="cs-CZ"/>
        </w:rPr>
        <w:t>s</w:t>
      </w:r>
      <w:r w:rsidR="00873220">
        <w:rPr>
          <w:rFonts w:eastAsia="Times New Roman"/>
          <w:lang w:eastAsia="cs-CZ"/>
        </w:rPr>
        <w:t xml:space="preserve"> určitým rozpětím </w:t>
      </w:r>
      <w:r w:rsidR="008814CA" w:rsidRPr="008814CA">
        <w:rPr>
          <w:rFonts w:eastAsia="Times New Roman"/>
          <w:lang w:eastAsia="cs-CZ"/>
        </w:rPr>
        <w:t xml:space="preserve">bodů </w:t>
      </w:r>
      <w:r w:rsidR="00873220">
        <w:rPr>
          <w:rFonts w:eastAsia="Times New Roman"/>
          <w:lang w:eastAsia="cs-CZ"/>
        </w:rPr>
        <w:t>by m</w:t>
      </w:r>
      <w:r w:rsidR="008814CA">
        <w:rPr>
          <w:rFonts w:eastAsia="Times New Roman"/>
          <w:lang w:eastAsia="cs-CZ"/>
        </w:rPr>
        <w:t xml:space="preserve">ohlo dojít ke </w:t>
      </w:r>
      <w:r w:rsidR="008814CA" w:rsidRPr="008814CA">
        <w:rPr>
          <w:rFonts w:eastAsia="Times New Roman"/>
          <w:lang w:eastAsia="cs-CZ"/>
        </w:rPr>
        <w:t>snížení</w:t>
      </w:r>
      <w:r w:rsidR="00B83CC9">
        <w:rPr>
          <w:rFonts w:eastAsia="Times New Roman"/>
          <w:lang w:eastAsia="cs-CZ"/>
        </w:rPr>
        <w:t xml:space="preserve"> </w:t>
      </w:r>
      <w:r w:rsidR="008814CA" w:rsidRPr="008814CA">
        <w:rPr>
          <w:rFonts w:eastAsia="Times New Roman"/>
          <w:lang w:eastAsia="cs-CZ"/>
        </w:rPr>
        <w:t>požadované částky dotace</w:t>
      </w:r>
      <w:r w:rsidR="008814CA">
        <w:rPr>
          <w:rFonts w:eastAsia="Times New Roman"/>
          <w:lang w:eastAsia="cs-CZ"/>
        </w:rPr>
        <w:t xml:space="preserve">. Předpokládáme, že </w:t>
      </w:r>
      <w:r w:rsidR="00B83CC9">
        <w:rPr>
          <w:rFonts w:eastAsia="Times New Roman"/>
          <w:lang w:eastAsia="cs-CZ"/>
        </w:rPr>
        <w:t xml:space="preserve">ke krácení dotací </w:t>
      </w:r>
      <w:r w:rsidR="008814CA">
        <w:rPr>
          <w:rFonts w:eastAsia="Times New Roman"/>
          <w:lang w:eastAsia="cs-CZ"/>
        </w:rPr>
        <w:t>by docházelo zejména v případech, kdy v daném dotačním programu bude velký převis žádostí o dotace s ohledem n</w:t>
      </w:r>
      <w:r w:rsidR="004A6584">
        <w:rPr>
          <w:rFonts w:eastAsia="Times New Roman"/>
          <w:lang w:eastAsia="cs-CZ"/>
        </w:rPr>
        <w:t>a </w:t>
      </w:r>
      <w:r w:rsidR="008814CA" w:rsidRPr="008814CA">
        <w:rPr>
          <w:rFonts w:eastAsia="Times New Roman"/>
          <w:lang w:eastAsia="cs-CZ"/>
        </w:rPr>
        <w:t>celkovou finanční alokaci pro konkrétní dotační program/titul</w:t>
      </w:r>
      <w:r w:rsidR="004A6584">
        <w:rPr>
          <w:rFonts w:eastAsia="Times New Roman"/>
          <w:lang w:eastAsia="cs-CZ"/>
        </w:rPr>
        <w:t>. S přihlédnutím k </w:t>
      </w:r>
      <w:r w:rsidR="00873220">
        <w:rPr>
          <w:rFonts w:eastAsia="Times New Roman"/>
          <w:lang w:eastAsia="cs-CZ"/>
        </w:rPr>
        <w:t>m</w:t>
      </w:r>
      <w:r w:rsidR="008814CA" w:rsidRPr="008814CA">
        <w:rPr>
          <w:rFonts w:eastAsia="Times New Roman"/>
          <w:lang w:eastAsia="cs-CZ"/>
        </w:rPr>
        <w:t>nožství a kvalit</w:t>
      </w:r>
      <w:r w:rsidR="00873220">
        <w:rPr>
          <w:rFonts w:eastAsia="Times New Roman"/>
          <w:lang w:eastAsia="cs-CZ"/>
        </w:rPr>
        <w:t>ě</w:t>
      </w:r>
      <w:r w:rsidR="008814CA" w:rsidRPr="008814CA">
        <w:rPr>
          <w:rFonts w:eastAsia="Times New Roman"/>
          <w:lang w:eastAsia="cs-CZ"/>
        </w:rPr>
        <w:t xml:space="preserve"> všech žádostí, hodnocených v konk</w:t>
      </w:r>
      <w:r w:rsidR="00B83CC9">
        <w:rPr>
          <w:rFonts w:eastAsia="Times New Roman"/>
          <w:lang w:eastAsia="cs-CZ"/>
        </w:rPr>
        <w:t>rétním dotačním programu/titulu, by mohly být dotace zkráceny z d</w:t>
      </w:r>
      <w:r w:rsidR="005E14E4">
        <w:rPr>
          <w:rFonts w:eastAsia="Times New Roman"/>
          <w:lang w:eastAsia="cs-CZ"/>
        </w:rPr>
        <w:t xml:space="preserve">ůvodu </w:t>
      </w:r>
      <w:r w:rsidR="005528B8">
        <w:rPr>
          <w:rFonts w:eastAsia="Times New Roman"/>
          <w:lang w:eastAsia="cs-CZ"/>
        </w:rPr>
        <w:t xml:space="preserve">podpory </w:t>
      </w:r>
      <w:r w:rsidR="005E14E4">
        <w:rPr>
          <w:rFonts w:eastAsia="Times New Roman"/>
          <w:lang w:eastAsia="cs-CZ"/>
        </w:rPr>
        <w:t>větší</w:t>
      </w:r>
      <w:r w:rsidR="005528B8">
        <w:rPr>
          <w:rFonts w:eastAsia="Times New Roman"/>
          <w:lang w:eastAsia="cs-CZ"/>
        </w:rPr>
        <w:t xml:space="preserve">ho </w:t>
      </w:r>
      <w:r w:rsidR="005E14E4">
        <w:rPr>
          <w:rFonts w:eastAsia="Times New Roman"/>
          <w:lang w:eastAsia="cs-CZ"/>
        </w:rPr>
        <w:t>množství hodnotných projektů (</w:t>
      </w:r>
      <w:r w:rsidR="00B83CC9">
        <w:rPr>
          <w:rFonts w:eastAsia="Times New Roman"/>
          <w:lang w:eastAsia="cs-CZ"/>
        </w:rPr>
        <w:t>žádostí</w:t>
      </w:r>
      <w:r w:rsidR="005E14E4">
        <w:rPr>
          <w:rFonts w:eastAsia="Times New Roman"/>
          <w:lang w:eastAsia="cs-CZ"/>
        </w:rPr>
        <w:t>)</w:t>
      </w:r>
      <w:r w:rsidR="00B83CC9">
        <w:rPr>
          <w:rFonts w:eastAsia="Times New Roman"/>
          <w:lang w:eastAsia="cs-CZ"/>
        </w:rPr>
        <w:t xml:space="preserve">. </w:t>
      </w:r>
    </w:p>
    <w:p w:rsidR="008814CA" w:rsidRPr="00B83CC9" w:rsidRDefault="00B83CC9" w:rsidP="00B83CC9">
      <w:pPr>
        <w:pStyle w:val="Normal"/>
        <w:spacing w:after="119"/>
        <w:jc w:val="both"/>
        <w:rPr>
          <w:rFonts w:eastAsia="Times New Roman"/>
          <w:b/>
          <w:lang w:eastAsia="cs-CZ"/>
        </w:rPr>
      </w:pPr>
      <w:r w:rsidRPr="0084286B">
        <w:rPr>
          <w:rFonts w:eastAsia="Times New Roman"/>
          <w:b/>
          <w:lang w:eastAsia="cs-CZ"/>
        </w:rPr>
        <w:t xml:space="preserve">Předložený návrh na změnu </w:t>
      </w:r>
      <w:r>
        <w:rPr>
          <w:rFonts w:eastAsia="Times New Roman"/>
          <w:b/>
          <w:lang w:eastAsia="cs-CZ"/>
        </w:rPr>
        <w:t xml:space="preserve">hodnocení žádostí vytváří podmínky pro transparentní proces posuzování a rozhodování o žádostech. </w:t>
      </w:r>
      <w:r w:rsidRPr="00B83CC9">
        <w:rPr>
          <w:rFonts w:eastAsia="Times New Roman"/>
          <w:b/>
          <w:lang w:eastAsia="cs-CZ"/>
        </w:rPr>
        <w:t xml:space="preserve">Problematika nevyhovění žádosti a částečného vyhovění žádosti je řešena v předkládaných vzorových pravidlech dotačních programů v bodu 11. </w:t>
      </w:r>
    </w:p>
    <w:p w:rsidR="00933862" w:rsidRPr="00933862" w:rsidRDefault="00933862" w:rsidP="004A3D72">
      <w:pPr>
        <w:pStyle w:val="Normal"/>
        <w:numPr>
          <w:ilvl w:val="0"/>
          <w:numId w:val="33"/>
        </w:numPr>
        <w:spacing w:before="240" w:after="120"/>
        <w:ind w:left="567" w:hanging="567"/>
        <w:rPr>
          <w:b/>
          <w:caps/>
          <w:u w:val="single"/>
        </w:rPr>
      </w:pPr>
      <w:r w:rsidRPr="00933862">
        <w:rPr>
          <w:b/>
          <w:caps/>
          <w:u w:val="single"/>
        </w:rPr>
        <w:t xml:space="preserve">změny </w:t>
      </w:r>
      <w:r>
        <w:rPr>
          <w:b/>
          <w:caps/>
          <w:u w:val="single"/>
        </w:rPr>
        <w:t>vzorových dokumentů</w:t>
      </w:r>
    </w:p>
    <w:p w:rsidR="00AD3755" w:rsidRPr="00425E47" w:rsidRDefault="008018DE" w:rsidP="004A3D72">
      <w:pPr>
        <w:pStyle w:val="Normal"/>
        <w:spacing w:before="240" w:after="119"/>
        <w:jc w:val="both"/>
        <w:rPr>
          <w:caps/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</w:t>
      </w:r>
      <w:r w:rsidR="00933862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ová </w:t>
      </w: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</w:t>
      </w:r>
      <w:r w:rsidR="00EC762E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62E" w:rsidRPr="00425E47">
        <w:rPr>
          <w:caps/>
        </w:rPr>
        <w:t>(P</w:t>
      </w:r>
      <w:r w:rsidR="00425E47" w:rsidRPr="00425E47">
        <w:t xml:space="preserve">říloha </w:t>
      </w:r>
      <w:r w:rsidR="00EC762E" w:rsidRPr="00425E47">
        <w:t>č</w:t>
      </w:r>
      <w:r w:rsidR="00EC762E" w:rsidRPr="00425E47">
        <w:rPr>
          <w:caps/>
        </w:rPr>
        <w:t>. 1)</w:t>
      </w:r>
    </w:p>
    <w:p w:rsidR="00F025B8" w:rsidRDefault="00F025B8" w:rsidP="00F025B8">
      <w:pPr>
        <w:pStyle w:val="Normal"/>
        <w:spacing w:after="119"/>
        <w:jc w:val="both"/>
        <w:rPr>
          <w:rFonts w:eastAsia="Times New Roman"/>
          <w:lang w:eastAsia="cs-CZ"/>
        </w:rPr>
      </w:pPr>
      <w:r w:rsidRPr="00F025B8">
        <w:rPr>
          <w:rFonts w:eastAsia="Times New Roman"/>
          <w:lang w:eastAsia="cs-CZ"/>
        </w:rPr>
        <w:t>Předkládaná vzorová pravidla (dále jen Pravidla) mimo jiné řeší</w:t>
      </w:r>
      <w:r>
        <w:rPr>
          <w:rFonts w:eastAsia="Times New Roman"/>
          <w:lang w:eastAsia="cs-CZ"/>
        </w:rPr>
        <w:t xml:space="preserve"> precizněji otázku povinné publicity a rozšiřují možnosti poskytovatele kontrolovat dodržování podmínek propagace Olomouckého kraje. Nastavují konkrétní povinnosti propagace s ohledem na výši poskytnuté dotace už v samotných Pravidlech s tím, že podmínky jsou </w:t>
      </w:r>
      <w:r w:rsidR="006A2E5F">
        <w:rPr>
          <w:rFonts w:eastAsia="Times New Roman"/>
          <w:lang w:eastAsia="cs-CZ"/>
        </w:rPr>
        <w:t xml:space="preserve">dále </w:t>
      </w:r>
      <w:r>
        <w:rPr>
          <w:rFonts w:eastAsia="Times New Roman"/>
          <w:lang w:eastAsia="cs-CZ"/>
        </w:rPr>
        <w:t xml:space="preserve">konkretizovány ve </w:t>
      </w:r>
      <w:r w:rsidR="006A2E5F">
        <w:rPr>
          <w:rFonts w:eastAsia="Times New Roman"/>
          <w:lang w:eastAsia="cs-CZ"/>
        </w:rPr>
        <w:t>S</w:t>
      </w:r>
      <w:r>
        <w:rPr>
          <w:rFonts w:eastAsia="Times New Roman"/>
          <w:lang w:eastAsia="cs-CZ"/>
        </w:rPr>
        <w:t xml:space="preserve">mlouvě. Propagace je v Pravidlech řešena v bodu </w:t>
      </w:r>
      <w:r w:rsidR="00A70BC8">
        <w:rPr>
          <w:rFonts w:eastAsia="Times New Roman"/>
          <w:lang w:eastAsia="cs-CZ"/>
        </w:rPr>
        <w:t>9.6.</w:t>
      </w:r>
    </w:p>
    <w:p w:rsidR="00F025B8" w:rsidRDefault="00A70BC8" w:rsidP="00F025B8">
      <w:pPr>
        <w:pStyle w:val="Normal"/>
        <w:spacing w:after="119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 návrhu nových Pravidel je oproti letošnímu roku </w:t>
      </w:r>
      <w:r w:rsidR="006A2E5F">
        <w:rPr>
          <w:rFonts w:eastAsia="Times New Roman"/>
          <w:lang w:eastAsia="cs-CZ"/>
        </w:rPr>
        <w:t xml:space="preserve">také </w:t>
      </w:r>
      <w:r>
        <w:rPr>
          <w:rFonts w:eastAsia="Times New Roman"/>
          <w:lang w:eastAsia="cs-CZ"/>
        </w:rPr>
        <w:t>volněji nastavena možnost úpravy povinné spoluúčasti žadatele. Jedná se rovněž o zapracování připomínek k</w:t>
      </w:r>
      <w:r w:rsidR="00FF6A4A">
        <w:rPr>
          <w:rFonts w:eastAsia="Times New Roman"/>
          <w:lang w:eastAsia="cs-CZ"/>
        </w:rPr>
        <w:t xml:space="preserve"> systému </w:t>
      </w:r>
      <w:r>
        <w:rPr>
          <w:rFonts w:eastAsia="Times New Roman"/>
          <w:lang w:eastAsia="cs-CZ"/>
        </w:rPr>
        <w:t xml:space="preserve">roku 2016. Připraveny jsou </w:t>
      </w:r>
      <w:r w:rsidR="006A2E5F">
        <w:rPr>
          <w:rFonts w:eastAsia="Times New Roman"/>
          <w:lang w:eastAsia="cs-CZ"/>
        </w:rPr>
        <w:t xml:space="preserve">3 varianty: </w:t>
      </w:r>
      <w:r>
        <w:rPr>
          <w:rFonts w:eastAsia="Times New Roman"/>
          <w:lang w:eastAsia="cs-CZ"/>
        </w:rPr>
        <w:t xml:space="preserve">%varianty </w:t>
      </w:r>
      <w:r w:rsidR="009A2119">
        <w:rPr>
          <w:rFonts w:eastAsia="Times New Roman"/>
          <w:lang w:eastAsia="cs-CZ"/>
        </w:rPr>
        <w:t xml:space="preserve">pevné </w:t>
      </w:r>
      <w:r>
        <w:rPr>
          <w:rFonts w:eastAsia="Times New Roman"/>
          <w:lang w:eastAsia="cs-CZ"/>
        </w:rPr>
        <w:t xml:space="preserve">povinné spoluúčasti, </w:t>
      </w:r>
      <w:r w:rsidR="00E82E4D">
        <w:rPr>
          <w:rFonts w:eastAsia="Times New Roman"/>
          <w:lang w:eastAsia="cs-CZ"/>
        </w:rPr>
        <w:t>varianta spoluúčasti</w:t>
      </w:r>
      <w:r w:rsidR="006A2E5F">
        <w:rPr>
          <w:rFonts w:eastAsia="Times New Roman"/>
          <w:lang w:eastAsia="cs-CZ"/>
        </w:rPr>
        <w:t xml:space="preserve"> </w:t>
      </w:r>
      <w:r w:rsidR="00E82E4D" w:rsidRPr="00CA3FF6">
        <w:rPr>
          <w:bCs/>
        </w:rPr>
        <w:t>odpovídající výši poskytnuté dotace</w:t>
      </w:r>
      <w:r w:rsidR="00E82E4D">
        <w:rPr>
          <w:bCs/>
        </w:rPr>
        <w:t xml:space="preserve"> </w:t>
      </w:r>
      <w:r w:rsidR="006A2E5F">
        <w:rPr>
          <w:bCs/>
        </w:rPr>
        <w:t xml:space="preserve">a </w:t>
      </w:r>
      <w:r w:rsidR="00E82E4D">
        <w:rPr>
          <w:bCs/>
        </w:rPr>
        <w:t xml:space="preserve">varianta bez </w:t>
      </w:r>
      <w:r w:rsidR="00E82E4D">
        <w:rPr>
          <w:rFonts w:eastAsia="Times New Roman"/>
          <w:lang w:eastAsia="cs-CZ"/>
        </w:rPr>
        <w:t xml:space="preserve">spoluúčasti </w:t>
      </w:r>
      <w:r w:rsidR="006A2E5F">
        <w:rPr>
          <w:rFonts w:eastAsia="Times New Roman"/>
          <w:lang w:eastAsia="cs-CZ"/>
        </w:rPr>
        <w:t>(</w:t>
      </w:r>
      <w:r w:rsidR="00E82E4D">
        <w:rPr>
          <w:rFonts w:eastAsia="Times New Roman"/>
          <w:lang w:eastAsia="cs-CZ"/>
        </w:rPr>
        <w:t>pro dotace nižší než 30 000 Kč</w:t>
      </w:r>
      <w:r w:rsidR="006A2E5F">
        <w:rPr>
          <w:rFonts w:eastAsia="Times New Roman"/>
          <w:lang w:eastAsia="cs-CZ"/>
        </w:rPr>
        <w:t>)</w:t>
      </w:r>
      <w:r w:rsidR="00E82E4D">
        <w:rPr>
          <w:rFonts w:eastAsia="Times New Roman"/>
          <w:lang w:eastAsia="cs-CZ"/>
        </w:rPr>
        <w:t>. Všechny varianty spoluúčasti jsou v Pravidlech uvedeny v bodu 8.</w:t>
      </w:r>
    </w:p>
    <w:p w:rsidR="006E229C" w:rsidRDefault="00E82E4D" w:rsidP="00E82E4D">
      <w:pPr>
        <w:pStyle w:val="Normal"/>
        <w:spacing w:after="119"/>
        <w:jc w:val="both"/>
      </w:pPr>
      <w:r>
        <w:t xml:space="preserve">Obecně jsou navržena flexibilní vzorová Pravidla, která zaručí vyšší míru faktických úprav dle jednotlivých oblastí dotací.    </w:t>
      </w:r>
    </w:p>
    <w:p w:rsidR="00EC762E" w:rsidRPr="006A2E5F" w:rsidRDefault="008018DE" w:rsidP="00033297">
      <w:pPr>
        <w:pStyle w:val="Normal"/>
        <w:spacing w:before="240" w:after="119"/>
        <w:jc w:val="both"/>
        <w:rPr>
          <w:caps/>
        </w:rPr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žádost</w:t>
      </w:r>
      <w:r w:rsidR="00EC762E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62E" w:rsidRPr="006A2E5F">
        <w:rPr>
          <w:caps/>
        </w:rPr>
        <w:t>(</w:t>
      </w:r>
      <w:r w:rsidR="00EC762E" w:rsidRPr="006A2E5F">
        <w:t>Příloha č.</w:t>
      </w:r>
      <w:r w:rsidR="00EC762E" w:rsidRPr="006A2E5F">
        <w:rPr>
          <w:caps/>
        </w:rPr>
        <w:t xml:space="preserve"> 2)</w:t>
      </w:r>
    </w:p>
    <w:p w:rsidR="008018DE" w:rsidRPr="00E82E4D" w:rsidRDefault="00E82E4D" w:rsidP="00E82E4D">
      <w:pPr>
        <w:pStyle w:val="Normal"/>
        <w:spacing w:after="119"/>
        <w:jc w:val="both"/>
        <w:rPr>
          <w:rFonts w:eastAsia="Times New Roman"/>
          <w:lang w:eastAsia="cs-CZ"/>
        </w:rPr>
      </w:pPr>
      <w:r w:rsidRPr="00E82E4D">
        <w:rPr>
          <w:rFonts w:eastAsia="Times New Roman"/>
          <w:lang w:eastAsia="cs-CZ"/>
        </w:rPr>
        <w:t xml:space="preserve">Přes původní </w:t>
      </w:r>
      <w:r>
        <w:rPr>
          <w:rFonts w:eastAsia="Times New Roman"/>
          <w:lang w:eastAsia="cs-CZ"/>
        </w:rPr>
        <w:t>myšlenku požadovat pro rok 2017 podání žádosti pouze v elektronické podobě</w:t>
      </w:r>
      <w:r w:rsidR="00851223">
        <w:rPr>
          <w:rFonts w:eastAsia="Times New Roman"/>
          <w:lang w:eastAsia="cs-CZ"/>
        </w:rPr>
        <w:t>,</w:t>
      </w:r>
      <w:r>
        <w:rPr>
          <w:rFonts w:eastAsia="Times New Roman"/>
          <w:lang w:eastAsia="cs-CZ"/>
        </w:rPr>
        <w:t xml:space="preserve"> je navrhován postup, kdy bude především „malým“ žadatelů </w:t>
      </w:r>
      <w:r w:rsidR="00851223">
        <w:rPr>
          <w:rFonts w:eastAsia="Times New Roman"/>
          <w:lang w:eastAsia="cs-CZ"/>
        </w:rPr>
        <w:t xml:space="preserve">nadále </w:t>
      </w:r>
      <w:r>
        <w:rPr>
          <w:rFonts w:eastAsia="Times New Roman"/>
          <w:lang w:eastAsia="cs-CZ"/>
        </w:rPr>
        <w:t xml:space="preserve">umožněno podávat žádost v písemné podobě. Bude tedy zachována </w:t>
      </w:r>
      <w:r w:rsidR="001925B5">
        <w:rPr>
          <w:rFonts w:eastAsia="Times New Roman"/>
          <w:lang w:eastAsia="cs-CZ"/>
        </w:rPr>
        <w:t xml:space="preserve">stávající </w:t>
      </w:r>
      <w:r>
        <w:rPr>
          <w:rFonts w:eastAsia="Times New Roman"/>
          <w:lang w:eastAsia="cs-CZ"/>
        </w:rPr>
        <w:t xml:space="preserve">povinnost </w:t>
      </w:r>
      <w:r w:rsidR="001925B5">
        <w:rPr>
          <w:rFonts w:eastAsia="Times New Roman"/>
          <w:lang w:eastAsia="cs-CZ"/>
        </w:rPr>
        <w:t xml:space="preserve">vyplnit </w:t>
      </w:r>
      <w:r>
        <w:rPr>
          <w:rFonts w:eastAsia="Times New Roman"/>
          <w:lang w:eastAsia="cs-CZ"/>
        </w:rPr>
        <w:t xml:space="preserve">žádost v elektronickém </w:t>
      </w:r>
      <w:r w:rsidRPr="00554522">
        <w:rPr>
          <w:rFonts w:eastAsia="Times New Roman"/>
          <w:lang w:eastAsia="cs-CZ"/>
        </w:rPr>
        <w:t>systému</w:t>
      </w:r>
      <w:r w:rsidRPr="00554522">
        <w:t xml:space="preserve">, </w:t>
      </w:r>
      <w:r>
        <w:t xml:space="preserve">ale nebude </w:t>
      </w:r>
      <w:r w:rsidR="00554522">
        <w:t xml:space="preserve">striktní </w:t>
      </w:r>
      <w:r>
        <w:t xml:space="preserve">podmínkou žádost elektronicky podepsat či zaslat datovou zprávou. Nadále bude možné žádost vytisknout, opatřit vlastnoručním podpisem a donést na úřad nebo podat k poštovní přepravě. Možnosti podávání žádostí jsou popsány v Pravidlech v bodu </w:t>
      </w:r>
      <w:r w:rsidR="00F820BC">
        <w:t>10.</w:t>
      </w:r>
    </w:p>
    <w:p w:rsidR="006E229C" w:rsidRDefault="006E229C" w:rsidP="00E82E4D"/>
    <w:p w:rsidR="008018DE" w:rsidRPr="00033297" w:rsidRDefault="008018DE" w:rsidP="00033297">
      <w:pPr>
        <w:pStyle w:val="Normal"/>
        <w:spacing w:after="119"/>
        <w:jc w:val="both"/>
      </w:pPr>
      <w:r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Vzorové smlouvy</w:t>
      </w:r>
      <w:r w:rsidR="00EC762E" w:rsidRPr="000E1395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C762E" w:rsidRPr="00033297">
        <w:t>(přílohy č. 3 a 4)</w:t>
      </w:r>
    </w:p>
    <w:p w:rsidR="006A25B8" w:rsidRPr="006A25B8" w:rsidRDefault="006A25B8" w:rsidP="006A25B8">
      <w:pPr>
        <w:pStyle w:val="Normal"/>
        <w:spacing w:after="119"/>
        <w:jc w:val="both"/>
        <w:rPr>
          <w:rFonts w:eastAsia="Times New Roman"/>
          <w:lang w:eastAsia="cs-CZ"/>
        </w:rPr>
      </w:pPr>
      <w:r w:rsidRPr="006A25B8">
        <w:rPr>
          <w:rFonts w:eastAsia="Times New Roman"/>
          <w:lang w:eastAsia="cs-CZ"/>
        </w:rPr>
        <w:t>Pro rok 2017 bude nastaven nový systém vzorových smluv. Bude připraveno celkem 10 vzorových smluv s rozdělením dle příjemce dotace a s rozdělením na typ dotace (akce/činnost). Alternativně budou ve vzorech řešeny další rozdíly (investice x neinvestice, plátce</w:t>
      </w:r>
      <w:r w:rsidR="00B85B61">
        <w:rPr>
          <w:rFonts w:eastAsia="Times New Roman"/>
          <w:lang w:eastAsia="cs-CZ"/>
        </w:rPr>
        <w:t xml:space="preserve"> x </w:t>
      </w:r>
      <w:r w:rsidRPr="006A25B8">
        <w:rPr>
          <w:rFonts w:eastAsia="Times New Roman"/>
          <w:lang w:eastAsia="cs-CZ"/>
        </w:rPr>
        <w:t>neplátce DPH apod.)</w:t>
      </w:r>
      <w:r>
        <w:rPr>
          <w:rFonts w:eastAsia="Times New Roman"/>
          <w:lang w:eastAsia="cs-CZ"/>
        </w:rPr>
        <w:t xml:space="preserve"> Všech </w:t>
      </w:r>
      <w:r w:rsidR="00045902">
        <w:rPr>
          <w:rFonts w:eastAsia="Times New Roman"/>
          <w:lang w:eastAsia="cs-CZ"/>
        </w:rPr>
        <w:t>10 vzorů bude schváleno ZOK a </w:t>
      </w:r>
      <w:r>
        <w:rPr>
          <w:rFonts w:eastAsia="Times New Roman"/>
          <w:lang w:eastAsia="cs-CZ"/>
        </w:rPr>
        <w:t>poté již tyto schválené vzory budou po schválení dotací sloužit jako podklad pro přípravu konkrétních smluv.</w:t>
      </w:r>
      <w:r w:rsidR="00933862">
        <w:rPr>
          <w:rFonts w:eastAsia="Times New Roman"/>
          <w:lang w:eastAsia="cs-CZ"/>
        </w:rPr>
        <w:t xml:space="preserve"> Do orgánů kraje tak nebudou zbytečně </w:t>
      </w:r>
      <w:r w:rsidR="00B85B61">
        <w:rPr>
          <w:rFonts w:eastAsia="Times New Roman"/>
          <w:lang w:eastAsia="cs-CZ"/>
        </w:rPr>
        <w:t xml:space="preserve">opakovaně </w:t>
      </w:r>
      <w:r w:rsidR="00933862">
        <w:rPr>
          <w:rFonts w:eastAsia="Times New Roman"/>
          <w:lang w:eastAsia="cs-CZ"/>
        </w:rPr>
        <w:t>předkládány plné texty smluv, u kterých se mnohdy mění jen příjemce dotace</w:t>
      </w:r>
      <w:r w:rsidR="00B85B61">
        <w:rPr>
          <w:rFonts w:eastAsia="Times New Roman"/>
          <w:lang w:eastAsia="cs-CZ"/>
        </w:rPr>
        <w:t>. S</w:t>
      </w:r>
      <w:r w:rsidR="00933862">
        <w:rPr>
          <w:rFonts w:eastAsia="Times New Roman"/>
          <w:lang w:eastAsia="cs-CZ"/>
        </w:rPr>
        <w:t xml:space="preserve">oučástí materiálů se schvalováním dotací </w:t>
      </w:r>
      <w:r w:rsidR="00DA1905">
        <w:rPr>
          <w:rFonts w:eastAsia="Times New Roman"/>
          <w:lang w:eastAsia="cs-CZ"/>
        </w:rPr>
        <w:t xml:space="preserve">bude </w:t>
      </w:r>
      <w:r w:rsidR="00933862">
        <w:rPr>
          <w:rFonts w:eastAsia="Times New Roman"/>
          <w:lang w:eastAsia="cs-CZ"/>
        </w:rPr>
        <w:t xml:space="preserve">vždy odkaz na příslušný schválený vzor smlouvy. V předkládaném materiálu jsou k dispozici zatím dva vzory smluv.  </w:t>
      </w:r>
    </w:p>
    <w:p w:rsidR="008018DE" w:rsidRPr="00EC762E" w:rsidRDefault="00933862" w:rsidP="00B85B61">
      <w:pPr>
        <w:pStyle w:val="Normal"/>
        <w:numPr>
          <w:ilvl w:val="0"/>
          <w:numId w:val="33"/>
        </w:numPr>
        <w:spacing w:before="240" w:after="240"/>
        <w:ind w:left="567" w:hanging="567"/>
        <w:rPr>
          <w:caps/>
          <w:u w:val="single"/>
        </w:rPr>
      </w:pPr>
      <w:r w:rsidRPr="00933862">
        <w:rPr>
          <w:b/>
          <w:caps/>
          <w:u w:val="single"/>
        </w:rPr>
        <w:t xml:space="preserve">změny v </w:t>
      </w:r>
      <w:r w:rsidR="008018DE" w:rsidRPr="00933862">
        <w:rPr>
          <w:b/>
          <w:caps/>
          <w:u w:val="single"/>
        </w:rPr>
        <w:t>Seznam</w:t>
      </w:r>
      <w:r w:rsidRPr="00933862">
        <w:rPr>
          <w:b/>
          <w:caps/>
          <w:u w:val="single"/>
        </w:rPr>
        <w:t>u</w:t>
      </w:r>
      <w:r w:rsidR="008018DE" w:rsidRPr="00933862">
        <w:rPr>
          <w:b/>
          <w:caps/>
          <w:u w:val="single"/>
        </w:rPr>
        <w:t xml:space="preserve"> dotačních programů</w:t>
      </w:r>
    </w:p>
    <w:p w:rsidR="00A222BB" w:rsidRDefault="00933862" w:rsidP="00142AF7">
      <w:pPr>
        <w:pStyle w:val="Normal"/>
        <w:spacing w:after="119"/>
        <w:jc w:val="both"/>
      </w:pPr>
      <w:r>
        <w:t xml:space="preserve">V Příloze č. 5 </w:t>
      </w:r>
      <w:r w:rsidR="00E42837">
        <w:t xml:space="preserve">tohoto </w:t>
      </w:r>
      <w:r>
        <w:t>materiálu je předkládán návrh seznamu dotačních programů pro rok 2017</w:t>
      </w:r>
      <w:r w:rsidR="008C196B">
        <w:t xml:space="preserve"> (Seznam)</w:t>
      </w:r>
      <w:r>
        <w:t xml:space="preserve">. </w:t>
      </w:r>
      <w:r w:rsidR="00516016">
        <w:t>Seznam je oproti letošnímu roku rozšířen o informace k </w:t>
      </w:r>
      <w:r w:rsidR="00516016" w:rsidRPr="008E04E5">
        <w:t>předpokládaný</w:t>
      </w:r>
      <w:r w:rsidR="00516016">
        <w:t xml:space="preserve">m </w:t>
      </w:r>
      <w:r w:rsidR="00516016" w:rsidRPr="008E04E5">
        <w:t>finanční</w:t>
      </w:r>
      <w:r w:rsidR="00516016">
        <w:t xml:space="preserve">m </w:t>
      </w:r>
      <w:r w:rsidR="00516016" w:rsidRPr="008E04E5">
        <w:t>náro</w:t>
      </w:r>
      <w:r w:rsidR="00516016">
        <w:t xml:space="preserve">kům </w:t>
      </w:r>
      <w:r w:rsidR="00516016" w:rsidRPr="008E04E5">
        <w:t xml:space="preserve">jednotlivých </w:t>
      </w:r>
      <w:r w:rsidR="00516016">
        <w:t xml:space="preserve">dotačních programů a obsahuje </w:t>
      </w:r>
      <w:r w:rsidR="00516016" w:rsidRPr="00516016">
        <w:t>návrh na uplatnění</w:t>
      </w:r>
      <w:r w:rsidR="00516016" w:rsidRPr="008E04E5">
        <w:t xml:space="preserve"> varianty spoluúčasti žadatele</w:t>
      </w:r>
      <w:r w:rsidR="00516016">
        <w:t xml:space="preserve">. </w:t>
      </w:r>
      <w:r w:rsidR="00045902">
        <w:t>Uváděny jsou rovněž minimální a </w:t>
      </w:r>
      <w:r w:rsidR="00516016">
        <w:t xml:space="preserve">maximální částky pro poskytnutí dotace v daném programu či titulu. Návrh rovněž pracuje s konkrétními podmínkami pro dotační programy a tituly (např. </w:t>
      </w:r>
      <w:r w:rsidR="00516016" w:rsidRPr="00516016">
        <w:t>počet žádostí</w:t>
      </w:r>
      <w:r w:rsidR="00516016" w:rsidRPr="008E04E5">
        <w:t>, které může žadatel v daném programu/titulu podat</w:t>
      </w:r>
      <w:r w:rsidR="00516016">
        <w:t xml:space="preserve">). </w:t>
      </w:r>
      <w:r w:rsidR="00516016" w:rsidRPr="008E04E5">
        <w:t xml:space="preserve">O všech </w:t>
      </w:r>
      <w:r w:rsidR="00516016">
        <w:t xml:space="preserve">uvedených </w:t>
      </w:r>
      <w:r w:rsidR="00516016" w:rsidRPr="008E04E5">
        <w:t>atributech rozhodne poskytovatel v rámci schválení návrhu rozpočtu na rok 2017 a dále při schv</w:t>
      </w:r>
      <w:r w:rsidR="00516016">
        <w:t xml:space="preserve">alování </w:t>
      </w:r>
      <w:r w:rsidR="00516016" w:rsidRPr="008E04E5">
        <w:t xml:space="preserve">pravidel pro vyhlášení jednotlivých </w:t>
      </w:r>
      <w:r w:rsidR="00516016">
        <w:t xml:space="preserve">dotačních programů. Po vyhodnocení letošního roku již některé typy podpor nebudou poskytovány formou dotací, ale jiným způsobem, který předkládaný </w:t>
      </w:r>
      <w:r w:rsidR="008C196B">
        <w:t xml:space="preserve">Seznam </w:t>
      </w:r>
      <w:r w:rsidR="00516016">
        <w:t>upřesňuje.</w:t>
      </w:r>
    </w:p>
    <w:p w:rsidR="00F025B8" w:rsidRPr="00270135" w:rsidRDefault="00F025B8" w:rsidP="00270135">
      <w:pPr>
        <w:tabs>
          <w:tab w:val="left" w:pos="180"/>
          <w:tab w:val="left" w:pos="360"/>
        </w:tabs>
        <w:spacing w:before="60"/>
        <w:jc w:val="both"/>
        <w:rPr>
          <w:rFonts w:ascii="Arial" w:hAnsi="Arial" w:cs="Arial"/>
          <w:i/>
          <w:sz w:val="24"/>
          <w:szCs w:val="24"/>
        </w:rPr>
      </w:pPr>
    </w:p>
    <w:p w:rsidR="00A57E5B" w:rsidRPr="004A3D72" w:rsidRDefault="004A5022" w:rsidP="009D19B4">
      <w:pPr>
        <w:pStyle w:val="Odstavecseseznamem"/>
        <w:numPr>
          <w:ilvl w:val="0"/>
          <w:numId w:val="5"/>
        </w:numPr>
        <w:ind w:left="567" w:hanging="425"/>
        <w:jc w:val="both"/>
        <w:rPr>
          <w:rFonts w:ascii="Arial" w:hAnsi="Arial" w:cs="Arial"/>
          <w:b/>
          <w:sz w:val="26"/>
          <w:szCs w:val="26"/>
        </w:rPr>
      </w:pPr>
      <w:r w:rsidRPr="004A3D72">
        <w:rPr>
          <w:rFonts w:ascii="Arial" w:hAnsi="Arial" w:cs="Arial"/>
          <w:b/>
          <w:sz w:val="26"/>
          <w:szCs w:val="26"/>
        </w:rPr>
        <w:t>Předběžný h</w:t>
      </w:r>
      <w:r w:rsidR="00001321" w:rsidRPr="004A3D72">
        <w:rPr>
          <w:rFonts w:ascii="Arial" w:hAnsi="Arial" w:cs="Arial"/>
          <w:b/>
          <w:sz w:val="26"/>
          <w:szCs w:val="26"/>
        </w:rPr>
        <w:t>armonogram</w:t>
      </w:r>
      <w:r w:rsidR="00270135" w:rsidRPr="004A3D72">
        <w:rPr>
          <w:rFonts w:ascii="Arial" w:hAnsi="Arial" w:cs="Arial"/>
          <w:b/>
          <w:sz w:val="26"/>
          <w:szCs w:val="26"/>
        </w:rPr>
        <w:t xml:space="preserve"> projednání vzorových dokumentů</w:t>
      </w:r>
    </w:p>
    <w:p w:rsidR="00A57E5B" w:rsidRPr="00033297" w:rsidRDefault="00A57E5B" w:rsidP="00BC7CBB">
      <w:pPr>
        <w:tabs>
          <w:tab w:val="left" w:pos="180"/>
          <w:tab w:val="left" w:pos="360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:rsidR="008E34C1" w:rsidRDefault="00AF0043" w:rsidP="00BC7CBB">
      <w:pPr>
        <w:tabs>
          <w:tab w:val="left" w:pos="180"/>
          <w:tab w:val="left" w:pos="360"/>
        </w:tabs>
        <w:spacing w:before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Stávající ZOK </w:t>
      </w:r>
      <w:r w:rsidR="003908D3">
        <w:rPr>
          <w:rFonts w:ascii="Arial" w:hAnsi="Arial" w:cs="Arial"/>
          <w:sz w:val="24"/>
          <w:szCs w:val="24"/>
        </w:rPr>
        <w:t xml:space="preserve">na svém zasedání 23. 9. 2016 </w:t>
      </w:r>
      <w:r>
        <w:rPr>
          <w:rFonts w:ascii="Arial" w:hAnsi="Arial" w:cs="Arial"/>
          <w:sz w:val="24"/>
          <w:szCs w:val="24"/>
        </w:rPr>
        <w:t>vezme na vědomí připraven</w:t>
      </w:r>
      <w:r w:rsidR="003908D3">
        <w:rPr>
          <w:rFonts w:ascii="Arial" w:hAnsi="Arial" w:cs="Arial"/>
          <w:sz w:val="24"/>
          <w:szCs w:val="24"/>
        </w:rPr>
        <w:t>ý postup pro r. 2017, vzorová pravidla, vzorovou žádost včetně kritérií ho</w:t>
      </w:r>
      <w:r w:rsidR="009613E4">
        <w:rPr>
          <w:rFonts w:ascii="Arial" w:hAnsi="Arial" w:cs="Arial"/>
          <w:sz w:val="24"/>
          <w:szCs w:val="24"/>
        </w:rPr>
        <w:t>dnocení žádostí a </w:t>
      </w:r>
      <w:r w:rsidR="003908D3">
        <w:rPr>
          <w:rFonts w:ascii="Arial" w:hAnsi="Arial" w:cs="Arial"/>
          <w:sz w:val="24"/>
          <w:szCs w:val="24"/>
        </w:rPr>
        <w:t xml:space="preserve">vzorové smlouvy. </w:t>
      </w:r>
      <w:r w:rsidR="00326888">
        <w:rPr>
          <w:rFonts w:ascii="Arial" w:hAnsi="Arial" w:cs="Arial"/>
          <w:sz w:val="24"/>
          <w:szCs w:val="24"/>
        </w:rPr>
        <w:t>Předkládaný materiál včetně</w:t>
      </w:r>
      <w:r w:rsidR="009613E4">
        <w:rPr>
          <w:rFonts w:ascii="Arial" w:hAnsi="Arial" w:cs="Arial"/>
          <w:sz w:val="24"/>
          <w:szCs w:val="24"/>
        </w:rPr>
        <w:t xml:space="preserve"> všech příloh je k dispozici na </w:t>
      </w:r>
      <w:r w:rsidR="00326888">
        <w:rPr>
          <w:rFonts w:ascii="Arial" w:hAnsi="Arial" w:cs="Arial"/>
          <w:sz w:val="24"/>
          <w:szCs w:val="24"/>
        </w:rPr>
        <w:t>webových stránkách Olomouckého kraje již od 13. 9. 2016</w:t>
      </w:r>
      <w:r w:rsidR="005C5F08">
        <w:rPr>
          <w:rFonts w:ascii="Arial" w:hAnsi="Arial" w:cs="Arial"/>
          <w:sz w:val="24"/>
          <w:szCs w:val="24"/>
        </w:rPr>
        <w:t xml:space="preserve"> – </w:t>
      </w:r>
      <w:r w:rsidR="008E34C1">
        <w:rPr>
          <w:rFonts w:ascii="Arial" w:hAnsi="Arial" w:cs="Arial"/>
          <w:sz w:val="24"/>
          <w:szCs w:val="24"/>
        </w:rPr>
        <w:t>je veřejným materiálem</w:t>
      </w:r>
      <w:r w:rsidR="00F77B80">
        <w:rPr>
          <w:rFonts w:ascii="Arial" w:hAnsi="Arial" w:cs="Arial"/>
          <w:sz w:val="24"/>
          <w:szCs w:val="24"/>
        </w:rPr>
        <w:t>. P</w:t>
      </w:r>
      <w:r w:rsidR="008E34C1">
        <w:rPr>
          <w:rFonts w:ascii="Arial" w:hAnsi="Arial" w:cs="Arial"/>
          <w:sz w:val="24"/>
          <w:szCs w:val="24"/>
        </w:rPr>
        <w:t xml:space="preserve">o projednání </w:t>
      </w:r>
      <w:r w:rsidR="00F77B80">
        <w:rPr>
          <w:rFonts w:ascii="Arial" w:hAnsi="Arial" w:cs="Arial"/>
          <w:sz w:val="24"/>
          <w:szCs w:val="24"/>
        </w:rPr>
        <w:t xml:space="preserve">materiálu </w:t>
      </w:r>
      <w:r w:rsidR="008E34C1">
        <w:rPr>
          <w:rFonts w:ascii="Arial" w:hAnsi="Arial" w:cs="Arial"/>
          <w:sz w:val="24"/>
          <w:szCs w:val="24"/>
        </w:rPr>
        <w:t>ve stávajícím zastupitelstvu bude určitou formou deklarována podpora navrženému procesu. Pokud zastupitelstvo 23. 9.</w:t>
      </w:r>
      <w:r w:rsidR="008D608D">
        <w:rPr>
          <w:rFonts w:ascii="Arial" w:hAnsi="Arial" w:cs="Arial"/>
          <w:sz w:val="24"/>
          <w:szCs w:val="24"/>
        </w:rPr>
        <w:t xml:space="preserve"> </w:t>
      </w:r>
      <w:r w:rsidR="008E34C1">
        <w:rPr>
          <w:rFonts w:ascii="Arial" w:hAnsi="Arial" w:cs="Arial"/>
          <w:sz w:val="24"/>
          <w:szCs w:val="24"/>
        </w:rPr>
        <w:t>2016 materiál jakkoliv upraví, bude materiál v</w:t>
      </w:r>
      <w:r w:rsidR="00F77B80">
        <w:rPr>
          <w:rFonts w:ascii="Arial" w:hAnsi="Arial" w:cs="Arial"/>
          <w:sz w:val="24"/>
          <w:szCs w:val="24"/>
        </w:rPr>
        <w:t> této upravené (</w:t>
      </w:r>
      <w:r w:rsidR="008E34C1">
        <w:rPr>
          <w:rFonts w:ascii="Arial" w:hAnsi="Arial" w:cs="Arial"/>
          <w:sz w:val="24"/>
          <w:szCs w:val="24"/>
        </w:rPr>
        <w:t>konečné</w:t>
      </w:r>
      <w:r w:rsidR="00F77B80">
        <w:rPr>
          <w:rFonts w:ascii="Arial" w:hAnsi="Arial" w:cs="Arial"/>
          <w:sz w:val="24"/>
          <w:szCs w:val="24"/>
        </w:rPr>
        <w:t>)</w:t>
      </w:r>
      <w:r w:rsidR="008E34C1">
        <w:rPr>
          <w:rFonts w:ascii="Arial" w:hAnsi="Arial" w:cs="Arial"/>
          <w:sz w:val="24"/>
          <w:szCs w:val="24"/>
        </w:rPr>
        <w:t xml:space="preserve"> podobě </w:t>
      </w:r>
      <w:r w:rsidR="002259D2">
        <w:rPr>
          <w:rFonts w:ascii="Arial" w:hAnsi="Arial" w:cs="Arial"/>
          <w:sz w:val="24"/>
          <w:szCs w:val="24"/>
        </w:rPr>
        <w:t xml:space="preserve">zveřejněn </w:t>
      </w:r>
      <w:r w:rsidR="008E34C1">
        <w:rPr>
          <w:rFonts w:ascii="Arial" w:hAnsi="Arial" w:cs="Arial"/>
          <w:sz w:val="24"/>
          <w:szCs w:val="24"/>
        </w:rPr>
        <w:t>na webových stránkách ZOK od 3. 10. 2016.</w:t>
      </w:r>
    </w:p>
    <w:p w:rsidR="008E34C1" w:rsidRPr="009B2CC4" w:rsidRDefault="008E34C1" w:rsidP="00BC7CBB">
      <w:pPr>
        <w:tabs>
          <w:tab w:val="left" w:pos="180"/>
          <w:tab w:val="left" w:pos="360"/>
        </w:tabs>
        <w:spacing w:before="60"/>
        <w:jc w:val="both"/>
        <w:rPr>
          <w:rFonts w:ascii="Arial" w:hAnsi="Arial" w:cs="Arial"/>
          <w:sz w:val="16"/>
          <w:szCs w:val="16"/>
        </w:rPr>
      </w:pPr>
    </w:p>
    <w:p w:rsidR="00326888" w:rsidRPr="00326888" w:rsidRDefault="001E4C30" w:rsidP="003268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908D3">
        <w:rPr>
          <w:rFonts w:ascii="Arial" w:hAnsi="Arial" w:cs="Arial"/>
          <w:sz w:val="24"/>
          <w:szCs w:val="24"/>
        </w:rPr>
        <w:t>ude</w:t>
      </w:r>
      <w:r>
        <w:rPr>
          <w:rFonts w:ascii="Arial" w:hAnsi="Arial" w:cs="Arial"/>
          <w:sz w:val="24"/>
          <w:szCs w:val="24"/>
        </w:rPr>
        <w:t>-li</w:t>
      </w:r>
      <w:r w:rsidR="003908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záměrem </w:t>
      </w:r>
      <w:r w:rsidR="003908D3">
        <w:rPr>
          <w:rFonts w:ascii="Arial" w:hAnsi="Arial" w:cs="Arial"/>
          <w:sz w:val="24"/>
          <w:szCs w:val="24"/>
        </w:rPr>
        <w:t xml:space="preserve">nové samosprávy </w:t>
      </w:r>
      <w:r w:rsidR="00326888">
        <w:rPr>
          <w:rFonts w:ascii="Arial" w:hAnsi="Arial" w:cs="Arial"/>
          <w:sz w:val="24"/>
          <w:szCs w:val="24"/>
        </w:rPr>
        <w:t xml:space="preserve">vyhlásit některé dotační programy na rok 2017 ještě v letošním roce, pak by materiál </w:t>
      </w:r>
      <w:r w:rsidR="00326888" w:rsidRPr="009B2CC4">
        <w:rPr>
          <w:rFonts w:ascii="Arial" w:hAnsi="Arial" w:cs="Arial"/>
          <w:i/>
          <w:sz w:val="24"/>
          <w:szCs w:val="24"/>
        </w:rPr>
        <w:t>Obecná pravidla dotačních programů Olomouckého kraje na rok 2017</w:t>
      </w:r>
      <w:r w:rsidR="00326888">
        <w:rPr>
          <w:rFonts w:ascii="Arial" w:hAnsi="Arial" w:cs="Arial"/>
          <w:sz w:val="24"/>
          <w:szCs w:val="24"/>
        </w:rPr>
        <w:t xml:space="preserve"> byl projednán již na ustavujícím zasedání nového zastupitelstva s tím, že zastupitelům by byl jako podkladový materiál zaslán </w:t>
      </w:r>
      <w:r w:rsidR="008E34C1">
        <w:rPr>
          <w:rFonts w:ascii="Arial" w:hAnsi="Arial" w:cs="Arial"/>
          <w:sz w:val="24"/>
          <w:szCs w:val="24"/>
        </w:rPr>
        <w:t xml:space="preserve">totožný </w:t>
      </w:r>
      <w:r w:rsidR="0017195C">
        <w:rPr>
          <w:rFonts w:ascii="Arial" w:hAnsi="Arial" w:cs="Arial"/>
          <w:sz w:val="24"/>
          <w:szCs w:val="24"/>
        </w:rPr>
        <w:t>podklad</w:t>
      </w:r>
      <w:r w:rsidR="008E34C1">
        <w:rPr>
          <w:rFonts w:ascii="Arial" w:hAnsi="Arial" w:cs="Arial"/>
          <w:sz w:val="24"/>
          <w:szCs w:val="24"/>
        </w:rPr>
        <w:t>, se kterým se měla možnost v říjnu seznámit jak veřejnost, tak zastupitelé.</w:t>
      </w:r>
    </w:p>
    <w:p w:rsidR="008E34C1" w:rsidRDefault="008E34C1" w:rsidP="009B2CC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E34C1">
        <w:rPr>
          <w:rFonts w:ascii="Arial" w:hAnsi="Arial" w:cs="Arial"/>
          <w:sz w:val="24"/>
          <w:szCs w:val="24"/>
        </w:rPr>
        <w:t>Orientační harmonogram</w:t>
      </w:r>
      <w:r>
        <w:rPr>
          <w:rFonts w:ascii="Arial" w:hAnsi="Arial" w:cs="Arial"/>
          <w:sz w:val="24"/>
          <w:szCs w:val="24"/>
        </w:rPr>
        <w:t>:</w:t>
      </w:r>
    </w:p>
    <w:p w:rsidR="00283367" w:rsidRDefault="008E34C1" w:rsidP="00BD04AD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E34C1">
        <w:rPr>
          <w:rFonts w:ascii="Arial" w:hAnsi="Arial" w:cs="Arial"/>
          <w:sz w:val="24"/>
          <w:szCs w:val="24"/>
        </w:rPr>
        <w:t xml:space="preserve">Listopad 2016 – ustavující zasedání nového zastupitelstva – schválení </w:t>
      </w:r>
      <w:r w:rsidRPr="00BC5B0B">
        <w:rPr>
          <w:rFonts w:ascii="Arial" w:hAnsi="Arial" w:cs="Arial"/>
          <w:i/>
          <w:sz w:val="24"/>
          <w:szCs w:val="24"/>
        </w:rPr>
        <w:t>Obecných pravidel dotačních programů Olomouckého kraje na rok 2017</w:t>
      </w:r>
      <w:r>
        <w:rPr>
          <w:rFonts w:ascii="Arial" w:hAnsi="Arial" w:cs="Arial"/>
          <w:sz w:val="24"/>
          <w:szCs w:val="24"/>
        </w:rPr>
        <w:t>.</w:t>
      </w:r>
    </w:p>
    <w:p w:rsidR="008E34C1" w:rsidRDefault="008E34C1" w:rsidP="00BD04AD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Prosinec 2016 – zasedání nového zastupitelstva – </w:t>
      </w:r>
      <w:r w:rsidRPr="008E34C1">
        <w:rPr>
          <w:rFonts w:ascii="Arial" w:hAnsi="Arial" w:cs="Arial"/>
          <w:sz w:val="24"/>
          <w:szCs w:val="24"/>
        </w:rPr>
        <w:t xml:space="preserve">schválení </w:t>
      </w:r>
      <w:r>
        <w:rPr>
          <w:rFonts w:ascii="Arial" w:hAnsi="Arial" w:cs="Arial"/>
          <w:sz w:val="24"/>
          <w:szCs w:val="24"/>
        </w:rPr>
        <w:t xml:space="preserve">návrhu rozpočtu na rok 2017 a schválení </w:t>
      </w:r>
      <w:r w:rsidR="0017195C">
        <w:rPr>
          <w:rFonts w:ascii="Arial" w:hAnsi="Arial" w:cs="Arial"/>
          <w:sz w:val="24"/>
          <w:szCs w:val="24"/>
        </w:rPr>
        <w:t xml:space="preserve">konkrétních </w:t>
      </w:r>
      <w:r w:rsidRPr="008E34C1">
        <w:rPr>
          <w:rFonts w:ascii="Arial" w:hAnsi="Arial" w:cs="Arial"/>
          <w:sz w:val="24"/>
          <w:szCs w:val="24"/>
        </w:rPr>
        <w:t xml:space="preserve">pravidel </w:t>
      </w:r>
      <w:r>
        <w:rPr>
          <w:rFonts w:ascii="Arial" w:hAnsi="Arial" w:cs="Arial"/>
          <w:sz w:val="24"/>
          <w:szCs w:val="24"/>
        </w:rPr>
        <w:t xml:space="preserve">některých </w:t>
      </w:r>
      <w:r w:rsidRPr="008E34C1">
        <w:rPr>
          <w:rFonts w:ascii="Arial" w:hAnsi="Arial" w:cs="Arial"/>
          <w:sz w:val="24"/>
          <w:szCs w:val="24"/>
        </w:rPr>
        <w:t>dotačních programů Olomouckého kraje na rok 2017</w:t>
      </w:r>
      <w:r>
        <w:rPr>
          <w:rFonts w:ascii="Arial" w:hAnsi="Arial" w:cs="Arial"/>
          <w:sz w:val="24"/>
          <w:szCs w:val="24"/>
        </w:rPr>
        <w:t>.</w:t>
      </w:r>
    </w:p>
    <w:p w:rsidR="00BD04AD" w:rsidRDefault="00BD04AD" w:rsidP="00BD04AD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Duben 2017 – na zasedání zastupitelstva jsou schvalovány první dotace. </w:t>
      </w:r>
    </w:p>
    <w:p w:rsidR="008E34C1" w:rsidRPr="00033297" w:rsidRDefault="008E34C1" w:rsidP="009B2CC4">
      <w:pPr>
        <w:jc w:val="both"/>
        <w:rPr>
          <w:rFonts w:ascii="Arial" w:hAnsi="Arial" w:cs="Arial"/>
          <w:sz w:val="16"/>
          <w:szCs w:val="16"/>
        </w:rPr>
      </w:pPr>
    </w:p>
    <w:p w:rsidR="00992253" w:rsidRPr="00BD04AD" w:rsidRDefault="00A822C2" w:rsidP="00BD04AD">
      <w:pPr>
        <w:jc w:val="both"/>
        <w:rPr>
          <w:rFonts w:ascii="Arial" w:hAnsi="Arial" w:cs="Arial"/>
          <w:b/>
          <w:sz w:val="24"/>
          <w:szCs w:val="24"/>
        </w:rPr>
      </w:pPr>
      <w:r w:rsidRPr="00BD04AD">
        <w:rPr>
          <w:rFonts w:ascii="Arial" w:hAnsi="Arial" w:cs="Arial"/>
          <w:b/>
          <w:sz w:val="24"/>
          <w:szCs w:val="24"/>
        </w:rPr>
        <w:t xml:space="preserve">Obecný </w:t>
      </w:r>
      <w:r w:rsidR="00BD04AD">
        <w:rPr>
          <w:rFonts w:ascii="Arial" w:hAnsi="Arial" w:cs="Arial"/>
          <w:b/>
          <w:sz w:val="24"/>
          <w:szCs w:val="24"/>
        </w:rPr>
        <w:t xml:space="preserve">postup </w:t>
      </w:r>
      <w:r w:rsidR="00992253" w:rsidRPr="00BD04AD">
        <w:rPr>
          <w:rFonts w:ascii="Arial" w:hAnsi="Arial" w:cs="Arial"/>
          <w:b/>
          <w:sz w:val="24"/>
          <w:szCs w:val="24"/>
        </w:rPr>
        <w:t xml:space="preserve">schvalování </w:t>
      </w:r>
      <w:r w:rsidR="00B923D2" w:rsidRPr="00BD04AD">
        <w:rPr>
          <w:rFonts w:ascii="Arial" w:hAnsi="Arial" w:cs="Arial"/>
          <w:b/>
          <w:sz w:val="24"/>
          <w:szCs w:val="24"/>
        </w:rPr>
        <w:t xml:space="preserve">jednotlivých </w:t>
      </w:r>
      <w:r w:rsidR="00992253" w:rsidRPr="00BD04AD">
        <w:rPr>
          <w:rFonts w:ascii="Arial" w:hAnsi="Arial" w:cs="Arial"/>
          <w:b/>
          <w:sz w:val="24"/>
          <w:szCs w:val="24"/>
        </w:rPr>
        <w:t>dotačních programů</w:t>
      </w:r>
    </w:p>
    <w:p w:rsidR="00992253" w:rsidRPr="00B923D2" w:rsidRDefault="00992253" w:rsidP="00BD04AD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923D2">
        <w:rPr>
          <w:rFonts w:ascii="Arial" w:hAnsi="Arial" w:cs="Arial"/>
          <w:bCs/>
          <w:sz w:val="24"/>
          <w:szCs w:val="24"/>
        </w:rPr>
        <w:t>P</w:t>
      </w:r>
      <w:r w:rsidR="00A822C2">
        <w:rPr>
          <w:rFonts w:ascii="Arial" w:hAnsi="Arial" w:cs="Arial"/>
          <w:bCs/>
          <w:sz w:val="24"/>
          <w:szCs w:val="24"/>
        </w:rPr>
        <w:t xml:space="preserve">okud bude vzorový materiál </w:t>
      </w:r>
      <w:r w:rsidR="009B2CC4" w:rsidRPr="009B2CC4">
        <w:rPr>
          <w:rFonts w:ascii="Arial" w:hAnsi="Arial" w:cs="Arial"/>
          <w:i/>
          <w:sz w:val="24"/>
          <w:szCs w:val="24"/>
        </w:rPr>
        <w:t>Obecná pravidla dotačních programů Olomouckého kraje na rok 2017</w:t>
      </w:r>
      <w:r w:rsidR="009B2CC4">
        <w:rPr>
          <w:rFonts w:ascii="Arial" w:hAnsi="Arial" w:cs="Arial"/>
          <w:i/>
          <w:sz w:val="24"/>
          <w:szCs w:val="24"/>
        </w:rPr>
        <w:t xml:space="preserve"> </w:t>
      </w:r>
      <w:r w:rsidR="00A822C2">
        <w:rPr>
          <w:rFonts w:ascii="Arial" w:hAnsi="Arial" w:cs="Arial"/>
          <w:bCs/>
          <w:sz w:val="24"/>
          <w:szCs w:val="24"/>
        </w:rPr>
        <w:t>schválen již na ustavujícím zasedání ZOK, potom p</w:t>
      </w:r>
      <w:r w:rsidRPr="00B923D2">
        <w:rPr>
          <w:rFonts w:ascii="Arial" w:hAnsi="Arial" w:cs="Arial"/>
          <w:bCs/>
          <w:sz w:val="24"/>
          <w:szCs w:val="24"/>
        </w:rPr>
        <w:t>ravidla pro poskytování dotací z jednotlivých dotačních programů na rok 201</w:t>
      </w:r>
      <w:r w:rsidR="00AF0043" w:rsidRPr="00B923D2">
        <w:rPr>
          <w:rFonts w:ascii="Arial" w:hAnsi="Arial" w:cs="Arial"/>
          <w:bCs/>
          <w:sz w:val="24"/>
          <w:szCs w:val="24"/>
        </w:rPr>
        <w:t>7</w:t>
      </w:r>
      <w:r w:rsidRPr="00B923D2">
        <w:rPr>
          <w:rFonts w:ascii="Arial" w:hAnsi="Arial" w:cs="Arial"/>
          <w:bCs/>
          <w:sz w:val="24"/>
          <w:szCs w:val="24"/>
        </w:rPr>
        <w:t xml:space="preserve"> mohou být </w:t>
      </w:r>
      <w:r w:rsidR="009B2CC4">
        <w:rPr>
          <w:rFonts w:ascii="Arial" w:hAnsi="Arial" w:cs="Arial"/>
          <w:bCs/>
          <w:sz w:val="24"/>
          <w:szCs w:val="24"/>
        </w:rPr>
        <w:t xml:space="preserve">novým </w:t>
      </w:r>
      <w:r w:rsidRPr="00B923D2">
        <w:rPr>
          <w:rFonts w:ascii="Arial" w:hAnsi="Arial" w:cs="Arial"/>
          <w:bCs/>
          <w:sz w:val="24"/>
          <w:szCs w:val="24"/>
        </w:rPr>
        <w:t xml:space="preserve">ZOK schválena </w:t>
      </w:r>
      <w:r w:rsidR="00AF0043" w:rsidRPr="00B923D2">
        <w:rPr>
          <w:rFonts w:ascii="Arial" w:hAnsi="Arial" w:cs="Arial"/>
          <w:bCs/>
          <w:sz w:val="24"/>
          <w:szCs w:val="24"/>
        </w:rPr>
        <w:t xml:space="preserve">ihned </w:t>
      </w:r>
      <w:r w:rsidR="008101FF">
        <w:rPr>
          <w:rFonts w:ascii="Arial" w:hAnsi="Arial" w:cs="Arial"/>
          <w:bCs/>
          <w:sz w:val="24"/>
          <w:szCs w:val="24"/>
        </w:rPr>
        <w:t xml:space="preserve">po schválení rozpočtu na příští rok </w:t>
      </w:r>
      <w:r w:rsidR="00B923D2">
        <w:rPr>
          <w:rFonts w:ascii="Arial" w:hAnsi="Arial" w:cs="Arial"/>
          <w:bCs/>
          <w:sz w:val="24"/>
          <w:szCs w:val="24"/>
        </w:rPr>
        <w:t>(prosinec 2016)</w:t>
      </w:r>
      <w:r w:rsidRPr="00B923D2">
        <w:rPr>
          <w:rFonts w:ascii="Arial" w:hAnsi="Arial" w:cs="Arial"/>
          <w:bCs/>
          <w:sz w:val="24"/>
          <w:szCs w:val="24"/>
        </w:rPr>
        <w:t xml:space="preserve">. </w:t>
      </w:r>
      <w:r w:rsidR="00A822C2">
        <w:rPr>
          <w:rFonts w:ascii="Arial" w:hAnsi="Arial" w:cs="Arial"/>
          <w:bCs/>
          <w:sz w:val="24"/>
          <w:szCs w:val="24"/>
        </w:rPr>
        <w:t xml:space="preserve">Pokud bude vzorový materiál schvalován </w:t>
      </w:r>
      <w:r w:rsidR="00657E88">
        <w:rPr>
          <w:rFonts w:ascii="Arial" w:hAnsi="Arial" w:cs="Arial"/>
          <w:bCs/>
          <w:sz w:val="24"/>
          <w:szCs w:val="24"/>
        </w:rPr>
        <w:t xml:space="preserve">později, </w:t>
      </w:r>
      <w:r w:rsidR="00DC28F6">
        <w:rPr>
          <w:rFonts w:ascii="Arial" w:hAnsi="Arial" w:cs="Arial"/>
          <w:bCs/>
          <w:sz w:val="24"/>
          <w:szCs w:val="24"/>
        </w:rPr>
        <w:t>např. </w:t>
      </w:r>
      <w:r w:rsidR="00A822C2">
        <w:rPr>
          <w:rFonts w:ascii="Arial" w:hAnsi="Arial" w:cs="Arial"/>
          <w:bCs/>
          <w:sz w:val="24"/>
          <w:szCs w:val="24"/>
        </w:rPr>
        <w:t xml:space="preserve">spolu s návrhem rozpočtu na rok 2017, pak mohou být jednotlivé dotační programy schvalovány </w:t>
      </w:r>
      <w:r w:rsidR="00B63A1B">
        <w:rPr>
          <w:rFonts w:ascii="Arial" w:hAnsi="Arial" w:cs="Arial"/>
          <w:bCs/>
          <w:sz w:val="24"/>
          <w:szCs w:val="24"/>
        </w:rPr>
        <w:t xml:space="preserve">(a tedy vyhlašovány) </w:t>
      </w:r>
      <w:r w:rsidR="00A822C2">
        <w:rPr>
          <w:rFonts w:ascii="Arial" w:hAnsi="Arial" w:cs="Arial"/>
          <w:bCs/>
          <w:sz w:val="24"/>
          <w:szCs w:val="24"/>
        </w:rPr>
        <w:t>až v roce 2017.</w:t>
      </w:r>
    </w:p>
    <w:p w:rsidR="00992253" w:rsidRPr="00B923D2" w:rsidRDefault="00992253" w:rsidP="00BD04AD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B923D2">
        <w:rPr>
          <w:rFonts w:ascii="Arial" w:hAnsi="Arial" w:cs="Arial"/>
          <w:bCs/>
          <w:sz w:val="24"/>
          <w:szCs w:val="24"/>
        </w:rPr>
        <w:t>Pravidla pro poskytování dotací z jednotlivých dotačních programů na rok 201</w:t>
      </w:r>
      <w:r w:rsidR="00AF0043" w:rsidRPr="00B923D2">
        <w:rPr>
          <w:rFonts w:ascii="Arial" w:hAnsi="Arial" w:cs="Arial"/>
          <w:bCs/>
          <w:sz w:val="24"/>
          <w:szCs w:val="24"/>
        </w:rPr>
        <w:t>7</w:t>
      </w:r>
      <w:r w:rsidRPr="00B923D2">
        <w:rPr>
          <w:rFonts w:ascii="Arial" w:hAnsi="Arial" w:cs="Arial"/>
          <w:bCs/>
          <w:sz w:val="24"/>
          <w:szCs w:val="24"/>
        </w:rPr>
        <w:t xml:space="preserve"> </w:t>
      </w:r>
      <w:r w:rsidR="00A822C2">
        <w:rPr>
          <w:rFonts w:ascii="Arial" w:hAnsi="Arial" w:cs="Arial"/>
          <w:bCs/>
          <w:sz w:val="24"/>
          <w:szCs w:val="24"/>
        </w:rPr>
        <w:t xml:space="preserve">bude </w:t>
      </w:r>
      <w:r w:rsidRPr="00B923D2">
        <w:rPr>
          <w:rFonts w:ascii="Arial" w:hAnsi="Arial" w:cs="Arial"/>
          <w:bCs/>
          <w:sz w:val="24"/>
          <w:szCs w:val="24"/>
        </w:rPr>
        <w:t>schval</w:t>
      </w:r>
      <w:r w:rsidR="00A822C2">
        <w:rPr>
          <w:rFonts w:ascii="Arial" w:hAnsi="Arial" w:cs="Arial"/>
          <w:bCs/>
          <w:sz w:val="24"/>
          <w:szCs w:val="24"/>
        </w:rPr>
        <w:t xml:space="preserve">ovat </w:t>
      </w:r>
      <w:r w:rsidRPr="00B923D2">
        <w:rPr>
          <w:rFonts w:ascii="Arial" w:hAnsi="Arial" w:cs="Arial"/>
          <w:bCs/>
          <w:sz w:val="24"/>
          <w:szCs w:val="24"/>
        </w:rPr>
        <w:t>jednotně ZOK s tím, že schvalování poskytnutí dotací do výše 200 tis. Kč</w:t>
      </w:r>
      <w:r w:rsidR="00AF0043" w:rsidRPr="00B923D2">
        <w:rPr>
          <w:rFonts w:ascii="Arial" w:hAnsi="Arial" w:cs="Arial"/>
          <w:bCs/>
          <w:sz w:val="24"/>
          <w:szCs w:val="24"/>
        </w:rPr>
        <w:t xml:space="preserve"> v jednotlivém případě </w:t>
      </w:r>
      <w:r w:rsidR="00A822C2">
        <w:rPr>
          <w:rFonts w:ascii="Arial" w:hAnsi="Arial" w:cs="Arial"/>
          <w:bCs/>
          <w:sz w:val="24"/>
          <w:szCs w:val="24"/>
        </w:rPr>
        <w:t xml:space="preserve">bude </w:t>
      </w:r>
      <w:r w:rsidRPr="00B923D2">
        <w:rPr>
          <w:rFonts w:ascii="Arial" w:hAnsi="Arial" w:cs="Arial"/>
          <w:bCs/>
          <w:sz w:val="24"/>
          <w:szCs w:val="24"/>
        </w:rPr>
        <w:t xml:space="preserve">v kompetenci ROK </w:t>
      </w:r>
      <w:r w:rsidRPr="0009789A">
        <w:rPr>
          <w:rFonts w:ascii="Arial" w:hAnsi="Arial" w:cs="Arial"/>
          <w:bCs/>
          <w:sz w:val="24"/>
          <w:szCs w:val="24"/>
        </w:rPr>
        <w:t>(vyjma dotací obcím)</w:t>
      </w:r>
      <w:r w:rsidRPr="00B923D2">
        <w:rPr>
          <w:rFonts w:ascii="Arial" w:hAnsi="Arial" w:cs="Arial"/>
          <w:bCs/>
          <w:sz w:val="24"/>
          <w:szCs w:val="24"/>
        </w:rPr>
        <w:t>.</w:t>
      </w:r>
    </w:p>
    <w:p w:rsidR="00992253" w:rsidRPr="00B923D2" w:rsidRDefault="009B2CC4" w:rsidP="00BD04AD">
      <w:pPr>
        <w:pStyle w:val="Odstavecseseznamem"/>
        <w:numPr>
          <w:ilvl w:val="0"/>
          <w:numId w:val="34"/>
        </w:numPr>
        <w:ind w:left="567" w:hanging="567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Konkrétní d</w:t>
      </w:r>
      <w:r w:rsidR="00992253" w:rsidRPr="00B923D2">
        <w:rPr>
          <w:rFonts w:ascii="Arial" w:hAnsi="Arial" w:cs="Arial"/>
          <w:bCs/>
          <w:sz w:val="24"/>
          <w:szCs w:val="24"/>
        </w:rPr>
        <w:t xml:space="preserve">otační program včetně schválených pravidel může být zveřejněn (vyhlášen) kdykoliv po schválení v ZOK – podle potřeby </w:t>
      </w:r>
      <w:r w:rsidR="00B923D2">
        <w:rPr>
          <w:rFonts w:ascii="Arial" w:hAnsi="Arial" w:cs="Arial"/>
          <w:bCs/>
          <w:sz w:val="24"/>
          <w:szCs w:val="24"/>
        </w:rPr>
        <w:t xml:space="preserve">vyhlašovatele </w:t>
      </w:r>
      <w:r w:rsidR="00992253" w:rsidRPr="00B923D2">
        <w:rPr>
          <w:rFonts w:ascii="Arial" w:hAnsi="Arial" w:cs="Arial"/>
          <w:bCs/>
          <w:sz w:val="24"/>
          <w:szCs w:val="24"/>
        </w:rPr>
        <w:t>programu.</w:t>
      </w:r>
      <w:r w:rsidR="00A822C2">
        <w:rPr>
          <w:rFonts w:ascii="Arial" w:hAnsi="Arial" w:cs="Arial"/>
          <w:bCs/>
          <w:sz w:val="24"/>
          <w:szCs w:val="24"/>
        </w:rPr>
        <w:t xml:space="preserve"> Musí však být zveřejněn minimálně 30 dnů před započetím příjmu žádostí, což podstatně zpomaluje dotační proces</w:t>
      </w:r>
      <w:r w:rsidR="00B63A1B">
        <w:rPr>
          <w:rFonts w:ascii="Arial" w:hAnsi="Arial" w:cs="Arial"/>
          <w:bCs/>
          <w:sz w:val="24"/>
          <w:szCs w:val="24"/>
        </w:rPr>
        <w:t xml:space="preserve"> (např. schválení pravidel ZOK v polovině února</w:t>
      </w:r>
      <w:r>
        <w:rPr>
          <w:rFonts w:ascii="Arial" w:hAnsi="Arial" w:cs="Arial"/>
          <w:bCs/>
          <w:sz w:val="24"/>
          <w:szCs w:val="24"/>
        </w:rPr>
        <w:t xml:space="preserve"> znamená </w:t>
      </w:r>
      <w:r w:rsidR="00B63A1B">
        <w:rPr>
          <w:rFonts w:ascii="Arial" w:hAnsi="Arial" w:cs="Arial"/>
          <w:bCs/>
          <w:sz w:val="24"/>
          <w:szCs w:val="24"/>
        </w:rPr>
        <w:t xml:space="preserve">příjem žádostí </w:t>
      </w:r>
      <w:r w:rsidR="00C47ED1">
        <w:rPr>
          <w:rFonts w:ascii="Arial" w:hAnsi="Arial" w:cs="Arial"/>
          <w:bCs/>
          <w:sz w:val="24"/>
          <w:szCs w:val="24"/>
        </w:rPr>
        <w:t xml:space="preserve">nejdříve </w:t>
      </w:r>
      <w:r w:rsidR="00B63A1B">
        <w:rPr>
          <w:rFonts w:ascii="Arial" w:hAnsi="Arial" w:cs="Arial"/>
          <w:bCs/>
          <w:sz w:val="24"/>
          <w:szCs w:val="24"/>
        </w:rPr>
        <w:t xml:space="preserve">od konce března </w:t>
      </w:r>
      <w:r>
        <w:rPr>
          <w:rFonts w:ascii="Arial" w:hAnsi="Arial" w:cs="Arial"/>
          <w:bCs/>
          <w:sz w:val="24"/>
          <w:szCs w:val="24"/>
        </w:rPr>
        <w:t>např. </w:t>
      </w:r>
      <w:r w:rsidR="009613E4">
        <w:rPr>
          <w:rFonts w:ascii="Arial" w:hAnsi="Arial" w:cs="Arial"/>
          <w:bCs/>
          <w:sz w:val="24"/>
          <w:szCs w:val="24"/>
        </w:rPr>
        <w:t>do </w:t>
      </w:r>
      <w:r w:rsidR="00B63A1B">
        <w:rPr>
          <w:rFonts w:ascii="Arial" w:hAnsi="Arial" w:cs="Arial"/>
          <w:bCs/>
          <w:sz w:val="24"/>
          <w:szCs w:val="24"/>
        </w:rPr>
        <w:t xml:space="preserve">konce dubna, administrace a hodnocení žádostí </w:t>
      </w:r>
      <w:r w:rsidR="00C47ED1">
        <w:rPr>
          <w:rFonts w:ascii="Arial" w:hAnsi="Arial" w:cs="Arial"/>
          <w:bCs/>
          <w:sz w:val="24"/>
          <w:szCs w:val="24"/>
        </w:rPr>
        <w:t xml:space="preserve">probíhá </w:t>
      </w:r>
      <w:r w:rsidR="00B63A1B">
        <w:rPr>
          <w:rFonts w:ascii="Arial" w:hAnsi="Arial" w:cs="Arial"/>
          <w:bCs/>
          <w:sz w:val="24"/>
          <w:szCs w:val="24"/>
        </w:rPr>
        <w:t xml:space="preserve">dle počtu žádostí </w:t>
      </w:r>
      <w:r w:rsidR="00C47ED1">
        <w:rPr>
          <w:rFonts w:ascii="Arial" w:hAnsi="Arial" w:cs="Arial"/>
          <w:bCs/>
          <w:sz w:val="24"/>
          <w:szCs w:val="24"/>
        </w:rPr>
        <w:t>např. </w:t>
      </w:r>
      <w:r w:rsidR="00B63A1B">
        <w:rPr>
          <w:rFonts w:ascii="Arial" w:hAnsi="Arial" w:cs="Arial"/>
          <w:bCs/>
          <w:sz w:val="24"/>
          <w:szCs w:val="24"/>
        </w:rPr>
        <w:t xml:space="preserve">1 – 2 měsíce, </w:t>
      </w:r>
      <w:r w:rsidR="001C074F">
        <w:rPr>
          <w:rFonts w:ascii="Arial" w:hAnsi="Arial" w:cs="Arial"/>
          <w:bCs/>
          <w:sz w:val="24"/>
          <w:szCs w:val="24"/>
        </w:rPr>
        <w:t xml:space="preserve">k </w:t>
      </w:r>
      <w:r w:rsidR="00B63A1B">
        <w:rPr>
          <w:rFonts w:ascii="Arial" w:hAnsi="Arial" w:cs="Arial"/>
          <w:bCs/>
          <w:sz w:val="24"/>
          <w:szCs w:val="24"/>
        </w:rPr>
        <w:t xml:space="preserve">předkládání návrhu na schválení dotací </w:t>
      </w:r>
      <w:r w:rsidR="001C074F">
        <w:rPr>
          <w:rFonts w:ascii="Arial" w:hAnsi="Arial" w:cs="Arial"/>
          <w:bCs/>
          <w:sz w:val="24"/>
          <w:szCs w:val="24"/>
        </w:rPr>
        <w:t xml:space="preserve">by tak mohlo dojít až v </w:t>
      </w:r>
      <w:r w:rsidR="00B63A1B">
        <w:rPr>
          <w:rFonts w:ascii="Arial" w:hAnsi="Arial" w:cs="Arial"/>
          <w:bCs/>
          <w:sz w:val="24"/>
          <w:szCs w:val="24"/>
        </w:rPr>
        <w:t>září).</w:t>
      </w:r>
      <w:r w:rsidR="00992253" w:rsidRPr="00B923D2">
        <w:rPr>
          <w:rFonts w:ascii="Arial" w:hAnsi="Arial" w:cs="Arial"/>
          <w:bCs/>
          <w:sz w:val="24"/>
          <w:szCs w:val="24"/>
        </w:rPr>
        <w:t xml:space="preserve"> </w:t>
      </w:r>
    </w:p>
    <w:p w:rsidR="00992253" w:rsidRDefault="00992253" w:rsidP="00992253">
      <w:pPr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</w:p>
    <w:p w:rsidR="000D451D" w:rsidRDefault="000D451D" w:rsidP="000D451D">
      <w:pPr>
        <w:contextualSpacing/>
        <w:jc w:val="both"/>
        <w:rPr>
          <w:rFonts w:ascii="Arial" w:hAnsi="Arial" w:cs="Arial"/>
          <w:color w:val="00B050"/>
          <w:sz w:val="24"/>
          <w:szCs w:val="24"/>
        </w:rPr>
      </w:pPr>
    </w:p>
    <w:p w:rsidR="00054272" w:rsidRPr="00054272" w:rsidRDefault="00054272" w:rsidP="000D451D">
      <w:pPr>
        <w:contextualSpacing/>
        <w:jc w:val="both"/>
        <w:rPr>
          <w:rFonts w:ascii="Arial" w:hAnsi="Arial" w:cs="Arial"/>
          <w:color w:val="00B050"/>
          <w:sz w:val="16"/>
          <w:szCs w:val="16"/>
        </w:rPr>
      </w:pPr>
    </w:p>
    <w:p w:rsidR="000D451D" w:rsidRPr="00E80CFE" w:rsidRDefault="00CC2489" w:rsidP="000D4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</w:t>
      </w:r>
      <w:r w:rsidR="000D451D" w:rsidRPr="00E80CFE">
        <w:rPr>
          <w:rFonts w:ascii="Arial" w:hAnsi="Arial" w:cs="Arial"/>
          <w:b/>
          <w:sz w:val="24"/>
          <w:szCs w:val="24"/>
        </w:rPr>
        <w:t>doporučuj</w:t>
      </w:r>
      <w:r>
        <w:rPr>
          <w:rFonts w:ascii="Arial" w:hAnsi="Arial" w:cs="Arial"/>
          <w:b/>
          <w:sz w:val="24"/>
          <w:szCs w:val="24"/>
        </w:rPr>
        <w:t>e Z</w:t>
      </w:r>
      <w:r w:rsidR="000D451D" w:rsidRPr="00E80CFE">
        <w:rPr>
          <w:rFonts w:ascii="Arial" w:hAnsi="Arial" w:cs="Arial"/>
          <w:b/>
          <w:sz w:val="24"/>
          <w:szCs w:val="24"/>
        </w:rPr>
        <w:t xml:space="preserve">OK </w:t>
      </w:r>
      <w:r w:rsidR="00E80CFE" w:rsidRPr="00E80CFE">
        <w:rPr>
          <w:rFonts w:ascii="Arial" w:hAnsi="Arial" w:cs="Arial"/>
          <w:b/>
          <w:sz w:val="24"/>
          <w:szCs w:val="24"/>
        </w:rPr>
        <w:t>vzít na vědomí informaci o přípravě vzorových dokumentů pro realizaci</w:t>
      </w:r>
      <w:r>
        <w:rPr>
          <w:rFonts w:ascii="Arial" w:hAnsi="Arial" w:cs="Arial"/>
          <w:b/>
          <w:sz w:val="24"/>
          <w:szCs w:val="24"/>
        </w:rPr>
        <w:t xml:space="preserve"> dotačních programů v roce 2017.</w:t>
      </w:r>
      <w:bookmarkStart w:id="0" w:name="_GoBack"/>
      <w:bookmarkEnd w:id="0"/>
    </w:p>
    <w:p w:rsidR="000D451D" w:rsidRPr="00992253" w:rsidRDefault="000D451D" w:rsidP="000D451D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A55D79" w:rsidRDefault="00A55D79" w:rsidP="000D451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D451D" w:rsidRPr="00882A9C" w:rsidRDefault="000D451D" w:rsidP="000D451D">
      <w:pPr>
        <w:jc w:val="both"/>
        <w:rPr>
          <w:rFonts w:ascii="Arial" w:hAnsi="Arial" w:cs="Arial"/>
          <w:sz w:val="24"/>
          <w:szCs w:val="24"/>
          <w:u w:val="single"/>
        </w:rPr>
      </w:pPr>
      <w:r w:rsidRPr="00882A9C">
        <w:rPr>
          <w:rFonts w:ascii="Arial" w:hAnsi="Arial" w:cs="Arial"/>
          <w:sz w:val="24"/>
          <w:szCs w:val="24"/>
          <w:u w:val="single"/>
        </w:rPr>
        <w:t>Přílohy:</w:t>
      </w:r>
    </w:p>
    <w:p w:rsidR="000D451D" w:rsidRPr="00882A9C" w:rsidRDefault="000D451D" w:rsidP="00882A9C">
      <w:pPr>
        <w:jc w:val="both"/>
        <w:rPr>
          <w:rFonts w:ascii="Arial" w:hAnsi="Arial" w:cs="Arial"/>
          <w:sz w:val="24"/>
          <w:szCs w:val="24"/>
        </w:rPr>
      </w:pPr>
      <w:r w:rsidRPr="00882A9C">
        <w:rPr>
          <w:rFonts w:ascii="Arial" w:hAnsi="Arial" w:cs="Arial"/>
          <w:sz w:val="24"/>
          <w:szCs w:val="24"/>
        </w:rPr>
        <w:t>Příloha č. 1 –</w:t>
      </w:r>
      <w:r w:rsidR="000E1395">
        <w:rPr>
          <w:rFonts w:ascii="Arial" w:hAnsi="Arial" w:cs="Arial"/>
          <w:sz w:val="24"/>
          <w:szCs w:val="24"/>
        </w:rPr>
        <w:t xml:space="preserve"> Návrh p</w:t>
      </w:r>
      <w:r w:rsidR="000E1395" w:rsidRPr="000E1395">
        <w:rPr>
          <w:rFonts w:ascii="Arial" w:hAnsi="Arial" w:cs="Arial"/>
          <w:sz w:val="24"/>
          <w:szCs w:val="24"/>
        </w:rPr>
        <w:t>ravidel dotačních programů na rok 2017</w:t>
      </w:r>
      <w:r w:rsidR="000E1395" w:rsidRPr="00882A9C">
        <w:rPr>
          <w:rFonts w:ascii="Arial" w:hAnsi="Arial" w:cs="Arial"/>
          <w:sz w:val="24"/>
          <w:szCs w:val="24"/>
        </w:rPr>
        <w:t xml:space="preserve"> </w:t>
      </w:r>
      <w:r w:rsidRPr="00882A9C">
        <w:rPr>
          <w:rFonts w:ascii="Arial" w:hAnsi="Arial" w:cs="Arial"/>
          <w:sz w:val="24"/>
          <w:szCs w:val="24"/>
        </w:rPr>
        <w:t xml:space="preserve">(str. 7 – </w:t>
      </w:r>
      <w:r w:rsidR="0054071D">
        <w:rPr>
          <w:rFonts w:ascii="Arial" w:hAnsi="Arial" w:cs="Arial"/>
          <w:sz w:val="24"/>
          <w:szCs w:val="24"/>
        </w:rPr>
        <w:t>20</w:t>
      </w:r>
      <w:r w:rsidRPr="00882A9C">
        <w:rPr>
          <w:rFonts w:ascii="Arial" w:hAnsi="Arial" w:cs="Arial"/>
          <w:sz w:val="24"/>
          <w:szCs w:val="24"/>
        </w:rPr>
        <w:t>)</w:t>
      </w:r>
    </w:p>
    <w:p w:rsidR="000D451D" w:rsidRPr="00882A9C" w:rsidRDefault="000D451D" w:rsidP="00882A9C">
      <w:pPr>
        <w:jc w:val="both"/>
        <w:rPr>
          <w:rFonts w:ascii="Arial" w:hAnsi="Arial" w:cs="Arial"/>
          <w:sz w:val="24"/>
          <w:szCs w:val="24"/>
        </w:rPr>
      </w:pPr>
      <w:r w:rsidRPr="00882A9C">
        <w:rPr>
          <w:rFonts w:ascii="Arial" w:hAnsi="Arial" w:cs="Arial"/>
          <w:sz w:val="24"/>
          <w:szCs w:val="24"/>
        </w:rPr>
        <w:t xml:space="preserve">Příloha č. 2 – </w:t>
      </w:r>
      <w:r w:rsidR="00882A9C" w:rsidRPr="00882A9C">
        <w:rPr>
          <w:rFonts w:ascii="Arial" w:hAnsi="Arial" w:cs="Arial"/>
          <w:sz w:val="24"/>
          <w:szCs w:val="24"/>
        </w:rPr>
        <w:t xml:space="preserve">Vzorová </w:t>
      </w:r>
      <w:r w:rsidR="000E1395">
        <w:rPr>
          <w:rFonts w:ascii="Arial" w:hAnsi="Arial" w:cs="Arial"/>
          <w:sz w:val="24"/>
          <w:szCs w:val="24"/>
        </w:rPr>
        <w:t>ž</w:t>
      </w:r>
      <w:r w:rsidR="00882A9C" w:rsidRPr="00882A9C">
        <w:rPr>
          <w:rFonts w:ascii="Arial" w:hAnsi="Arial" w:cs="Arial"/>
          <w:sz w:val="24"/>
          <w:szCs w:val="24"/>
        </w:rPr>
        <w:t xml:space="preserve">ádost </w:t>
      </w:r>
      <w:r w:rsidRPr="00882A9C">
        <w:rPr>
          <w:rFonts w:ascii="Arial" w:hAnsi="Arial" w:cs="Arial"/>
          <w:sz w:val="24"/>
          <w:szCs w:val="24"/>
        </w:rPr>
        <w:t>pro rok 201</w:t>
      </w:r>
      <w:r w:rsidR="00882A9C" w:rsidRPr="00882A9C">
        <w:rPr>
          <w:rFonts w:ascii="Arial" w:hAnsi="Arial" w:cs="Arial"/>
          <w:sz w:val="24"/>
          <w:szCs w:val="24"/>
        </w:rPr>
        <w:t>7</w:t>
      </w:r>
      <w:r w:rsidRPr="00882A9C">
        <w:rPr>
          <w:rFonts w:ascii="Arial" w:hAnsi="Arial" w:cs="Arial"/>
          <w:sz w:val="24"/>
          <w:szCs w:val="24"/>
        </w:rPr>
        <w:t xml:space="preserve"> (str. </w:t>
      </w:r>
      <w:r w:rsidR="0054071D">
        <w:rPr>
          <w:rFonts w:ascii="Arial" w:hAnsi="Arial" w:cs="Arial"/>
          <w:sz w:val="24"/>
          <w:szCs w:val="24"/>
        </w:rPr>
        <w:t>21</w:t>
      </w:r>
      <w:r w:rsidRPr="00882A9C">
        <w:rPr>
          <w:rFonts w:ascii="Arial" w:hAnsi="Arial" w:cs="Arial"/>
          <w:sz w:val="24"/>
          <w:szCs w:val="24"/>
        </w:rPr>
        <w:t xml:space="preserve"> –</w:t>
      </w:r>
      <w:r w:rsidR="0054071D">
        <w:rPr>
          <w:rFonts w:ascii="Arial" w:hAnsi="Arial" w:cs="Arial"/>
          <w:sz w:val="24"/>
          <w:szCs w:val="24"/>
        </w:rPr>
        <w:t xml:space="preserve"> 35</w:t>
      </w:r>
      <w:r w:rsidRPr="00882A9C">
        <w:rPr>
          <w:rFonts w:ascii="Arial" w:hAnsi="Arial" w:cs="Arial"/>
          <w:sz w:val="24"/>
          <w:szCs w:val="24"/>
        </w:rPr>
        <w:t>)</w:t>
      </w:r>
    </w:p>
    <w:p w:rsidR="00882A9C" w:rsidRPr="00882A9C" w:rsidRDefault="00033297" w:rsidP="00882A9C">
      <w:pPr>
        <w:jc w:val="both"/>
        <w:rPr>
          <w:rFonts w:ascii="Arial" w:hAnsi="Arial" w:cs="Arial"/>
          <w:sz w:val="24"/>
          <w:szCs w:val="24"/>
        </w:rPr>
      </w:pPr>
      <w:r w:rsidRPr="00882A9C">
        <w:rPr>
          <w:rFonts w:ascii="Arial" w:hAnsi="Arial" w:cs="Arial"/>
          <w:sz w:val="24"/>
          <w:szCs w:val="24"/>
        </w:rPr>
        <w:t xml:space="preserve">Příloha č. </w:t>
      </w:r>
      <w:r w:rsidR="00882A9C">
        <w:rPr>
          <w:rFonts w:ascii="Arial" w:hAnsi="Arial" w:cs="Arial"/>
          <w:sz w:val="24"/>
          <w:szCs w:val="24"/>
        </w:rPr>
        <w:t>3</w:t>
      </w:r>
      <w:r w:rsidR="00882A9C" w:rsidRPr="00882A9C">
        <w:rPr>
          <w:rFonts w:ascii="Arial" w:hAnsi="Arial" w:cs="Arial"/>
          <w:sz w:val="24"/>
          <w:szCs w:val="24"/>
        </w:rPr>
        <w:t xml:space="preserve"> – Vzorová </w:t>
      </w:r>
      <w:r w:rsidR="000E1395">
        <w:rPr>
          <w:rFonts w:ascii="Arial" w:hAnsi="Arial" w:cs="Arial"/>
          <w:sz w:val="24"/>
          <w:szCs w:val="24"/>
        </w:rPr>
        <w:t>s</w:t>
      </w:r>
      <w:r w:rsidR="00882A9C" w:rsidRPr="00882A9C">
        <w:rPr>
          <w:rFonts w:ascii="Arial" w:hAnsi="Arial" w:cs="Arial"/>
          <w:sz w:val="24"/>
          <w:szCs w:val="24"/>
        </w:rPr>
        <w:t>mlo</w:t>
      </w:r>
      <w:r w:rsidR="0054071D">
        <w:rPr>
          <w:rFonts w:ascii="Arial" w:hAnsi="Arial" w:cs="Arial"/>
          <w:sz w:val="24"/>
          <w:szCs w:val="24"/>
        </w:rPr>
        <w:t>uva na akci pro rok 2017 (str. 36</w:t>
      </w:r>
      <w:r w:rsidR="006F5F48">
        <w:rPr>
          <w:rFonts w:ascii="Arial" w:hAnsi="Arial" w:cs="Arial"/>
          <w:sz w:val="24"/>
          <w:szCs w:val="24"/>
        </w:rPr>
        <w:t xml:space="preserve"> – 45</w:t>
      </w:r>
      <w:r w:rsidR="00882A9C" w:rsidRPr="00882A9C">
        <w:rPr>
          <w:rFonts w:ascii="Arial" w:hAnsi="Arial" w:cs="Arial"/>
          <w:sz w:val="24"/>
          <w:szCs w:val="24"/>
        </w:rPr>
        <w:t>)</w:t>
      </w:r>
    </w:p>
    <w:p w:rsidR="000D451D" w:rsidRPr="00882A9C" w:rsidRDefault="00033297" w:rsidP="00882A9C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82A9C">
        <w:rPr>
          <w:rFonts w:ascii="Arial" w:hAnsi="Arial" w:cs="Arial"/>
          <w:sz w:val="24"/>
          <w:szCs w:val="24"/>
        </w:rPr>
        <w:t xml:space="preserve">Příloha č. </w:t>
      </w:r>
      <w:r w:rsidR="00882A9C">
        <w:rPr>
          <w:rFonts w:ascii="Arial" w:hAnsi="Arial" w:cs="Arial"/>
          <w:sz w:val="24"/>
          <w:szCs w:val="24"/>
        </w:rPr>
        <w:t xml:space="preserve">4 </w:t>
      </w:r>
      <w:r w:rsidR="00882A9C" w:rsidRPr="00882A9C">
        <w:rPr>
          <w:rFonts w:ascii="Arial" w:hAnsi="Arial" w:cs="Arial"/>
          <w:sz w:val="24"/>
          <w:szCs w:val="24"/>
        </w:rPr>
        <w:t xml:space="preserve">– Vzorová </w:t>
      </w:r>
      <w:r w:rsidR="000E1395">
        <w:rPr>
          <w:rFonts w:ascii="Arial" w:hAnsi="Arial" w:cs="Arial"/>
          <w:sz w:val="24"/>
          <w:szCs w:val="24"/>
        </w:rPr>
        <w:t>s</w:t>
      </w:r>
      <w:r w:rsidR="00882A9C" w:rsidRPr="00882A9C">
        <w:rPr>
          <w:rFonts w:ascii="Arial" w:hAnsi="Arial" w:cs="Arial"/>
          <w:sz w:val="24"/>
          <w:szCs w:val="24"/>
        </w:rPr>
        <w:t xml:space="preserve">mlouva na </w:t>
      </w:r>
      <w:r w:rsidR="00882A9C">
        <w:rPr>
          <w:rFonts w:ascii="Arial" w:hAnsi="Arial" w:cs="Arial"/>
          <w:sz w:val="24"/>
          <w:szCs w:val="24"/>
        </w:rPr>
        <w:t xml:space="preserve">činnost </w:t>
      </w:r>
      <w:r w:rsidR="006F5F48">
        <w:rPr>
          <w:rFonts w:ascii="Arial" w:hAnsi="Arial" w:cs="Arial"/>
          <w:sz w:val="24"/>
          <w:szCs w:val="24"/>
        </w:rPr>
        <w:t>pro rok 2017 (str. 46 – 54</w:t>
      </w:r>
      <w:r w:rsidR="00882A9C" w:rsidRPr="00882A9C">
        <w:rPr>
          <w:rFonts w:ascii="Arial" w:hAnsi="Arial" w:cs="Arial"/>
          <w:sz w:val="24"/>
          <w:szCs w:val="24"/>
        </w:rPr>
        <w:t>)</w:t>
      </w:r>
    </w:p>
    <w:p w:rsidR="00591217" w:rsidRPr="00882A9C" w:rsidRDefault="00033297" w:rsidP="00882A9C">
      <w:pPr>
        <w:jc w:val="both"/>
        <w:rPr>
          <w:rFonts w:ascii="Arial" w:hAnsi="Arial" w:cs="Arial"/>
          <w:sz w:val="24"/>
          <w:szCs w:val="24"/>
        </w:rPr>
      </w:pPr>
      <w:r w:rsidRPr="00882A9C">
        <w:rPr>
          <w:rFonts w:ascii="Arial" w:hAnsi="Arial" w:cs="Arial"/>
          <w:sz w:val="24"/>
          <w:szCs w:val="24"/>
        </w:rPr>
        <w:t xml:space="preserve">Příloha č. </w:t>
      </w:r>
      <w:r w:rsidR="00882A9C">
        <w:rPr>
          <w:rFonts w:ascii="Arial" w:hAnsi="Arial" w:cs="Arial"/>
          <w:sz w:val="24"/>
          <w:szCs w:val="24"/>
        </w:rPr>
        <w:t xml:space="preserve">5 – </w:t>
      </w:r>
      <w:r w:rsidR="00882A9C" w:rsidRPr="00882A9C">
        <w:rPr>
          <w:rFonts w:ascii="Arial" w:hAnsi="Arial" w:cs="Arial"/>
          <w:sz w:val="24"/>
          <w:szCs w:val="24"/>
        </w:rPr>
        <w:t xml:space="preserve">Návrh </w:t>
      </w:r>
      <w:r w:rsidR="000E1395">
        <w:rPr>
          <w:rFonts w:ascii="Arial" w:hAnsi="Arial" w:cs="Arial"/>
          <w:sz w:val="24"/>
          <w:szCs w:val="24"/>
        </w:rPr>
        <w:t>s</w:t>
      </w:r>
      <w:r w:rsidR="00882A9C">
        <w:rPr>
          <w:rFonts w:ascii="Arial" w:hAnsi="Arial" w:cs="Arial"/>
          <w:sz w:val="24"/>
          <w:szCs w:val="24"/>
        </w:rPr>
        <w:t xml:space="preserve">eznamu </w:t>
      </w:r>
      <w:r w:rsidR="00882A9C" w:rsidRPr="00882A9C">
        <w:rPr>
          <w:rFonts w:ascii="Arial" w:hAnsi="Arial" w:cs="Arial"/>
          <w:sz w:val="24"/>
          <w:szCs w:val="24"/>
        </w:rPr>
        <w:t>dotační</w:t>
      </w:r>
      <w:r w:rsidR="00882A9C">
        <w:rPr>
          <w:rFonts w:ascii="Arial" w:hAnsi="Arial" w:cs="Arial"/>
          <w:sz w:val="24"/>
          <w:szCs w:val="24"/>
        </w:rPr>
        <w:t>ch programů pro rok</w:t>
      </w:r>
      <w:r w:rsidR="00882A9C" w:rsidRPr="00882A9C">
        <w:rPr>
          <w:rFonts w:ascii="Arial" w:hAnsi="Arial" w:cs="Arial"/>
          <w:sz w:val="24"/>
          <w:szCs w:val="24"/>
        </w:rPr>
        <w:t xml:space="preserve"> 2017</w:t>
      </w:r>
      <w:r w:rsidR="00882A9C">
        <w:rPr>
          <w:rFonts w:ascii="Arial" w:hAnsi="Arial" w:cs="Arial"/>
          <w:sz w:val="24"/>
          <w:szCs w:val="24"/>
        </w:rPr>
        <w:t xml:space="preserve"> </w:t>
      </w:r>
      <w:r w:rsidR="006F5F48">
        <w:rPr>
          <w:rFonts w:ascii="Arial" w:hAnsi="Arial" w:cs="Arial"/>
          <w:sz w:val="24"/>
          <w:szCs w:val="24"/>
        </w:rPr>
        <w:t>(str. 55 – 72</w:t>
      </w:r>
      <w:r w:rsidR="00882A9C" w:rsidRPr="00882A9C">
        <w:rPr>
          <w:rFonts w:ascii="Arial" w:hAnsi="Arial" w:cs="Arial"/>
          <w:sz w:val="24"/>
          <w:szCs w:val="24"/>
        </w:rPr>
        <w:t>)</w:t>
      </w:r>
    </w:p>
    <w:sectPr w:rsidR="00591217" w:rsidRPr="00882A9C" w:rsidSect="00AC43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CD" w:rsidRDefault="008D3ACD" w:rsidP="001B28DE">
      <w:r>
        <w:separator/>
      </w:r>
    </w:p>
  </w:endnote>
  <w:endnote w:type="continuationSeparator" w:id="0">
    <w:p w:rsidR="008D3ACD" w:rsidRDefault="008D3ACD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C5" w:rsidRDefault="007D59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C2" w:rsidRPr="001B28DE" w:rsidRDefault="007D59C5" w:rsidP="002853E3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582AC2">
      <w:rPr>
        <w:rFonts w:ascii="Arial" w:hAnsi="Arial" w:cs="Arial"/>
        <w:i/>
      </w:rPr>
      <w:t xml:space="preserve"> </w:t>
    </w:r>
    <w:r w:rsidR="00582AC2" w:rsidRPr="001B28DE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23</w:t>
    </w:r>
    <w:r w:rsidR="00582AC2">
      <w:rPr>
        <w:rFonts w:ascii="Arial" w:hAnsi="Arial" w:cs="Arial"/>
        <w:i/>
      </w:rPr>
      <w:t>. 9. 2016</w:t>
    </w:r>
    <w:r w:rsidR="00582AC2">
      <w:rPr>
        <w:rFonts w:ascii="Arial" w:hAnsi="Arial" w:cs="Arial"/>
        <w:i/>
      </w:rPr>
      <w:tab/>
    </w:r>
    <w:r w:rsidR="00582AC2">
      <w:rPr>
        <w:rFonts w:ascii="Arial" w:hAnsi="Arial" w:cs="Arial"/>
        <w:i/>
      </w:rPr>
      <w:tab/>
    </w:r>
    <w:r w:rsidR="00582AC2" w:rsidRPr="00A03223">
      <w:rPr>
        <w:rFonts w:ascii="Arial" w:hAnsi="Arial" w:cs="Arial"/>
        <w:i/>
      </w:rPr>
      <w:t>Strana</w:t>
    </w:r>
    <w:r w:rsidR="00582AC2" w:rsidRPr="007144BD">
      <w:rPr>
        <w:i/>
      </w:rPr>
      <w:t xml:space="preserve">  </w:t>
    </w:r>
    <w:r w:rsidR="00582AC2">
      <w:rPr>
        <w:rFonts w:ascii="Arial" w:hAnsi="Arial" w:cs="Arial"/>
        <w:i/>
      </w:rPr>
      <w:fldChar w:fldCharType="begin"/>
    </w:r>
    <w:r w:rsidR="00582AC2">
      <w:rPr>
        <w:rFonts w:ascii="Arial" w:hAnsi="Arial" w:cs="Arial"/>
        <w:i/>
      </w:rPr>
      <w:instrText xml:space="preserve"> PAGE   \* MERGEFORMAT </w:instrText>
    </w:r>
    <w:r w:rsidR="00582AC2">
      <w:rPr>
        <w:rFonts w:ascii="Arial" w:hAnsi="Arial" w:cs="Arial"/>
        <w:i/>
      </w:rPr>
      <w:fldChar w:fldCharType="separate"/>
    </w:r>
    <w:r w:rsidR="00CC2489">
      <w:rPr>
        <w:rFonts w:ascii="Arial" w:hAnsi="Arial" w:cs="Arial"/>
        <w:i/>
        <w:noProof/>
      </w:rPr>
      <w:t>6</w:t>
    </w:r>
    <w:r w:rsidR="00582AC2">
      <w:rPr>
        <w:rFonts w:ascii="Arial" w:hAnsi="Arial" w:cs="Arial"/>
        <w:i/>
      </w:rPr>
      <w:fldChar w:fldCharType="end"/>
    </w:r>
    <w:r w:rsidR="005261CF">
      <w:rPr>
        <w:rFonts w:ascii="Arial" w:hAnsi="Arial" w:cs="Arial"/>
        <w:i/>
      </w:rPr>
      <w:t xml:space="preserve"> (celkem 72</w:t>
    </w:r>
    <w:r w:rsidR="00582AC2">
      <w:rPr>
        <w:rFonts w:ascii="Arial" w:hAnsi="Arial" w:cs="Arial"/>
        <w:i/>
      </w:rPr>
      <w:t>)</w:t>
    </w:r>
  </w:p>
  <w:p w:rsidR="00582AC2" w:rsidRPr="001B28DE" w:rsidRDefault="007D59C5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36.</w:t>
    </w:r>
    <w:r w:rsidR="00582AC2">
      <w:rPr>
        <w:rFonts w:ascii="Arial" w:hAnsi="Arial" w:cs="Arial"/>
        <w:i/>
      </w:rPr>
      <w:t xml:space="preserve"> – </w:t>
    </w:r>
    <w:r w:rsidR="00582AC2" w:rsidRPr="002B6439">
      <w:rPr>
        <w:rFonts w:ascii="Arial" w:hAnsi="Arial" w:cs="Arial"/>
        <w:i/>
      </w:rPr>
      <w:t>Informace k dotačním programům Olomouckého kraje na rok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C5" w:rsidRDefault="007D59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CD" w:rsidRDefault="008D3ACD" w:rsidP="001B28DE">
      <w:r>
        <w:separator/>
      </w:r>
    </w:p>
  </w:footnote>
  <w:footnote w:type="continuationSeparator" w:id="0">
    <w:p w:rsidR="008D3ACD" w:rsidRDefault="008D3ACD" w:rsidP="001B28DE">
      <w:r>
        <w:continuationSeparator/>
      </w:r>
    </w:p>
  </w:footnote>
  <w:footnote w:id="1">
    <w:p w:rsidR="004A4DF1" w:rsidRPr="00D77392" w:rsidRDefault="004A4DF1" w:rsidP="00F46866">
      <w:pPr>
        <w:suppressAutoHyphens/>
        <w:jc w:val="both"/>
        <w:rPr>
          <w:sz w:val="17"/>
          <w:szCs w:val="17"/>
        </w:rPr>
      </w:pPr>
      <w:r>
        <w:rPr>
          <w:rStyle w:val="Znakapoznpodarou"/>
        </w:rPr>
        <w:footnoteRef/>
      </w:r>
      <w:r>
        <w:t xml:space="preserve"> </w:t>
      </w:r>
      <w:r w:rsidRPr="00D77392">
        <w:rPr>
          <w:sz w:val="17"/>
          <w:szCs w:val="17"/>
        </w:rPr>
        <w:t>Předkládaný materiál neřeší systém</w:t>
      </w:r>
      <w:r w:rsidR="00F46866" w:rsidRPr="00D77392">
        <w:rPr>
          <w:sz w:val="17"/>
          <w:szCs w:val="17"/>
        </w:rPr>
        <w:t xml:space="preserve"> </w:t>
      </w:r>
      <w:r w:rsidR="00C27677" w:rsidRPr="00D77392">
        <w:rPr>
          <w:sz w:val="17"/>
          <w:szCs w:val="17"/>
        </w:rPr>
        <w:t>posuzování a poskytování</w:t>
      </w:r>
      <w:r w:rsidRPr="00D77392">
        <w:rPr>
          <w:sz w:val="17"/>
          <w:szCs w:val="17"/>
        </w:rPr>
        <w:t xml:space="preserve"> tzv. individuálních </w:t>
      </w:r>
      <w:r w:rsidR="00F46866" w:rsidRPr="00D77392">
        <w:rPr>
          <w:sz w:val="17"/>
          <w:szCs w:val="17"/>
        </w:rPr>
        <w:t xml:space="preserve">dotací. Zásady pro poskytování individuálních dotací na účel definovaný žadatelem budou součástí návrhu rozpočtu na rok 2017. </w:t>
      </w:r>
      <w:r w:rsidR="00210C79" w:rsidRPr="00D77392">
        <w:rPr>
          <w:sz w:val="17"/>
          <w:szCs w:val="17"/>
        </w:rPr>
        <w:t>Administrace, p</w:t>
      </w:r>
      <w:r w:rsidR="00F46866" w:rsidRPr="00D77392">
        <w:rPr>
          <w:sz w:val="17"/>
          <w:szCs w:val="17"/>
        </w:rPr>
        <w:t xml:space="preserve">odoba žádosti, technika podávání žádostí, </w:t>
      </w:r>
      <w:r w:rsidR="00990011" w:rsidRPr="00D77392">
        <w:rPr>
          <w:sz w:val="17"/>
          <w:szCs w:val="17"/>
        </w:rPr>
        <w:t xml:space="preserve">vyrozumění žadatelů, </w:t>
      </w:r>
      <w:r w:rsidR="00210C79" w:rsidRPr="00D77392">
        <w:rPr>
          <w:sz w:val="17"/>
          <w:szCs w:val="17"/>
        </w:rPr>
        <w:t>příprava</w:t>
      </w:r>
      <w:r w:rsidR="00F46866" w:rsidRPr="00D77392">
        <w:rPr>
          <w:sz w:val="17"/>
          <w:szCs w:val="17"/>
        </w:rPr>
        <w:t xml:space="preserve"> smluv atd. jsou </w:t>
      </w:r>
      <w:r w:rsidR="00210C79" w:rsidRPr="00D77392">
        <w:rPr>
          <w:sz w:val="17"/>
          <w:szCs w:val="17"/>
        </w:rPr>
        <w:t xml:space="preserve">však </w:t>
      </w:r>
      <w:r w:rsidR="00F46866" w:rsidRPr="00D77392">
        <w:rPr>
          <w:sz w:val="17"/>
          <w:szCs w:val="17"/>
        </w:rPr>
        <w:t xml:space="preserve">stejné jako u vyhlášených dotačních programů.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C5" w:rsidRDefault="007D59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C5" w:rsidRDefault="007D59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C5" w:rsidRDefault="007D59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D5098"/>
    <w:multiLevelType w:val="hybridMultilevel"/>
    <w:tmpl w:val="44E8E1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B92"/>
    <w:multiLevelType w:val="hybridMultilevel"/>
    <w:tmpl w:val="A2DC59BA"/>
    <w:lvl w:ilvl="0" w:tplc="A61648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C4C30"/>
    <w:multiLevelType w:val="hybridMultilevel"/>
    <w:tmpl w:val="33360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1A2533"/>
    <w:multiLevelType w:val="hybridMultilevel"/>
    <w:tmpl w:val="7E70298E"/>
    <w:lvl w:ilvl="0" w:tplc="860A8E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51266"/>
    <w:multiLevelType w:val="hybridMultilevel"/>
    <w:tmpl w:val="8FE61512"/>
    <w:lvl w:ilvl="0" w:tplc="DB64453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B2D6F"/>
    <w:multiLevelType w:val="hybridMultilevel"/>
    <w:tmpl w:val="492A4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039E6"/>
    <w:multiLevelType w:val="hybridMultilevel"/>
    <w:tmpl w:val="F2F2C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D7C7D"/>
    <w:multiLevelType w:val="hybridMultilevel"/>
    <w:tmpl w:val="B1F6CB16"/>
    <w:lvl w:ilvl="0" w:tplc="4DA041C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4D08D9"/>
    <w:multiLevelType w:val="hybridMultilevel"/>
    <w:tmpl w:val="55FCF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14463"/>
    <w:multiLevelType w:val="hybridMultilevel"/>
    <w:tmpl w:val="55FCF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70B11"/>
    <w:multiLevelType w:val="hybridMultilevel"/>
    <w:tmpl w:val="89840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5841B3"/>
    <w:multiLevelType w:val="hybridMultilevel"/>
    <w:tmpl w:val="9F02AE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382714"/>
    <w:multiLevelType w:val="hybridMultilevel"/>
    <w:tmpl w:val="B8BC76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6"/>
  </w:num>
  <w:num w:numId="6">
    <w:abstractNumId w:val="24"/>
  </w:num>
  <w:num w:numId="7">
    <w:abstractNumId w:val="16"/>
  </w:num>
  <w:num w:numId="8">
    <w:abstractNumId w:val="0"/>
  </w:num>
  <w:num w:numId="9">
    <w:abstractNumId w:val="2"/>
  </w:num>
  <w:num w:numId="10">
    <w:abstractNumId w:val="30"/>
  </w:num>
  <w:num w:numId="11">
    <w:abstractNumId w:val="11"/>
  </w:num>
  <w:num w:numId="12">
    <w:abstractNumId w:val="3"/>
  </w:num>
  <w:num w:numId="13">
    <w:abstractNumId w:val="9"/>
  </w:num>
  <w:num w:numId="14">
    <w:abstractNumId w:val="19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"/>
  </w:num>
  <w:num w:numId="21">
    <w:abstractNumId w:val="13"/>
  </w:num>
  <w:num w:numId="22">
    <w:abstractNumId w:val="4"/>
  </w:num>
  <w:num w:numId="23">
    <w:abstractNumId w:val="20"/>
  </w:num>
  <w:num w:numId="24">
    <w:abstractNumId w:val="10"/>
  </w:num>
  <w:num w:numId="25">
    <w:abstractNumId w:val="8"/>
  </w:num>
  <w:num w:numId="26">
    <w:abstractNumId w:val="29"/>
  </w:num>
  <w:num w:numId="27">
    <w:abstractNumId w:val="21"/>
  </w:num>
  <w:num w:numId="28">
    <w:abstractNumId w:val="25"/>
  </w:num>
  <w:num w:numId="29">
    <w:abstractNumId w:val="1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85"/>
    <w:rsid w:val="00001321"/>
    <w:rsid w:val="00001FE9"/>
    <w:rsid w:val="000057DF"/>
    <w:rsid w:val="00014B47"/>
    <w:rsid w:val="000220D7"/>
    <w:rsid w:val="0003071C"/>
    <w:rsid w:val="00033297"/>
    <w:rsid w:val="00034C18"/>
    <w:rsid w:val="00035C6B"/>
    <w:rsid w:val="00045902"/>
    <w:rsid w:val="00053ABF"/>
    <w:rsid w:val="00054272"/>
    <w:rsid w:val="00062EAA"/>
    <w:rsid w:val="00063D3B"/>
    <w:rsid w:val="00072EC4"/>
    <w:rsid w:val="000736FF"/>
    <w:rsid w:val="0007776B"/>
    <w:rsid w:val="00083958"/>
    <w:rsid w:val="0009789A"/>
    <w:rsid w:val="000B5BD9"/>
    <w:rsid w:val="000C55B2"/>
    <w:rsid w:val="000D2100"/>
    <w:rsid w:val="000D451D"/>
    <w:rsid w:val="000E05AF"/>
    <w:rsid w:val="000E1395"/>
    <w:rsid w:val="000E5F2A"/>
    <w:rsid w:val="000F304F"/>
    <w:rsid w:val="00100654"/>
    <w:rsid w:val="00100916"/>
    <w:rsid w:val="00107D3C"/>
    <w:rsid w:val="00107D46"/>
    <w:rsid w:val="00122125"/>
    <w:rsid w:val="00122E2B"/>
    <w:rsid w:val="00123EBB"/>
    <w:rsid w:val="00127D0A"/>
    <w:rsid w:val="00141BA7"/>
    <w:rsid w:val="00142AF7"/>
    <w:rsid w:val="00146796"/>
    <w:rsid w:val="00160133"/>
    <w:rsid w:val="0017195C"/>
    <w:rsid w:val="00172245"/>
    <w:rsid w:val="001754F8"/>
    <w:rsid w:val="00190934"/>
    <w:rsid w:val="001925B5"/>
    <w:rsid w:val="00192AAE"/>
    <w:rsid w:val="00197DD5"/>
    <w:rsid w:val="001A24BE"/>
    <w:rsid w:val="001A549F"/>
    <w:rsid w:val="001A656A"/>
    <w:rsid w:val="001B261E"/>
    <w:rsid w:val="001B28DE"/>
    <w:rsid w:val="001B41C0"/>
    <w:rsid w:val="001B6C41"/>
    <w:rsid w:val="001C074F"/>
    <w:rsid w:val="001C6454"/>
    <w:rsid w:val="001D3CB7"/>
    <w:rsid w:val="001D4A2E"/>
    <w:rsid w:val="001D74CE"/>
    <w:rsid w:val="001E4C30"/>
    <w:rsid w:val="001F3F64"/>
    <w:rsid w:val="00210C79"/>
    <w:rsid w:val="00221A17"/>
    <w:rsid w:val="00222995"/>
    <w:rsid w:val="002237BE"/>
    <w:rsid w:val="002259D2"/>
    <w:rsid w:val="002275D4"/>
    <w:rsid w:val="00227F79"/>
    <w:rsid w:val="0023228F"/>
    <w:rsid w:val="002354FE"/>
    <w:rsid w:val="00236D0D"/>
    <w:rsid w:val="00237580"/>
    <w:rsid w:val="002524B9"/>
    <w:rsid w:val="00256ED6"/>
    <w:rsid w:val="00262DF3"/>
    <w:rsid w:val="00265BD8"/>
    <w:rsid w:val="00270135"/>
    <w:rsid w:val="00271A1E"/>
    <w:rsid w:val="00275CEB"/>
    <w:rsid w:val="002769E3"/>
    <w:rsid w:val="00283367"/>
    <w:rsid w:val="00284341"/>
    <w:rsid w:val="002853E3"/>
    <w:rsid w:val="00286E91"/>
    <w:rsid w:val="002941AF"/>
    <w:rsid w:val="002968B3"/>
    <w:rsid w:val="002A5241"/>
    <w:rsid w:val="002A77EC"/>
    <w:rsid w:val="002B287B"/>
    <w:rsid w:val="002B2983"/>
    <w:rsid w:val="002B6439"/>
    <w:rsid w:val="002C1585"/>
    <w:rsid w:val="002E5F95"/>
    <w:rsid w:val="002E70E0"/>
    <w:rsid w:val="002E7D51"/>
    <w:rsid w:val="002F0898"/>
    <w:rsid w:val="002F132C"/>
    <w:rsid w:val="002F32F1"/>
    <w:rsid w:val="00305151"/>
    <w:rsid w:val="00306581"/>
    <w:rsid w:val="00315598"/>
    <w:rsid w:val="003164E2"/>
    <w:rsid w:val="00324724"/>
    <w:rsid w:val="00325CEF"/>
    <w:rsid w:val="00326888"/>
    <w:rsid w:val="00327315"/>
    <w:rsid w:val="00336E42"/>
    <w:rsid w:val="00355796"/>
    <w:rsid w:val="00364FB2"/>
    <w:rsid w:val="00371A05"/>
    <w:rsid w:val="00375A6B"/>
    <w:rsid w:val="00380F1C"/>
    <w:rsid w:val="00387B27"/>
    <w:rsid w:val="003908D3"/>
    <w:rsid w:val="003A019A"/>
    <w:rsid w:val="003A2EB9"/>
    <w:rsid w:val="003A4627"/>
    <w:rsid w:val="003A54E3"/>
    <w:rsid w:val="003B3240"/>
    <w:rsid w:val="003B6953"/>
    <w:rsid w:val="003D272E"/>
    <w:rsid w:val="003E426E"/>
    <w:rsid w:val="003E75DD"/>
    <w:rsid w:val="003F119A"/>
    <w:rsid w:val="003F2107"/>
    <w:rsid w:val="003F4BB4"/>
    <w:rsid w:val="00401947"/>
    <w:rsid w:val="00406705"/>
    <w:rsid w:val="00410018"/>
    <w:rsid w:val="0041259C"/>
    <w:rsid w:val="00412B68"/>
    <w:rsid w:val="00414C14"/>
    <w:rsid w:val="00425E47"/>
    <w:rsid w:val="0043452D"/>
    <w:rsid w:val="00446AF4"/>
    <w:rsid w:val="004526FB"/>
    <w:rsid w:val="00455E22"/>
    <w:rsid w:val="0045740A"/>
    <w:rsid w:val="004748FF"/>
    <w:rsid w:val="00477DF2"/>
    <w:rsid w:val="004878A2"/>
    <w:rsid w:val="0049798C"/>
    <w:rsid w:val="004A3D72"/>
    <w:rsid w:val="004A4DF1"/>
    <w:rsid w:val="004A5022"/>
    <w:rsid w:val="004A6584"/>
    <w:rsid w:val="004B01CE"/>
    <w:rsid w:val="004B0375"/>
    <w:rsid w:val="004E1BAF"/>
    <w:rsid w:val="004E6A12"/>
    <w:rsid w:val="004E73C8"/>
    <w:rsid w:val="004F6599"/>
    <w:rsid w:val="004F7DDF"/>
    <w:rsid w:val="00507030"/>
    <w:rsid w:val="00507A7E"/>
    <w:rsid w:val="00513784"/>
    <w:rsid w:val="00516016"/>
    <w:rsid w:val="00524B6B"/>
    <w:rsid w:val="005261CF"/>
    <w:rsid w:val="0054071D"/>
    <w:rsid w:val="005528B8"/>
    <w:rsid w:val="00554522"/>
    <w:rsid w:val="00555F3B"/>
    <w:rsid w:val="00557F7C"/>
    <w:rsid w:val="00560129"/>
    <w:rsid w:val="00567D71"/>
    <w:rsid w:val="00572196"/>
    <w:rsid w:val="00580E46"/>
    <w:rsid w:val="00582AC2"/>
    <w:rsid w:val="00590183"/>
    <w:rsid w:val="00591217"/>
    <w:rsid w:val="005931FC"/>
    <w:rsid w:val="005941C2"/>
    <w:rsid w:val="00597419"/>
    <w:rsid w:val="005A22B9"/>
    <w:rsid w:val="005B5746"/>
    <w:rsid w:val="005C19E0"/>
    <w:rsid w:val="005C26B4"/>
    <w:rsid w:val="005C3072"/>
    <w:rsid w:val="005C5F08"/>
    <w:rsid w:val="005C7008"/>
    <w:rsid w:val="005D608A"/>
    <w:rsid w:val="005E143F"/>
    <w:rsid w:val="005E14E4"/>
    <w:rsid w:val="005E1FA6"/>
    <w:rsid w:val="005E5D30"/>
    <w:rsid w:val="0060569E"/>
    <w:rsid w:val="00605960"/>
    <w:rsid w:val="00640AD5"/>
    <w:rsid w:val="00643048"/>
    <w:rsid w:val="00657E88"/>
    <w:rsid w:val="00663091"/>
    <w:rsid w:val="006747C3"/>
    <w:rsid w:val="00680AC6"/>
    <w:rsid w:val="006846A8"/>
    <w:rsid w:val="00692DF4"/>
    <w:rsid w:val="006A0C63"/>
    <w:rsid w:val="006A2582"/>
    <w:rsid w:val="006A25B8"/>
    <w:rsid w:val="006A2E5F"/>
    <w:rsid w:val="006B0990"/>
    <w:rsid w:val="006B1BAE"/>
    <w:rsid w:val="006C1A1F"/>
    <w:rsid w:val="006C5AC5"/>
    <w:rsid w:val="006D31F6"/>
    <w:rsid w:val="006E1B6D"/>
    <w:rsid w:val="006E229C"/>
    <w:rsid w:val="006F5F48"/>
    <w:rsid w:val="00705CA4"/>
    <w:rsid w:val="00710257"/>
    <w:rsid w:val="0071076D"/>
    <w:rsid w:val="00715D82"/>
    <w:rsid w:val="00723DB4"/>
    <w:rsid w:val="00732061"/>
    <w:rsid w:val="00736DBD"/>
    <w:rsid w:val="0075597A"/>
    <w:rsid w:val="007636CC"/>
    <w:rsid w:val="00765D4D"/>
    <w:rsid w:val="00785DCB"/>
    <w:rsid w:val="007B0047"/>
    <w:rsid w:val="007B575D"/>
    <w:rsid w:val="007C6B00"/>
    <w:rsid w:val="007C6B20"/>
    <w:rsid w:val="007D59C5"/>
    <w:rsid w:val="007F6247"/>
    <w:rsid w:val="007F6530"/>
    <w:rsid w:val="008018DE"/>
    <w:rsid w:val="008101FF"/>
    <w:rsid w:val="00814DAD"/>
    <w:rsid w:val="00817485"/>
    <w:rsid w:val="008254E4"/>
    <w:rsid w:val="008335F0"/>
    <w:rsid w:val="0084286B"/>
    <w:rsid w:val="00843403"/>
    <w:rsid w:val="008510A8"/>
    <w:rsid w:val="00851223"/>
    <w:rsid w:val="00851855"/>
    <w:rsid w:val="00855A71"/>
    <w:rsid w:val="00857280"/>
    <w:rsid w:val="00862A31"/>
    <w:rsid w:val="00867C5E"/>
    <w:rsid w:val="0087095E"/>
    <w:rsid w:val="00872A5A"/>
    <w:rsid w:val="00873220"/>
    <w:rsid w:val="00874736"/>
    <w:rsid w:val="008814CA"/>
    <w:rsid w:val="00882A9C"/>
    <w:rsid w:val="008911A2"/>
    <w:rsid w:val="00896154"/>
    <w:rsid w:val="008A0F24"/>
    <w:rsid w:val="008A27C1"/>
    <w:rsid w:val="008B137C"/>
    <w:rsid w:val="008B59F1"/>
    <w:rsid w:val="008C15E4"/>
    <w:rsid w:val="008C196B"/>
    <w:rsid w:val="008C5B01"/>
    <w:rsid w:val="008D0C98"/>
    <w:rsid w:val="008D3ACD"/>
    <w:rsid w:val="008D4762"/>
    <w:rsid w:val="008D608D"/>
    <w:rsid w:val="008E1075"/>
    <w:rsid w:val="008E34C1"/>
    <w:rsid w:val="008E61D9"/>
    <w:rsid w:val="008F117A"/>
    <w:rsid w:val="00902E67"/>
    <w:rsid w:val="0090440D"/>
    <w:rsid w:val="0091088C"/>
    <w:rsid w:val="00910E93"/>
    <w:rsid w:val="00914B08"/>
    <w:rsid w:val="00917994"/>
    <w:rsid w:val="0092092B"/>
    <w:rsid w:val="009307CC"/>
    <w:rsid w:val="009331D8"/>
    <w:rsid w:val="00933862"/>
    <w:rsid w:val="009360D8"/>
    <w:rsid w:val="00941907"/>
    <w:rsid w:val="0095465B"/>
    <w:rsid w:val="009613E4"/>
    <w:rsid w:val="009814DB"/>
    <w:rsid w:val="00982889"/>
    <w:rsid w:val="00990011"/>
    <w:rsid w:val="009915FC"/>
    <w:rsid w:val="00992253"/>
    <w:rsid w:val="00996297"/>
    <w:rsid w:val="0099790C"/>
    <w:rsid w:val="009A0E91"/>
    <w:rsid w:val="009A2119"/>
    <w:rsid w:val="009A3FB4"/>
    <w:rsid w:val="009B2CC4"/>
    <w:rsid w:val="009C0DEC"/>
    <w:rsid w:val="009C27F9"/>
    <w:rsid w:val="009C686E"/>
    <w:rsid w:val="009C6A73"/>
    <w:rsid w:val="009C6C1D"/>
    <w:rsid w:val="009D19B4"/>
    <w:rsid w:val="009E0B9D"/>
    <w:rsid w:val="009E1AA7"/>
    <w:rsid w:val="009E47E7"/>
    <w:rsid w:val="009F422B"/>
    <w:rsid w:val="00A03223"/>
    <w:rsid w:val="00A058FC"/>
    <w:rsid w:val="00A1054C"/>
    <w:rsid w:val="00A222BB"/>
    <w:rsid w:val="00A331C2"/>
    <w:rsid w:val="00A55D79"/>
    <w:rsid w:val="00A57E5B"/>
    <w:rsid w:val="00A647D2"/>
    <w:rsid w:val="00A64E8A"/>
    <w:rsid w:val="00A65180"/>
    <w:rsid w:val="00A652E0"/>
    <w:rsid w:val="00A664E5"/>
    <w:rsid w:val="00A70BC8"/>
    <w:rsid w:val="00A80E2A"/>
    <w:rsid w:val="00A822C2"/>
    <w:rsid w:val="00A83DD5"/>
    <w:rsid w:val="00A84CE9"/>
    <w:rsid w:val="00A86E1D"/>
    <w:rsid w:val="00A9038A"/>
    <w:rsid w:val="00AA0B06"/>
    <w:rsid w:val="00AB23FC"/>
    <w:rsid w:val="00AB5375"/>
    <w:rsid w:val="00AB6953"/>
    <w:rsid w:val="00AC436A"/>
    <w:rsid w:val="00AC636C"/>
    <w:rsid w:val="00AC6961"/>
    <w:rsid w:val="00AD34CF"/>
    <w:rsid w:val="00AD3755"/>
    <w:rsid w:val="00AF0043"/>
    <w:rsid w:val="00AF4A63"/>
    <w:rsid w:val="00AF5059"/>
    <w:rsid w:val="00B051FE"/>
    <w:rsid w:val="00B0606D"/>
    <w:rsid w:val="00B10C36"/>
    <w:rsid w:val="00B14EAA"/>
    <w:rsid w:val="00B20D5A"/>
    <w:rsid w:val="00B23866"/>
    <w:rsid w:val="00B25857"/>
    <w:rsid w:val="00B270B9"/>
    <w:rsid w:val="00B3789B"/>
    <w:rsid w:val="00B4398B"/>
    <w:rsid w:val="00B45048"/>
    <w:rsid w:val="00B50175"/>
    <w:rsid w:val="00B51567"/>
    <w:rsid w:val="00B63A1B"/>
    <w:rsid w:val="00B656F2"/>
    <w:rsid w:val="00B67D7E"/>
    <w:rsid w:val="00B71AAC"/>
    <w:rsid w:val="00B729F1"/>
    <w:rsid w:val="00B76FA1"/>
    <w:rsid w:val="00B823EB"/>
    <w:rsid w:val="00B834D8"/>
    <w:rsid w:val="00B83CC9"/>
    <w:rsid w:val="00B85B61"/>
    <w:rsid w:val="00B8798B"/>
    <w:rsid w:val="00B923D2"/>
    <w:rsid w:val="00BB7AE0"/>
    <w:rsid w:val="00BB7D21"/>
    <w:rsid w:val="00BC5B0B"/>
    <w:rsid w:val="00BC7CBB"/>
    <w:rsid w:val="00BD04AD"/>
    <w:rsid w:val="00BD17B5"/>
    <w:rsid w:val="00BD2BCC"/>
    <w:rsid w:val="00BF647B"/>
    <w:rsid w:val="00BF768D"/>
    <w:rsid w:val="00C0200A"/>
    <w:rsid w:val="00C025F1"/>
    <w:rsid w:val="00C03F8A"/>
    <w:rsid w:val="00C15624"/>
    <w:rsid w:val="00C15FB6"/>
    <w:rsid w:val="00C17020"/>
    <w:rsid w:val="00C20F76"/>
    <w:rsid w:val="00C23864"/>
    <w:rsid w:val="00C27677"/>
    <w:rsid w:val="00C323E2"/>
    <w:rsid w:val="00C47ED1"/>
    <w:rsid w:val="00C64E24"/>
    <w:rsid w:val="00C8574C"/>
    <w:rsid w:val="00C90282"/>
    <w:rsid w:val="00C944AD"/>
    <w:rsid w:val="00C96F59"/>
    <w:rsid w:val="00C97D3A"/>
    <w:rsid w:val="00CA399E"/>
    <w:rsid w:val="00CB38A7"/>
    <w:rsid w:val="00CB3E10"/>
    <w:rsid w:val="00CB68F6"/>
    <w:rsid w:val="00CC2489"/>
    <w:rsid w:val="00CD1719"/>
    <w:rsid w:val="00CD7E55"/>
    <w:rsid w:val="00CF6164"/>
    <w:rsid w:val="00D0225C"/>
    <w:rsid w:val="00D02D5B"/>
    <w:rsid w:val="00D1040C"/>
    <w:rsid w:val="00D105EB"/>
    <w:rsid w:val="00D25C43"/>
    <w:rsid w:val="00D31C1E"/>
    <w:rsid w:val="00D328F8"/>
    <w:rsid w:val="00D3440B"/>
    <w:rsid w:val="00D37EB7"/>
    <w:rsid w:val="00D41033"/>
    <w:rsid w:val="00D4698D"/>
    <w:rsid w:val="00D50951"/>
    <w:rsid w:val="00D54C9F"/>
    <w:rsid w:val="00D61B78"/>
    <w:rsid w:val="00D71EA8"/>
    <w:rsid w:val="00D76057"/>
    <w:rsid w:val="00D77392"/>
    <w:rsid w:val="00D77EBB"/>
    <w:rsid w:val="00D814FF"/>
    <w:rsid w:val="00D8367B"/>
    <w:rsid w:val="00D872F2"/>
    <w:rsid w:val="00D9067E"/>
    <w:rsid w:val="00D9428A"/>
    <w:rsid w:val="00DA1905"/>
    <w:rsid w:val="00DA1E92"/>
    <w:rsid w:val="00DB1748"/>
    <w:rsid w:val="00DB3D86"/>
    <w:rsid w:val="00DC28F6"/>
    <w:rsid w:val="00DD12AC"/>
    <w:rsid w:val="00DD6611"/>
    <w:rsid w:val="00DF31EB"/>
    <w:rsid w:val="00DF7788"/>
    <w:rsid w:val="00E12993"/>
    <w:rsid w:val="00E1575D"/>
    <w:rsid w:val="00E27FB4"/>
    <w:rsid w:val="00E330E3"/>
    <w:rsid w:val="00E42837"/>
    <w:rsid w:val="00E431AC"/>
    <w:rsid w:val="00E50859"/>
    <w:rsid w:val="00E532A4"/>
    <w:rsid w:val="00E63FB7"/>
    <w:rsid w:val="00E76EF8"/>
    <w:rsid w:val="00E808DE"/>
    <w:rsid w:val="00E80CFE"/>
    <w:rsid w:val="00E825B0"/>
    <w:rsid w:val="00E82E4D"/>
    <w:rsid w:val="00EA70EF"/>
    <w:rsid w:val="00EB13B8"/>
    <w:rsid w:val="00EB31B0"/>
    <w:rsid w:val="00EC5884"/>
    <w:rsid w:val="00EC762E"/>
    <w:rsid w:val="00ED2A6D"/>
    <w:rsid w:val="00ED48D2"/>
    <w:rsid w:val="00ED5407"/>
    <w:rsid w:val="00EE016A"/>
    <w:rsid w:val="00EE2E80"/>
    <w:rsid w:val="00EF4DE6"/>
    <w:rsid w:val="00F025B8"/>
    <w:rsid w:val="00F142C7"/>
    <w:rsid w:val="00F16602"/>
    <w:rsid w:val="00F16D89"/>
    <w:rsid w:val="00F4269E"/>
    <w:rsid w:val="00F461BB"/>
    <w:rsid w:val="00F46866"/>
    <w:rsid w:val="00F532AE"/>
    <w:rsid w:val="00F555A0"/>
    <w:rsid w:val="00F55ADF"/>
    <w:rsid w:val="00F77B80"/>
    <w:rsid w:val="00F820BC"/>
    <w:rsid w:val="00F97593"/>
    <w:rsid w:val="00FA58D2"/>
    <w:rsid w:val="00FB1F0D"/>
    <w:rsid w:val="00FC5D60"/>
    <w:rsid w:val="00FD2A9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EE01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semiHidden/>
    <w:rsid w:val="004A4D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EE01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Znakapoznpodarou">
    <w:name w:val="footnote reference"/>
    <w:basedOn w:val="Standardnpsmoodstavce"/>
    <w:semiHidden/>
    <w:rsid w:val="004A4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01\Sdilene_dokumenty_OTH\O_O\KOMISE%20-%20V&#221;BORY%20-%20VEN\DOTACE\P&#345;ipom&#237;nky\P&#344;EHLED%20P&#344;&#205;POM&#205;NEK%20K%20DOTAC&#205;M%202016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FS01\Sdilene_dokumenty_OTH\O_O\KOMISE%20-%20V&#221;BORY%20-%20VEN\DOTACE\P&#345;ipom&#237;nky\P&#344;EHLED%20P&#344;&#205;POM&#205;NEK%20K%20DOTAC&#205;M%20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215879265091856E-2"/>
          <c:y val="0.11342592592592594"/>
          <c:w val="0.46388888888888902"/>
          <c:h val="0.77314814814814825"/>
        </c:manualLayout>
      </c:layout>
      <c:pieChart>
        <c:varyColors val="1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dPt>
            <c:idx val="0"/>
            <c:bubble3D val="0"/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2"/>
            <c:bubble3D val="0"/>
            <c:spPr>
              <a:solidFill>
                <a:srgbClr val="C00000"/>
              </a:solidFill>
            </c:spPr>
          </c:dPt>
          <c:dLbls>
            <c:dLbl>
              <c:idx val="0"/>
              <c:layout>
                <c:manualLayout>
                  <c:x val="-0.19746806649168858"/>
                  <c:y val="2.669072615923009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5558070866141735"/>
                  <c:y val="-0.12809638378536031"/>
                </c:manualLayout>
              </c:layout>
              <c:tx>
                <c:rich>
                  <a:bodyPr/>
                  <a:lstStyle/>
                  <a:p>
                    <a:pPr>
                      <a:defRPr sz="1200"/>
                    </a:pPr>
                    <a:r>
                      <a:rPr lang="en-US" sz="1200" b="1"/>
                      <a:t>57</a:t>
                    </a:r>
                    <a:r>
                      <a:rPr lang="en-US" sz="1200" b="1" i="0" u="none" strike="noStrike" baseline="0">
                        <a:effectLst/>
                      </a:rPr>
                      <a:t>;</a:t>
                    </a:r>
                    <a:r>
                      <a:rPr lang="cs-CZ" sz="1200" b="1" i="0" u="none" strike="noStrike" baseline="0">
                        <a:effectLst/>
                      </a:rPr>
                      <a:t> 38%</a:t>
                    </a:r>
                    <a:endParaRPr lang="en-US" sz="1200" b="1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022843394575678"/>
                  <c:y val="0.18940689705453487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List2!$C$26:$C$28</c:f>
              <c:strCache>
                <c:ptCount val="3"/>
                <c:pt idx="0">
                  <c:v>A – příprava – pravidla – vzor žádosti, smlouvy  – vyhlášení</c:v>
                </c:pt>
                <c:pt idx="1">
                  <c:v>B – administrace žádostí, hodnocení</c:v>
                </c:pt>
                <c:pt idx="2">
                  <c:v>C – schvalování, administrace smluv</c:v>
                </c:pt>
              </c:strCache>
            </c:strRef>
          </c:cat>
          <c:val>
            <c:numRef>
              <c:f>List2!$D$26:$D$28</c:f>
              <c:numCache>
                <c:formatCode>General</c:formatCode>
                <c:ptCount val="3"/>
                <c:pt idx="0">
                  <c:v>68</c:v>
                </c:pt>
                <c:pt idx="1">
                  <c:v>57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List6!$B$3</c:f>
              <c:strCache>
                <c:ptCount val="1"/>
                <c:pt idx="0">
                  <c:v>B1 - Ostrá žádost, forma, komunikace, problémy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B1 </a:t>
                    </a:r>
                  </a:p>
                </c:rich>
              </c:tx>
              <c:dLblPos val="inBase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List6!$C$3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List6!$B$4</c:f>
              <c:strCache>
                <c:ptCount val="1"/>
                <c:pt idx="0">
                  <c:v>B2 - Příjem žádostí, formální posouzení, storno atd.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B2</a:t>
                    </a:r>
                  </a:p>
                </c:rich>
              </c:tx>
              <c:dLblPos val="inBase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List6!$B$5</c:f>
              <c:strCache>
                <c:ptCount val="1"/>
                <c:pt idx="0">
                  <c:v>A6 - Vzor žádosti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A6</a:t>
                    </a:r>
                  </a:p>
                </c:rich>
              </c:tx>
              <c:dLblPos val="inBase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List6!$C$5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3"/>
          <c:order val="3"/>
          <c:tx>
            <c:strRef>
              <c:f>List6!$B$6</c:f>
              <c:strCache>
                <c:ptCount val="1"/>
                <c:pt idx="0">
                  <c:v>B3 - Posuzování, průběh hodnocení, bodování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B3 </a:t>
                    </a:r>
                  </a:p>
                </c:rich>
              </c:tx>
              <c:dLblPos val="inBase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List6!$C$6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4"/>
          <c:order val="4"/>
          <c:tx>
            <c:strRef>
              <c:f>List6!$B$7</c:f>
              <c:strCache>
                <c:ptCount val="1"/>
                <c:pt idx="0">
                  <c:v>A5 - Definice podmínek hodnocení, kritéria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A5 </a:t>
                    </a:r>
                  </a:p>
                </c:rich>
              </c:tx>
              <c:dLblPos val="inBase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List6!$C$7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5"/>
          <c:order val="5"/>
          <c:tx>
            <c:strRef>
              <c:f>List6!$B$8</c:f>
              <c:strCache>
                <c:ptCount val="1"/>
                <c:pt idx="0">
                  <c:v>B5 - Ostatní připomínky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B5</a:t>
                    </a:r>
                  </a:p>
                </c:rich>
              </c:tx>
              <c:dLblPos val="inBase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List6!$C$8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6"/>
          <c:order val="6"/>
          <c:tx>
            <c:strRef>
              <c:f>List6!$B$9</c:f>
              <c:strCache>
                <c:ptCount val="1"/>
                <c:pt idx="0">
                  <c:v>C2 - Administrace smluv, vazba na vnitřní předpisy, podávání informací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C2 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7"/>
          <c:order val="7"/>
          <c:tx>
            <c:strRef>
              <c:f>List6!$B$10</c:f>
              <c:strCache>
                <c:ptCount val="1"/>
                <c:pt idx="0">
                  <c:v>A3 - Okruh žadatelů, definice max., min. částek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A3</a:t>
                    </a:r>
                  </a:p>
                </c:rich>
              </c:tx>
              <c:dLblPos val="inBase"/>
              <c:showLegendKey val="0"/>
              <c:showVal val="1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List6!$C$10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tx>
            <c:strRef>
              <c:f>List6!$B$11</c:f>
              <c:strCache>
                <c:ptCount val="1"/>
                <c:pt idx="0">
                  <c:v>A4 - Společná pravidla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A4 </a:t>
                    </a:r>
                  </a:p>
                </c:rich>
              </c:tx>
              <c:dLblPos val="inBase"/>
              <c:showLegendKey val="0"/>
              <c:showVal val="0"/>
              <c:showCatName val="0"/>
              <c:showSerName val="1"/>
              <c:showPercent val="0"/>
              <c:showBubbleSize val="0"/>
            </c:dLbl>
            <c:dLblPos val="inBase"/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val>
            <c:numRef>
              <c:f>List6!$C$11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50"/>
        <c:axId val="77166848"/>
        <c:axId val="77197312"/>
      </c:barChart>
      <c:catAx>
        <c:axId val="77166848"/>
        <c:scaling>
          <c:orientation val="minMax"/>
        </c:scaling>
        <c:delete val="1"/>
        <c:axPos val="b"/>
        <c:majorTickMark val="out"/>
        <c:minorTickMark val="none"/>
        <c:tickLblPos val="nextTo"/>
        <c:crossAx val="77197312"/>
        <c:crosses val="autoZero"/>
        <c:auto val="1"/>
        <c:lblAlgn val="ctr"/>
        <c:lblOffset val="100"/>
        <c:noMultiLvlLbl val="0"/>
      </c:catAx>
      <c:valAx>
        <c:axId val="7719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166848"/>
        <c:crosses val="autoZero"/>
        <c:crossBetween val="between"/>
        <c:majorUnit val="1"/>
      </c:valAx>
    </c:plotArea>
    <c:legend>
      <c:legendPos val="r"/>
      <c:layout>
        <c:manualLayout>
          <c:xMode val="edge"/>
          <c:yMode val="edge"/>
          <c:x val="0.64708796015882619"/>
          <c:y val="1.9159469561347446E-2"/>
          <c:w val="0.35291199503437598"/>
          <c:h val="0.98084050966079228"/>
        </c:manualLayout>
      </c:layout>
      <c:overlay val="0"/>
    </c:legend>
    <c:plotVisOnly val="1"/>
    <c:dispBlanksAs val="gap"/>
    <c:showDLblsOverMax val="0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32CD-7BA0-4C28-9A7B-2B048A8F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2442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Vyhnálková Taťána</cp:lastModifiedBy>
  <cp:revision>4</cp:revision>
  <cp:lastPrinted>2016-08-29T05:34:00Z</cp:lastPrinted>
  <dcterms:created xsi:type="dcterms:W3CDTF">2016-09-02T08:33:00Z</dcterms:created>
  <dcterms:modified xsi:type="dcterms:W3CDTF">2016-09-02T10:44:00Z</dcterms:modified>
</cp:coreProperties>
</file>