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98D" w:rsidRPr="00F0459E" w:rsidRDefault="00E22661" w:rsidP="0020298D">
      <w:pPr>
        <w:pStyle w:val="Nadpis1"/>
        <w:rPr>
          <w:color w:val="auto"/>
        </w:rPr>
      </w:pPr>
      <w:r w:rsidRPr="00F0459E">
        <w:rPr>
          <w:color w:val="auto"/>
        </w:rPr>
        <w:t xml:space="preserve">Zpráva o </w:t>
      </w:r>
      <w:bookmarkStart w:id="0" w:name="_GoBack"/>
      <w:bookmarkEnd w:id="0"/>
      <w:r w:rsidRPr="00F0459E">
        <w:rPr>
          <w:color w:val="auto"/>
        </w:rPr>
        <w:t xml:space="preserve">uplatňování </w:t>
      </w:r>
      <w:r w:rsidR="001E7550" w:rsidRPr="00F0459E">
        <w:rPr>
          <w:color w:val="auto"/>
        </w:rPr>
        <w:t>Strategie</w:t>
      </w:r>
      <w:r w:rsidR="0020298D" w:rsidRPr="00F0459E">
        <w:rPr>
          <w:color w:val="auto"/>
        </w:rPr>
        <w:t xml:space="preserve"> rozvoje územního obvodu Olomouckého kraje</w:t>
      </w:r>
      <w:r w:rsidR="000C7F04" w:rsidRPr="00F0459E">
        <w:rPr>
          <w:color w:val="auto"/>
        </w:rPr>
        <w:t xml:space="preserve"> za rok 201</w:t>
      </w:r>
      <w:r w:rsidR="00EE2B57" w:rsidRPr="00F0459E">
        <w:rPr>
          <w:color w:val="auto"/>
        </w:rPr>
        <w:t>7</w:t>
      </w:r>
    </w:p>
    <w:p w:rsidR="00275908" w:rsidRPr="00275908" w:rsidRDefault="00275908" w:rsidP="00275908">
      <w:pPr>
        <w:rPr>
          <w:sz w:val="28"/>
        </w:rPr>
      </w:pPr>
      <w:r w:rsidRPr="00275908">
        <w:rPr>
          <w:sz w:val="28"/>
        </w:rPr>
        <w:t>Obsah</w:t>
      </w:r>
    </w:p>
    <w:p w:rsidR="00D93FE7" w:rsidRDefault="00275908">
      <w:pPr>
        <w:pStyle w:val="Obsah1"/>
        <w:tabs>
          <w:tab w:val="left" w:pos="440"/>
          <w:tab w:val="right" w:leader="dot" w:pos="9062"/>
        </w:tabs>
        <w:rPr>
          <w:rFonts w:asciiTheme="minorHAnsi" w:eastAsiaTheme="minorEastAsia" w:hAnsiTheme="minorHAnsi" w:cstheme="minorBidi"/>
          <w:noProof/>
          <w:sz w:val="22"/>
          <w:szCs w:val="22"/>
          <w:lang w:eastAsia="cs-CZ"/>
        </w:rPr>
      </w:pPr>
      <w:r>
        <w:fldChar w:fldCharType="begin"/>
      </w:r>
      <w:r>
        <w:instrText xml:space="preserve"> TOC \o "4-9" \t "IV nadpis 2;1" </w:instrText>
      </w:r>
      <w:r>
        <w:fldChar w:fldCharType="separate"/>
      </w:r>
      <w:r w:rsidR="00D93FE7">
        <w:rPr>
          <w:noProof/>
        </w:rPr>
        <w:t>1.</w:t>
      </w:r>
      <w:r w:rsidR="00D93FE7">
        <w:rPr>
          <w:rFonts w:asciiTheme="minorHAnsi" w:eastAsiaTheme="minorEastAsia" w:hAnsiTheme="minorHAnsi" w:cstheme="minorBidi"/>
          <w:noProof/>
          <w:sz w:val="22"/>
          <w:szCs w:val="22"/>
          <w:lang w:eastAsia="cs-CZ"/>
        </w:rPr>
        <w:tab/>
      </w:r>
      <w:r w:rsidR="00D93FE7">
        <w:rPr>
          <w:noProof/>
        </w:rPr>
        <w:t>Úvod</w:t>
      </w:r>
      <w:r w:rsidR="00D93FE7">
        <w:rPr>
          <w:noProof/>
        </w:rPr>
        <w:tab/>
      </w:r>
      <w:r w:rsidR="00D93FE7">
        <w:rPr>
          <w:noProof/>
        </w:rPr>
        <w:fldChar w:fldCharType="begin"/>
      </w:r>
      <w:r w:rsidR="00D93FE7">
        <w:rPr>
          <w:noProof/>
        </w:rPr>
        <w:instrText xml:space="preserve"> PAGEREF _Toc477348254 \h </w:instrText>
      </w:r>
      <w:r w:rsidR="00D93FE7">
        <w:rPr>
          <w:noProof/>
        </w:rPr>
      </w:r>
      <w:r w:rsidR="00D93FE7">
        <w:rPr>
          <w:noProof/>
        </w:rPr>
        <w:fldChar w:fldCharType="separate"/>
      </w:r>
      <w:r w:rsidR="00D93FE7">
        <w:rPr>
          <w:noProof/>
        </w:rPr>
        <w:t>1</w:t>
      </w:r>
      <w:r w:rsidR="00D93FE7">
        <w:rPr>
          <w:noProof/>
        </w:rPr>
        <w:fldChar w:fldCharType="end"/>
      </w:r>
    </w:p>
    <w:p w:rsidR="00D93FE7" w:rsidRDefault="00D93FE7">
      <w:pPr>
        <w:pStyle w:val="Obsah1"/>
        <w:tabs>
          <w:tab w:val="left" w:pos="440"/>
          <w:tab w:val="right" w:leader="dot" w:pos="9062"/>
        </w:tabs>
        <w:rPr>
          <w:rFonts w:asciiTheme="minorHAnsi" w:eastAsiaTheme="minorEastAsia" w:hAnsiTheme="minorHAnsi" w:cstheme="minorBidi"/>
          <w:noProof/>
          <w:sz w:val="22"/>
          <w:szCs w:val="22"/>
          <w:lang w:eastAsia="cs-CZ"/>
        </w:rPr>
      </w:pPr>
      <w:r>
        <w:rPr>
          <w:noProof/>
        </w:rPr>
        <w:t>2.</w:t>
      </w:r>
      <w:r>
        <w:rPr>
          <w:rFonts w:asciiTheme="minorHAnsi" w:eastAsiaTheme="minorEastAsia" w:hAnsiTheme="minorHAnsi" w:cstheme="minorBidi"/>
          <w:noProof/>
          <w:sz w:val="22"/>
          <w:szCs w:val="22"/>
          <w:lang w:eastAsia="cs-CZ"/>
        </w:rPr>
        <w:tab/>
      </w:r>
      <w:r>
        <w:rPr>
          <w:noProof/>
        </w:rPr>
        <w:t>Sběr dat</w:t>
      </w:r>
      <w:r>
        <w:rPr>
          <w:noProof/>
        </w:rPr>
        <w:tab/>
      </w:r>
      <w:r>
        <w:rPr>
          <w:noProof/>
        </w:rPr>
        <w:fldChar w:fldCharType="begin"/>
      </w:r>
      <w:r>
        <w:rPr>
          <w:noProof/>
        </w:rPr>
        <w:instrText xml:space="preserve"> PAGEREF _Toc477348255 \h </w:instrText>
      </w:r>
      <w:r>
        <w:rPr>
          <w:noProof/>
        </w:rPr>
      </w:r>
      <w:r>
        <w:rPr>
          <w:noProof/>
        </w:rPr>
        <w:fldChar w:fldCharType="separate"/>
      </w:r>
      <w:r>
        <w:rPr>
          <w:noProof/>
        </w:rPr>
        <w:t>1</w:t>
      </w:r>
      <w:r>
        <w:rPr>
          <w:noProof/>
        </w:rPr>
        <w:fldChar w:fldCharType="end"/>
      </w:r>
    </w:p>
    <w:p w:rsidR="00D93FE7" w:rsidRDefault="00D93FE7">
      <w:pPr>
        <w:pStyle w:val="Obsah1"/>
        <w:tabs>
          <w:tab w:val="left" w:pos="440"/>
          <w:tab w:val="right" w:leader="dot" w:pos="9062"/>
        </w:tabs>
        <w:rPr>
          <w:rFonts w:asciiTheme="minorHAnsi" w:eastAsiaTheme="minorEastAsia" w:hAnsiTheme="minorHAnsi" w:cstheme="minorBidi"/>
          <w:noProof/>
          <w:sz w:val="22"/>
          <w:szCs w:val="22"/>
          <w:lang w:eastAsia="cs-CZ"/>
        </w:rPr>
      </w:pPr>
      <w:r>
        <w:rPr>
          <w:noProof/>
        </w:rPr>
        <w:t>3.</w:t>
      </w:r>
      <w:r>
        <w:rPr>
          <w:rFonts w:asciiTheme="minorHAnsi" w:eastAsiaTheme="minorEastAsia" w:hAnsiTheme="minorHAnsi" w:cstheme="minorBidi"/>
          <w:noProof/>
          <w:sz w:val="22"/>
          <w:szCs w:val="22"/>
          <w:lang w:eastAsia="cs-CZ"/>
        </w:rPr>
        <w:tab/>
      </w:r>
      <w:r>
        <w:rPr>
          <w:noProof/>
        </w:rPr>
        <w:t>Sledované indikátory</w:t>
      </w:r>
      <w:r>
        <w:rPr>
          <w:noProof/>
        </w:rPr>
        <w:tab/>
      </w:r>
      <w:r>
        <w:rPr>
          <w:noProof/>
        </w:rPr>
        <w:fldChar w:fldCharType="begin"/>
      </w:r>
      <w:r>
        <w:rPr>
          <w:noProof/>
        </w:rPr>
        <w:instrText xml:space="preserve"> PAGEREF _Toc477348256 \h </w:instrText>
      </w:r>
      <w:r>
        <w:rPr>
          <w:noProof/>
        </w:rPr>
      </w:r>
      <w:r>
        <w:rPr>
          <w:noProof/>
        </w:rPr>
        <w:fldChar w:fldCharType="separate"/>
      </w:r>
      <w:r>
        <w:rPr>
          <w:noProof/>
        </w:rPr>
        <w:t>2</w:t>
      </w:r>
      <w:r>
        <w:rPr>
          <w:noProof/>
        </w:rPr>
        <w:fldChar w:fldCharType="end"/>
      </w:r>
    </w:p>
    <w:p w:rsidR="00D93FE7" w:rsidRDefault="00D93FE7">
      <w:pPr>
        <w:pStyle w:val="Obsah1"/>
        <w:tabs>
          <w:tab w:val="left" w:pos="440"/>
          <w:tab w:val="right" w:leader="dot" w:pos="9062"/>
        </w:tabs>
        <w:rPr>
          <w:rFonts w:asciiTheme="minorHAnsi" w:eastAsiaTheme="minorEastAsia" w:hAnsiTheme="minorHAnsi" w:cstheme="minorBidi"/>
          <w:noProof/>
          <w:sz w:val="22"/>
          <w:szCs w:val="22"/>
          <w:lang w:eastAsia="cs-CZ"/>
        </w:rPr>
      </w:pPr>
      <w:r>
        <w:rPr>
          <w:noProof/>
        </w:rPr>
        <w:t>4.</w:t>
      </w:r>
      <w:r>
        <w:rPr>
          <w:rFonts w:asciiTheme="minorHAnsi" w:eastAsiaTheme="minorEastAsia" w:hAnsiTheme="minorHAnsi" w:cstheme="minorBidi"/>
          <w:noProof/>
          <w:sz w:val="22"/>
          <w:szCs w:val="22"/>
          <w:lang w:eastAsia="cs-CZ"/>
        </w:rPr>
        <w:tab/>
      </w:r>
      <w:r>
        <w:rPr>
          <w:noProof/>
        </w:rPr>
        <w:t>Základní priority a jejich plnění</w:t>
      </w:r>
      <w:r>
        <w:rPr>
          <w:noProof/>
        </w:rPr>
        <w:tab/>
      </w:r>
      <w:r>
        <w:rPr>
          <w:noProof/>
        </w:rPr>
        <w:fldChar w:fldCharType="begin"/>
      </w:r>
      <w:r>
        <w:rPr>
          <w:noProof/>
        </w:rPr>
        <w:instrText xml:space="preserve"> PAGEREF _Toc477348257 \h </w:instrText>
      </w:r>
      <w:r>
        <w:rPr>
          <w:noProof/>
        </w:rPr>
      </w:r>
      <w:r>
        <w:rPr>
          <w:noProof/>
        </w:rPr>
        <w:fldChar w:fldCharType="separate"/>
      </w:r>
      <w:r>
        <w:rPr>
          <w:noProof/>
        </w:rPr>
        <w:t>2</w:t>
      </w:r>
      <w:r>
        <w:rPr>
          <w:noProof/>
        </w:rPr>
        <w:fldChar w:fldCharType="end"/>
      </w:r>
    </w:p>
    <w:p w:rsidR="00D93FE7" w:rsidRDefault="00D93FE7">
      <w:pPr>
        <w:pStyle w:val="Obsah1"/>
        <w:tabs>
          <w:tab w:val="left" w:pos="440"/>
          <w:tab w:val="right" w:leader="dot" w:pos="9062"/>
        </w:tabs>
        <w:rPr>
          <w:rFonts w:asciiTheme="minorHAnsi" w:eastAsiaTheme="minorEastAsia" w:hAnsiTheme="minorHAnsi" w:cstheme="minorBidi"/>
          <w:noProof/>
          <w:sz w:val="22"/>
          <w:szCs w:val="22"/>
          <w:lang w:eastAsia="cs-CZ"/>
        </w:rPr>
      </w:pPr>
      <w:r>
        <w:rPr>
          <w:noProof/>
        </w:rPr>
        <w:t>5.</w:t>
      </w:r>
      <w:r>
        <w:rPr>
          <w:rFonts w:asciiTheme="minorHAnsi" w:eastAsiaTheme="minorEastAsia" w:hAnsiTheme="minorHAnsi" w:cstheme="minorBidi"/>
          <w:noProof/>
          <w:sz w:val="22"/>
          <w:szCs w:val="22"/>
          <w:lang w:eastAsia="cs-CZ"/>
        </w:rPr>
        <w:tab/>
      </w:r>
      <w:r>
        <w:rPr>
          <w:noProof/>
        </w:rPr>
        <w:t>Využívání dotačních titulů</w:t>
      </w:r>
      <w:r>
        <w:rPr>
          <w:noProof/>
        </w:rPr>
        <w:tab/>
      </w:r>
      <w:r>
        <w:rPr>
          <w:noProof/>
        </w:rPr>
        <w:fldChar w:fldCharType="begin"/>
      </w:r>
      <w:r>
        <w:rPr>
          <w:noProof/>
        </w:rPr>
        <w:instrText xml:space="preserve"> PAGEREF _Toc477348258 \h </w:instrText>
      </w:r>
      <w:r>
        <w:rPr>
          <w:noProof/>
        </w:rPr>
      </w:r>
      <w:r>
        <w:rPr>
          <w:noProof/>
        </w:rPr>
        <w:fldChar w:fldCharType="separate"/>
      </w:r>
      <w:r>
        <w:rPr>
          <w:noProof/>
        </w:rPr>
        <w:t>4</w:t>
      </w:r>
      <w:r>
        <w:rPr>
          <w:noProof/>
        </w:rPr>
        <w:fldChar w:fldCharType="end"/>
      </w:r>
    </w:p>
    <w:p w:rsidR="00D93FE7" w:rsidRDefault="00D93FE7">
      <w:pPr>
        <w:pStyle w:val="Obsah1"/>
        <w:tabs>
          <w:tab w:val="left" w:pos="440"/>
          <w:tab w:val="right" w:leader="dot" w:pos="9062"/>
        </w:tabs>
        <w:rPr>
          <w:rFonts w:asciiTheme="minorHAnsi" w:eastAsiaTheme="minorEastAsia" w:hAnsiTheme="minorHAnsi" w:cstheme="minorBidi"/>
          <w:noProof/>
          <w:sz w:val="22"/>
          <w:szCs w:val="22"/>
          <w:lang w:eastAsia="cs-CZ"/>
        </w:rPr>
      </w:pPr>
      <w:r>
        <w:rPr>
          <w:noProof/>
        </w:rPr>
        <w:t>6.</w:t>
      </w:r>
      <w:r>
        <w:rPr>
          <w:rFonts w:asciiTheme="minorHAnsi" w:eastAsiaTheme="minorEastAsia" w:hAnsiTheme="minorHAnsi" w:cstheme="minorBidi"/>
          <w:noProof/>
          <w:sz w:val="22"/>
          <w:szCs w:val="22"/>
          <w:lang w:eastAsia="cs-CZ"/>
        </w:rPr>
        <w:tab/>
      </w:r>
      <w:r>
        <w:rPr>
          <w:noProof/>
        </w:rPr>
        <w:t>Podpora subjektů v území</w:t>
      </w:r>
      <w:r>
        <w:rPr>
          <w:noProof/>
        </w:rPr>
        <w:tab/>
      </w:r>
      <w:r>
        <w:rPr>
          <w:noProof/>
        </w:rPr>
        <w:fldChar w:fldCharType="begin"/>
      </w:r>
      <w:r>
        <w:rPr>
          <w:noProof/>
        </w:rPr>
        <w:instrText xml:space="preserve"> PAGEREF _Toc477348259 \h </w:instrText>
      </w:r>
      <w:r>
        <w:rPr>
          <w:noProof/>
        </w:rPr>
      </w:r>
      <w:r>
        <w:rPr>
          <w:noProof/>
        </w:rPr>
        <w:fldChar w:fldCharType="separate"/>
      </w:r>
      <w:r>
        <w:rPr>
          <w:noProof/>
        </w:rPr>
        <w:t>6</w:t>
      </w:r>
      <w:r>
        <w:rPr>
          <w:noProof/>
        </w:rPr>
        <w:fldChar w:fldCharType="end"/>
      </w:r>
    </w:p>
    <w:p w:rsidR="00D93FE7" w:rsidRDefault="00D93FE7">
      <w:pPr>
        <w:pStyle w:val="Obsah1"/>
        <w:tabs>
          <w:tab w:val="left" w:pos="440"/>
          <w:tab w:val="right" w:leader="dot" w:pos="9062"/>
        </w:tabs>
        <w:rPr>
          <w:rFonts w:asciiTheme="minorHAnsi" w:eastAsiaTheme="minorEastAsia" w:hAnsiTheme="minorHAnsi" w:cstheme="minorBidi"/>
          <w:noProof/>
          <w:sz w:val="22"/>
          <w:szCs w:val="22"/>
          <w:lang w:eastAsia="cs-CZ"/>
        </w:rPr>
      </w:pPr>
      <w:r>
        <w:rPr>
          <w:noProof/>
        </w:rPr>
        <w:t>7.</w:t>
      </w:r>
      <w:r>
        <w:rPr>
          <w:rFonts w:asciiTheme="minorHAnsi" w:eastAsiaTheme="minorEastAsia" w:hAnsiTheme="minorHAnsi" w:cstheme="minorBidi"/>
          <w:noProof/>
          <w:sz w:val="22"/>
          <w:szCs w:val="22"/>
          <w:lang w:eastAsia="cs-CZ"/>
        </w:rPr>
        <w:tab/>
      </w:r>
      <w:r>
        <w:rPr>
          <w:noProof/>
        </w:rPr>
        <w:t>Uplatňování SROK z dlouhodobého hlediska</w:t>
      </w:r>
      <w:r>
        <w:rPr>
          <w:noProof/>
        </w:rPr>
        <w:tab/>
      </w:r>
      <w:r>
        <w:rPr>
          <w:noProof/>
        </w:rPr>
        <w:fldChar w:fldCharType="begin"/>
      </w:r>
      <w:r>
        <w:rPr>
          <w:noProof/>
        </w:rPr>
        <w:instrText xml:space="preserve"> PAGEREF _Toc477348260 \h </w:instrText>
      </w:r>
      <w:r>
        <w:rPr>
          <w:noProof/>
        </w:rPr>
      </w:r>
      <w:r>
        <w:rPr>
          <w:noProof/>
        </w:rPr>
        <w:fldChar w:fldCharType="separate"/>
      </w:r>
      <w:r>
        <w:rPr>
          <w:noProof/>
        </w:rPr>
        <w:t>6</w:t>
      </w:r>
      <w:r>
        <w:rPr>
          <w:noProof/>
        </w:rPr>
        <w:fldChar w:fldCharType="end"/>
      </w:r>
    </w:p>
    <w:p w:rsidR="00D93FE7" w:rsidRDefault="00D93FE7">
      <w:pPr>
        <w:pStyle w:val="Obsah1"/>
        <w:tabs>
          <w:tab w:val="left" w:pos="440"/>
          <w:tab w:val="right" w:leader="dot" w:pos="9062"/>
        </w:tabs>
        <w:rPr>
          <w:rFonts w:asciiTheme="minorHAnsi" w:eastAsiaTheme="minorEastAsia" w:hAnsiTheme="minorHAnsi" w:cstheme="minorBidi"/>
          <w:noProof/>
          <w:sz w:val="22"/>
          <w:szCs w:val="22"/>
          <w:lang w:eastAsia="cs-CZ"/>
        </w:rPr>
      </w:pPr>
      <w:r>
        <w:rPr>
          <w:noProof/>
        </w:rPr>
        <w:t>8.</w:t>
      </w:r>
      <w:r>
        <w:rPr>
          <w:rFonts w:asciiTheme="minorHAnsi" w:eastAsiaTheme="minorEastAsia" w:hAnsiTheme="minorHAnsi" w:cstheme="minorBidi"/>
          <w:noProof/>
          <w:sz w:val="22"/>
          <w:szCs w:val="22"/>
          <w:lang w:eastAsia="cs-CZ"/>
        </w:rPr>
        <w:tab/>
      </w:r>
      <w:r>
        <w:rPr>
          <w:noProof/>
        </w:rPr>
        <w:t>Závěr</w:t>
      </w:r>
      <w:r>
        <w:rPr>
          <w:noProof/>
        </w:rPr>
        <w:tab/>
      </w:r>
      <w:r>
        <w:rPr>
          <w:noProof/>
        </w:rPr>
        <w:fldChar w:fldCharType="begin"/>
      </w:r>
      <w:r>
        <w:rPr>
          <w:noProof/>
        </w:rPr>
        <w:instrText xml:space="preserve"> PAGEREF _Toc477348261 \h </w:instrText>
      </w:r>
      <w:r>
        <w:rPr>
          <w:noProof/>
        </w:rPr>
      </w:r>
      <w:r>
        <w:rPr>
          <w:noProof/>
        </w:rPr>
        <w:fldChar w:fldCharType="separate"/>
      </w:r>
      <w:r>
        <w:rPr>
          <w:noProof/>
        </w:rPr>
        <w:t>7</w:t>
      </w:r>
      <w:r>
        <w:rPr>
          <w:noProof/>
        </w:rPr>
        <w:fldChar w:fldCharType="end"/>
      </w:r>
    </w:p>
    <w:p w:rsidR="00275908" w:rsidRPr="00275908" w:rsidRDefault="00275908" w:rsidP="00275908">
      <w:r>
        <w:fldChar w:fldCharType="end"/>
      </w:r>
    </w:p>
    <w:p w:rsidR="0020298D" w:rsidRDefault="0020298D" w:rsidP="007138A9">
      <w:pPr>
        <w:pStyle w:val="IVnadpis2"/>
        <w:numPr>
          <w:ilvl w:val="0"/>
          <w:numId w:val="8"/>
        </w:numPr>
      </w:pPr>
      <w:bookmarkStart w:id="1" w:name="_Toc477348254"/>
      <w:r>
        <w:t>Úvod</w:t>
      </w:r>
      <w:bookmarkEnd w:id="1"/>
    </w:p>
    <w:p w:rsidR="00F96AF6" w:rsidRDefault="001E7550" w:rsidP="00FB5B52">
      <w:r>
        <w:t>Strategie</w:t>
      </w:r>
      <w:r w:rsidR="00486D04">
        <w:t xml:space="preserve"> rozvoje územního obvodu (</w:t>
      </w:r>
      <w:r>
        <w:t>S</w:t>
      </w:r>
      <w:r w:rsidR="00486D04">
        <w:t>ROK) je zpracováván</w:t>
      </w:r>
      <w:r>
        <w:t>a</w:t>
      </w:r>
      <w:r w:rsidR="00486D04">
        <w:t xml:space="preserve"> dle zákona č.</w:t>
      </w:r>
      <w:r w:rsidR="00B2368F">
        <w:t> 248/2000 </w:t>
      </w:r>
      <w:r w:rsidR="00486D04">
        <w:t>Sb., o podpoře regionálního rozvoje. Zákon také předpokládá pravidelné vyhodnocování dokumentu a jeho provázání se Strategií regionálního rozvoje ČR.</w:t>
      </w:r>
      <w:r w:rsidR="00E22661">
        <w:t xml:space="preserve"> </w:t>
      </w:r>
    </w:p>
    <w:p w:rsidR="00EE2B57" w:rsidRDefault="00F96AF6" w:rsidP="00F96AF6">
      <w:pPr>
        <w:pStyle w:val="Zkladntextodsazen"/>
        <w:spacing w:after="120"/>
        <w:ind w:left="0"/>
        <w:jc w:val="both"/>
        <w:rPr>
          <w:rFonts w:ascii="Arial" w:hAnsi="Arial" w:cs="Arial"/>
        </w:rPr>
      </w:pPr>
      <w:r w:rsidRPr="00F96AF6">
        <w:rPr>
          <w:rFonts w:ascii="Arial" w:hAnsi="Arial" w:cs="Arial"/>
        </w:rPr>
        <w:t xml:space="preserve">SROK je dokumentem, který zasahuje prakticky do všech činností Olomouckého kraje. Dokument se využívá k vyjádření souladu se záměry subjektů v území, které žádají o dotaci v dotačních programech Olomouckého kraje i některých dotačních programech EU. </w:t>
      </w:r>
    </w:p>
    <w:p w:rsidR="00EE2B57" w:rsidRPr="009C36AE" w:rsidRDefault="00EE2B57" w:rsidP="00EE2B57">
      <w:r w:rsidRPr="00F96AF6">
        <w:t>SROK slouží také k práci se Strategií regionálního rozvoje ČR, jako podklad pro tvorbu samosprávných koncepcí OK, k nastavení priorit u dokumentů obcí, mikroregionů atd. Proto</w:t>
      </w:r>
      <w:r w:rsidRPr="00BE757A">
        <w:t xml:space="preserve"> na</w:t>
      </w:r>
      <w:r>
        <w:t>stavení priorit SROK vychází z </w:t>
      </w:r>
      <w:r w:rsidRPr="00BE757A">
        <w:t xml:space="preserve">návrhu odborníků, </w:t>
      </w:r>
      <w:r w:rsidRPr="009C36AE">
        <w:t>který je konzultován se zástupci samosprávy i subjektů v území.</w:t>
      </w:r>
    </w:p>
    <w:p w:rsidR="000770B3" w:rsidRDefault="000770B3" w:rsidP="000770B3">
      <w:pPr>
        <w:pStyle w:val="Zkladntextodsazen"/>
        <w:spacing w:after="120"/>
        <w:ind w:left="0"/>
        <w:jc w:val="both"/>
        <w:rPr>
          <w:rFonts w:ascii="Arial" w:hAnsi="Arial" w:cs="Arial"/>
        </w:rPr>
      </w:pPr>
      <w:r>
        <w:rPr>
          <w:rFonts w:ascii="Arial" w:hAnsi="Arial" w:cs="Arial"/>
        </w:rPr>
        <w:t xml:space="preserve">Pro plánování je zpracováván Tříletý akční plán SROK. Tříletý akční plán se soustředí na klíčové činnosti Olomouckého kraje, proto obsahuje dotační programy, činnosti nad 5 mil. Kč, případně další činnosti označené jako klíčové z hlediska rozvoje kraje. </w:t>
      </w:r>
    </w:p>
    <w:p w:rsidR="00EE2B57" w:rsidRDefault="000770B3" w:rsidP="000770B3">
      <w:r>
        <w:t>K</w:t>
      </w:r>
      <w:r w:rsidR="00EE2B57" w:rsidRPr="009C36AE">
        <w:t xml:space="preserve">aždoročně </w:t>
      </w:r>
      <w:r>
        <w:t xml:space="preserve">je </w:t>
      </w:r>
      <w:r w:rsidR="00EE2B57" w:rsidRPr="009C36AE">
        <w:t>zpracováno vyhodnocení plnění priorit SROK. Vyhodnocení SROK se omezujeme pouze na činnost Olomouckého kraje, tedy tu část, kterou mohou Zastupitelstvo Olomouckého kraje a další orgány kraje přímo ovlivnit.</w:t>
      </w:r>
      <w:r w:rsidR="00EE2B57" w:rsidRPr="00EE2B57">
        <w:t xml:space="preserve"> </w:t>
      </w:r>
      <w:r>
        <w:t xml:space="preserve">Zpracované vyhodnocení je širší než tříletý akční plán a zahrnuje všechny rozvojové činnosti. </w:t>
      </w:r>
      <w:r w:rsidR="00EE2B57">
        <w:t>Hlavní zjištění z </w:t>
      </w:r>
      <w:r>
        <w:t>vy</w:t>
      </w:r>
      <w:r w:rsidR="00EE2B57">
        <w:t>hodnocení plnění SROK jsou obsahem této zprávy</w:t>
      </w:r>
      <w:r>
        <w:t>.</w:t>
      </w:r>
      <w:r w:rsidRPr="000770B3">
        <w:t xml:space="preserve"> </w:t>
      </w:r>
    </w:p>
    <w:p w:rsidR="00EE2B57" w:rsidRDefault="000770B3" w:rsidP="00817FA3">
      <w:r>
        <w:t>Vyhodnocení je po schválení Zastupitelstvem Olomouckého kraje zveřejněno a předáno</w:t>
      </w:r>
      <w:r w:rsidR="00EE2B57" w:rsidRPr="00EE2B57">
        <w:t xml:space="preserve"> </w:t>
      </w:r>
      <w:r w:rsidR="00EE2B57">
        <w:t>Ministerstv</w:t>
      </w:r>
      <w:r>
        <w:t>u</w:t>
      </w:r>
      <w:r w:rsidR="00EE2B57">
        <w:t xml:space="preserve"> pro místní rozvoj</w:t>
      </w:r>
      <w:r>
        <w:t>. S</w:t>
      </w:r>
      <w:r w:rsidR="00EE2B57">
        <w:t xml:space="preserve">oučasně </w:t>
      </w:r>
      <w:r w:rsidR="00626BE3">
        <w:t>je vyhodnocení podkladem pro práci s Regionálním akčním plánem Strategie regionálního rozvoje ČR.</w:t>
      </w:r>
    </w:p>
    <w:p w:rsidR="0020298D" w:rsidRPr="009D6C58" w:rsidRDefault="0020298D" w:rsidP="0090508E">
      <w:pPr>
        <w:pStyle w:val="IVnadpis2"/>
        <w:numPr>
          <w:ilvl w:val="0"/>
          <w:numId w:val="8"/>
        </w:numPr>
      </w:pPr>
      <w:bookmarkStart w:id="2" w:name="_Toc446057703"/>
      <w:bookmarkStart w:id="3" w:name="_Toc477348255"/>
      <w:r w:rsidRPr="009D6C58">
        <w:t>Sběr dat</w:t>
      </w:r>
      <w:bookmarkEnd w:id="2"/>
      <w:bookmarkEnd w:id="3"/>
    </w:p>
    <w:p w:rsidR="000F44AC" w:rsidRDefault="00E22661" w:rsidP="000F44AC">
      <w:r>
        <w:t>SROK</w:t>
      </w:r>
      <w:r w:rsidR="00096113">
        <w:t xml:space="preserve"> představuje propojení mezi strategickými materiály za různé oblasti (vzdělávání, sociální služby, životní prostředí atd.). </w:t>
      </w:r>
      <w:r w:rsidR="004F66D8">
        <w:t>Ideálem je</w:t>
      </w:r>
      <w:r w:rsidR="000F44AC">
        <w:t xml:space="preserve"> systematick</w:t>
      </w:r>
      <w:r w:rsidR="004F66D8">
        <w:t>á</w:t>
      </w:r>
      <w:r w:rsidR="000F44AC">
        <w:t xml:space="preserve"> pr</w:t>
      </w:r>
      <w:r w:rsidR="004F66D8">
        <w:t>á</w:t>
      </w:r>
      <w:r w:rsidR="000F44AC">
        <w:t>c</w:t>
      </w:r>
      <w:r w:rsidR="004F66D8">
        <w:t>e</w:t>
      </w:r>
      <w:r w:rsidR="000F44AC">
        <w:t xml:space="preserve"> se všemi strategiemi tak, aby vyhodnocení </w:t>
      </w:r>
      <w:r>
        <w:t>SROK</w:t>
      </w:r>
      <w:r w:rsidR="000F44AC">
        <w:t xml:space="preserve"> představovalo </w:t>
      </w:r>
      <w:r w:rsidR="00172922">
        <w:t>„pouze“</w:t>
      </w:r>
      <w:r w:rsidR="000F44AC">
        <w:t xml:space="preserve"> souhrn výstupů z těchto strategií a zhodnocení z</w:t>
      </w:r>
      <w:r w:rsidR="00817FA3">
        <w:t>e</w:t>
      </w:r>
      <w:r w:rsidR="000F44AC">
        <w:t> </w:t>
      </w:r>
      <w:r w:rsidR="00817FA3">
        <w:t>souhrnného</w:t>
      </w:r>
      <w:r w:rsidR="000F44AC">
        <w:t xml:space="preserve"> hlediska.</w:t>
      </w:r>
      <w:r w:rsidR="004F66D8">
        <w:t xml:space="preserve"> K tomu zatím nedochází.</w:t>
      </w:r>
    </w:p>
    <w:p w:rsidR="00434A37" w:rsidRDefault="00817FA3" w:rsidP="00817FA3">
      <w:r>
        <w:lastRenderedPageBreak/>
        <w:t>V</w:t>
      </w:r>
      <w:r w:rsidR="004F66D8">
        <w:t>yhodnocení</w:t>
      </w:r>
      <w:r w:rsidR="005A7C36">
        <w:t xml:space="preserve"> </w:t>
      </w:r>
      <w:r w:rsidR="00E22661">
        <w:t>SROK</w:t>
      </w:r>
      <w:r w:rsidR="005A7C36">
        <w:t xml:space="preserve"> </w:t>
      </w:r>
      <w:r>
        <w:t>bylo zpracováno na základě podkladů od odborů krajského úřadu</w:t>
      </w:r>
      <w:r w:rsidR="007C0D27">
        <w:t>,</w:t>
      </w:r>
      <w:r>
        <w:t xml:space="preserve"> mimo </w:t>
      </w:r>
      <w:r w:rsidR="001E2B5C">
        <w:t xml:space="preserve">čistě </w:t>
      </w:r>
      <w:r w:rsidR="004E002B">
        <w:t>servisních odborů (</w:t>
      </w:r>
      <w:r w:rsidR="009C36AE" w:rsidRPr="009C36AE">
        <w:t>Odbor</w:t>
      </w:r>
      <w:r w:rsidR="009C36AE">
        <w:t>u</w:t>
      </w:r>
      <w:r w:rsidR="009C36AE" w:rsidRPr="009C36AE">
        <w:t xml:space="preserve"> kontroly</w:t>
      </w:r>
      <w:r w:rsidR="009C36AE">
        <w:t xml:space="preserve">, </w:t>
      </w:r>
      <w:r w:rsidR="009C36AE" w:rsidRPr="009C36AE">
        <w:t>Odbor</w:t>
      </w:r>
      <w:r w:rsidR="009C36AE">
        <w:t>u</w:t>
      </w:r>
      <w:r w:rsidR="009C36AE" w:rsidRPr="009C36AE">
        <w:t xml:space="preserve"> majetkov</w:t>
      </w:r>
      <w:r w:rsidR="009C36AE">
        <w:t>ého</w:t>
      </w:r>
      <w:r w:rsidR="009C36AE" w:rsidRPr="009C36AE">
        <w:t>, právní</w:t>
      </w:r>
      <w:r w:rsidR="009C36AE">
        <w:t>ho</w:t>
      </w:r>
      <w:r w:rsidR="009C36AE" w:rsidRPr="009C36AE">
        <w:t xml:space="preserve"> a správních činností</w:t>
      </w:r>
      <w:r w:rsidR="009C36AE">
        <w:t xml:space="preserve"> a </w:t>
      </w:r>
      <w:r w:rsidR="009C36AE" w:rsidRPr="009C36AE">
        <w:t>Útvar</w:t>
      </w:r>
      <w:r w:rsidR="009C36AE">
        <w:t>u</w:t>
      </w:r>
      <w:r w:rsidR="009C36AE" w:rsidRPr="009C36AE">
        <w:t xml:space="preserve"> interního auditu</w:t>
      </w:r>
      <w:r w:rsidR="004E002B">
        <w:t>)</w:t>
      </w:r>
      <w:r w:rsidR="005A7C36">
        <w:t>.</w:t>
      </w:r>
      <w:r w:rsidR="003206F4">
        <w:t xml:space="preserve"> Sběr údajů o realizovaných a připravovaných činnostech se uskutečnil v lednu a únoru roku 201</w:t>
      </w:r>
      <w:r w:rsidR="00172922">
        <w:t>8</w:t>
      </w:r>
      <w:r w:rsidR="003206F4">
        <w:t xml:space="preserve">. </w:t>
      </w:r>
    </w:p>
    <w:p w:rsidR="00CB3475" w:rsidRPr="00B6589E" w:rsidRDefault="00434A37" w:rsidP="000F44AC">
      <w:r w:rsidRPr="00B6589E">
        <w:t>V roce 201</w:t>
      </w:r>
      <w:r w:rsidR="00DB4948" w:rsidRPr="00B6589E">
        <w:t>7</w:t>
      </w:r>
      <w:r w:rsidRPr="00B6589E">
        <w:t xml:space="preserve"> činily výdaje Olomouckého kraje 1</w:t>
      </w:r>
      <w:r w:rsidR="00DB4948" w:rsidRPr="00B6589E">
        <w:t>3</w:t>
      </w:r>
      <w:r w:rsidR="001830AA" w:rsidRPr="00B6589E">
        <w:t>,</w:t>
      </w:r>
      <w:r w:rsidR="00DB4948" w:rsidRPr="00B6589E">
        <w:t>5</w:t>
      </w:r>
      <w:r w:rsidR="00B2368F" w:rsidRPr="00B6589E">
        <w:t> </w:t>
      </w:r>
      <w:r w:rsidRPr="00B6589E">
        <w:t>mld.</w:t>
      </w:r>
      <w:r w:rsidR="00B2368F" w:rsidRPr="00B6589E">
        <w:t xml:space="preserve"> </w:t>
      </w:r>
      <w:r w:rsidRPr="00B6589E">
        <w:t xml:space="preserve">Kč, z toho </w:t>
      </w:r>
      <w:r w:rsidR="00DB4948" w:rsidRPr="00B6589E">
        <w:t>8</w:t>
      </w:r>
      <w:r w:rsidR="00982CBB" w:rsidRPr="00B6589E">
        <w:t>,</w:t>
      </w:r>
      <w:r w:rsidR="00DB4948" w:rsidRPr="00B6589E">
        <w:t>1</w:t>
      </w:r>
      <w:r w:rsidR="00B2368F" w:rsidRPr="00B6589E">
        <w:t> </w:t>
      </w:r>
      <w:r w:rsidRPr="00B6589E">
        <w:t>mld.</w:t>
      </w:r>
      <w:r w:rsidR="00B2368F" w:rsidRPr="00B6589E">
        <w:t> </w:t>
      </w:r>
      <w:r w:rsidRPr="00B6589E">
        <w:t>Kč představovaly účelové investiční a neinvestiční dotace, které přes rozpočet kraje pouze „protekly“.</w:t>
      </w:r>
      <w:r w:rsidR="00CB3475" w:rsidRPr="00B6589E">
        <w:t xml:space="preserve"> Jedinou výjimkou byla účelová dotace na zajištění sociálních služeb, kdy </w:t>
      </w:r>
      <w:r w:rsidR="00D321B0" w:rsidRPr="00B6589E">
        <w:t>Olomoucký kraj odpovídá za způsob zajištění sociálních služeb a určuje, komu a jaká výše dotace bude přiznána.</w:t>
      </w:r>
    </w:p>
    <w:p w:rsidR="00E6462B" w:rsidRPr="00B6589E" w:rsidRDefault="00434A37" w:rsidP="000F44AC">
      <w:r w:rsidRPr="00B6589E">
        <w:t xml:space="preserve">Hodnocení </w:t>
      </w:r>
      <w:r w:rsidR="00E22661" w:rsidRPr="00B6589E">
        <w:t>SROK</w:t>
      </w:r>
      <w:r w:rsidRPr="00B6589E">
        <w:t xml:space="preserve"> zahrnuje činnosti, na které by</w:t>
      </w:r>
      <w:r w:rsidR="001778CF" w:rsidRPr="00B6589E">
        <w:t xml:space="preserve">lo vynaloženo </w:t>
      </w:r>
      <w:r w:rsidR="00AA1F6C">
        <w:t>přes</w:t>
      </w:r>
      <w:r w:rsidR="001778CF" w:rsidRPr="00B6589E">
        <w:t xml:space="preserve"> 2,</w:t>
      </w:r>
      <w:r w:rsidR="009E2503">
        <w:t>7</w:t>
      </w:r>
      <w:r w:rsidR="00592EAC" w:rsidRPr="00B6589E">
        <w:t> </w:t>
      </w:r>
      <w:r w:rsidR="001778CF" w:rsidRPr="00B6589E">
        <w:t>mld.</w:t>
      </w:r>
      <w:r w:rsidR="00592EAC" w:rsidRPr="00B6589E">
        <w:t> </w:t>
      </w:r>
      <w:r w:rsidR="001778CF" w:rsidRPr="00B6589E">
        <w:t xml:space="preserve">Kč, což </w:t>
      </w:r>
      <w:r w:rsidR="00F746F8" w:rsidRPr="00B6589E">
        <w:t xml:space="preserve">zahrnuje </w:t>
      </w:r>
      <w:r w:rsidR="00A3594B" w:rsidRPr="00B6589E">
        <w:t>velkou část</w:t>
      </w:r>
      <w:r w:rsidR="00F746F8" w:rsidRPr="00B6589E">
        <w:t xml:space="preserve"> </w:t>
      </w:r>
      <w:r w:rsidR="007C0D27" w:rsidRPr="00B6589E">
        <w:t>výdajů</w:t>
      </w:r>
      <w:r w:rsidR="001778CF" w:rsidRPr="00B6589E">
        <w:t xml:space="preserve"> Olomouckého kraje</w:t>
      </w:r>
      <w:r w:rsidR="00F746F8" w:rsidRPr="00B6589E">
        <w:t xml:space="preserve"> mimo provoz</w:t>
      </w:r>
      <w:r w:rsidR="001778CF" w:rsidRPr="00B6589E">
        <w:t>.</w:t>
      </w:r>
      <w:r w:rsidR="00E6462B" w:rsidRPr="00B6589E">
        <w:t xml:space="preserve"> </w:t>
      </w:r>
    </w:p>
    <w:p w:rsidR="00F746F8" w:rsidRPr="009D6C58" w:rsidRDefault="00F746F8" w:rsidP="0090508E">
      <w:pPr>
        <w:pStyle w:val="IVnadpis2"/>
        <w:numPr>
          <w:ilvl w:val="0"/>
          <w:numId w:val="8"/>
        </w:numPr>
      </w:pPr>
      <w:bookmarkStart w:id="4" w:name="_Toc446057704"/>
      <w:bookmarkStart w:id="5" w:name="_Toc477348256"/>
      <w:r w:rsidRPr="009D6C58">
        <w:t>Sledované indikátory</w:t>
      </w:r>
      <w:bookmarkEnd w:id="4"/>
      <w:bookmarkEnd w:id="5"/>
    </w:p>
    <w:p w:rsidR="00A828B8" w:rsidRDefault="00262C85" w:rsidP="00A828B8">
      <w:r>
        <w:t xml:space="preserve">V současné době nejsou dány povinné indikátory, které má </w:t>
      </w:r>
      <w:r w:rsidR="00E22661">
        <w:t>SROK</w:t>
      </w:r>
      <w:r>
        <w:t xml:space="preserve"> sledovat, ani z úrovně ministerstev nejsou vyžadovány konkrétní údaje, které by měl </w:t>
      </w:r>
      <w:r w:rsidR="00E22661">
        <w:t>SROK</w:t>
      </w:r>
      <w:r>
        <w:t xml:space="preserve"> sledovat.</w:t>
      </w:r>
    </w:p>
    <w:p w:rsidR="007138A9" w:rsidRDefault="007138A9" w:rsidP="00A828B8">
      <w:r>
        <w:t xml:space="preserve">Pro účely </w:t>
      </w:r>
      <w:r w:rsidR="00705C3C">
        <w:t xml:space="preserve">číselného vyjádření je sledován „počet podpořených činností“ Olomouckého kraje. Kde </w:t>
      </w:r>
      <w:r w:rsidR="00835752" w:rsidRPr="00705C3C">
        <w:t xml:space="preserve">se </w:t>
      </w:r>
      <w:r w:rsidR="00705C3C">
        <w:t>č</w:t>
      </w:r>
      <w:r w:rsidR="00705C3C" w:rsidRPr="00705C3C">
        <w:t>inností rozumí samostatné projekty</w:t>
      </w:r>
      <w:r w:rsidR="001C32E0">
        <w:t>,</w:t>
      </w:r>
      <w:r w:rsidR="00705C3C">
        <w:t xml:space="preserve"> další aktivity</w:t>
      </w:r>
      <w:r w:rsidR="00705C3C" w:rsidRPr="00705C3C">
        <w:t xml:space="preserve"> související s výdaji odborů a organizací zřizovaných krajem</w:t>
      </w:r>
      <w:r w:rsidR="001C32E0">
        <w:t>,</w:t>
      </w:r>
      <w:r w:rsidR="00705C3C" w:rsidRPr="00705C3C">
        <w:t xml:space="preserve"> včetně neinvestičních plnění cílů koncepcí.</w:t>
      </w:r>
    </w:p>
    <w:p w:rsidR="00705C3C" w:rsidRDefault="00705C3C" w:rsidP="00A828B8">
      <w:r>
        <w:t xml:space="preserve">Z důvodu možnosti </w:t>
      </w:r>
      <w:r w:rsidR="00E4755F">
        <w:t xml:space="preserve">porovnat význam činností jsou sledovány vynaložené </w:t>
      </w:r>
      <w:r w:rsidR="00597687">
        <w:t>výdaje</w:t>
      </w:r>
      <w:r w:rsidR="00E4755F">
        <w:t>. Dále je uvedeno, jestli se jedná o investiční nebo neinvestiční činnost.</w:t>
      </w:r>
    </w:p>
    <w:p w:rsidR="00E4755F" w:rsidRDefault="00E4755F" w:rsidP="00A828B8">
      <w:r>
        <w:t xml:space="preserve">Mimo tyto základní indikátory </w:t>
      </w:r>
      <w:r w:rsidR="00E22661">
        <w:t>SROK</w:t>
      </w:r>
      <w:r>
        <w:t xml:space="preserve"> jsou uváděny i hlavní indikátory, které odbory samy sledují, ať z důvodu hodnocení vlastních koncepcí nebo </w:t>
      </w:r>
      <w:r w:rsidR="00171AE5">
        <w:t>doložení</w:t>
      </w:r>
      <w:r>
        <w:t xml:space="preserve"> výstupů dotačních projektů.</w:t>
      </w:r>
    </w:p>
    <w:p w:rsidR="0020298D" w:rsidRDefault="0020298D" w:rsidP="00E477C7">
      <w:pPr>
        <w:pStyle w:val="IVnadpis2"/>
        <w:numPr>
          <w:ilvl w:val="0"/>
          <w:numId w:val="8"/>
        </w:numPr>
      </w:pPr>
      <w:bookmarkStart w:id="6" w:name="_Toc477348257"/>
      <w:r>
        <w:t>Základní priority a jejich plnění</w:t>
      </w:r>
      <w:bookmarkEnd w:id="6"/>
    </w:p>
    <w:p w:rsidR="00BA4EE9" w:rsidRPr="00AE6801" w:rsidRDefault="00E22661" w:rsidP="001B0CC3">
      <w:r>
        <w:t>SROK</w:t>
      </w:r>
      <w:r w:rsidR="00AE6801">
        <w:t xml:space="preserve"> stanovuje celkem šest dlouhodobých priorit, které mají přispět k vyváženému rozvoji Olomouckého kraje.</w:t>
      </w:r>
    </w:p>
    <w:p w:rsidR="003F3C75" w:rsidRPr="00AE6801" w:rsidRDefault="003F3C75" w:rsidP="003F3C75">
      <w:pPr>
        <w:ind w:left="360"/>
      </w:pPr>
      <w:r w:rsidRPr="00AE6801">
        <w:rPr>
          <w:bCs/>
        </w:rPr>
        <w:t>A. Rozvoj lidských zdrojů</w:t>
      </w:r>
    </w:p>
    <w:p w:rsidR="003F3C75" w:rsidRPr="00AE6801" w:rsidRDefault="003F3C75" w:rsidP="003F3C75">
      <w:pPr>
        <w:ind w:left="360"/>
      </w:pPr>
      <w:r w:rsidRPr="00AE6801">
        <w:rPr>
          <w:bCs/>
        </w:rPr>
        <w:t>B. Podmínky pro život obyvatel</w:t>
      </w:r>
    </w:p>
    <w:p w:rsidR="003F3C75" w:rsidRPr="00AE6801" w:rsidRDefault="003F3C75" w:rsidP="003F3C75">
      <w:pPr>
        <w:ind w:left="360"/>
      </w:pPr>
      <w:r w:rsidRPr="00AE6801">
        <w:rPr>
          <w:bCs/>
        </w:rPr>
        <w:t>C. Ekonomika a inovace</w:t>
      </w:r>
    </w:p>
    <w:p w:rsidR="003F3C75" w:rsidRPr="00AE6801" w:rsidRDefault="003F3C75" w:rsidP="003F3C75">
      <w:pPr>
        <w:ind w:left="360"/>
      </w:pPr>
      <w:r w:rsidRPr="00AE6801">
        <w:rPr>
          <w:bCs/>
        </w:rPr>
        <w:t>D. Dopravní dostupnost a obslužnost</w:t>
      </w:r>
    </w:p>
    <w:p w:rsidR="003F3C75" w:rsidRPr="00AE6801" w:rsidRDefault="003F3C75" w:rsidP="003F3C75">
      <w:pPr>
        <w:ind w:left="360"/>
      </w:pPr>
      <w:r w:rsidRPr="00AE6801">
        <w:rPr>
          <w:bCs/>
        </w:rPr>
        <w:t>E. Udržitelný rozvoj</w:t>
      </w:r>
    </w:p>
    <w:p w:rsidR="003F3C75" w:rsidRPr="00AE6801" w:rsidRDefault="003F3C75" w:rsidP="003F3C75">
      <w:pPr>
        <w:ind w:left="360"/>
      </w:pPr>
      <w:r w:rsidRPr="00AE6801">
        <w:rPr>
          <w:bCs/>
        </w:rPr>
        <w:t>F. Efektivní správa území</w:t>
      </w:r>
    </w:p>
    <w:p w:rsidR="00534246" w:rsidRDefault="00534246" w:rsidP="00534246">
      <w:r>
        <w:t>Těchto šest dlouhodobých priorit se skládá z 35 střednědobých priorit, které postihují spektrum činností vedoucích k rozvoji kraje do roku 2020.</w:t>
      </w:r>
    </w:p>
    <w:p w:rsidR="00534246" w:rsidRDefault="00534246" w:rsidP="00534246">
      <w:r>
        <w:t>Samotný Olomoucký kraj však nepokrývá, ani nemůže pokrýt</w:t>
      </w:r>
      <w:r w:rsidR="007C0D27">
        <w:t>,</w:t>
      </w:r>
      <w:r>
        <w:t xml:space="preserve"> celé spektrum rozvojových aktivit. Proto se ve vyhodnocení ukazuje, že činnost kraje se některých priorit pouze dotýká (např. železniční doprava), v některých se soustředí na podporu druhých subjektů (např. podpora podnikání) a v jiných se naopak výrazně angažuje</w:t>
      </w:r>
      <w:r w:rsidR="001C32E0">
        <w:t xml:space="preserve"> samotn</w:t>
      </w:r>
      <w:r w:rsidR="007C0D27">
        <w:t>ý</w:t>
      </w:r>
      <w:r w:rsidR="001C32E0">
        <w:t xml:space="preserve"> kraj</w:t>
      </w:r>
      <w:r>
        <w:t xml:space="preserve"> (např. silniční infrastruktura).</w:t>
      </w:r>
    </w:p>
    <w:p w:rsidR="004E002B" w:rsidRDefault="004E002B" w:rsidP="00F746F8"/>
    <w:tbl>
      <w:tblPr>
        <w:tblStyle w:val="Svtlstnovnzvraznn1"/>
        <w:tblW w:w="9288" w:type="dxa"/>
        <w:tblLayout w:type="fixed"/>
        <w:tblLook w:val="04A0" w:firstRow="1" w:lastRow="0" w:firstColumn="1" w:lastColumn="0" w:noHBand="0" w:noVBand="1"/>
      </w:tblPr>
      <w:tblGrid>
        <w:gridCol w:w="5659"/>
        <w:gridCol w:w="1209"/>
        <w:gridCol w:w="1210"/>
        <w:gridCol w:w="1210"/>
      </w:tblGrid>
      <w:tr w:rsidR="003F3C75" w:rsidRPr="003F3C75" w:rsidTr="00DF2447">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1B0CC3" w:rsidRPr="003F3C75" w:rsidRDefault="001B0CC3" w:rsidP="00760ADB">
            <w:pPr>
              <w:spacing w:after="0"/>
              <w:jc w:val="center"/>
              <w:rPr>
                <w:color w:val="auto"/>
                <w:sz w:val="20"/>
                <w:szCs w:val="20"/>
              </w:rPr>
            </w:pPr>
            <w:r w:rsidRPr="003F3C75">
              <w:rPr>
                <w:bCs w:val="0"/>
                <w:color w:val="auto"/>
                <w:sz w:val="20"/>
                <w:szCs w:val="20"/>
              </w:rPr>
              <w:lastRenderedPageBreak/>
              <w:t xml:space="preserve">Plnění priorit </w:t>
            </w:r>
            <w:r w:rsidR="00E22661">
              <w:rPr>
                <w:bCs w:val="0"/>
                <w:color w:val="auto"/>
                <w:sz w:val="20"/>
                <w:szCs w:val="20"/>
              </w:rPr>
              <w:t>SROK</w:t>
            </w:r>
            <w:r w:rsidRPr="003F3C75">
              <w:rPr>
                <w:bCs w:val="0"/>
                <w:color w:val="auto"/>
                <w:sz w:val="20"/>
                <w:szCs w:val="20"/>
              </w:rPr>
              <w:t xml:space="preserve"> v roce </w:t>
            </w:r>
            <w:r w:rsidR="00041757">
              <w:rPr>
                <w:bCs w:val="0"/>
                <w:color w:val="auto"/>
                <w:sz w:val="20"/>
                <w:szCs w:val="20"/>
              </w:rPr>
              <w:t>201</w:t>
            </w:r>
            <w:r w:rsidR="00760ADB">
              <w:rPr>
                <w:bCs w:val="0"/>
                <w:color w:val="auto"/>
                <w:sz w:val="20"/>
                <w:szCs w:val="20"/>
              </w:rPr>
              <w:t>7</w:t>
            </w:r>
          </w:p>
        </w:tc>
        <w:tc>
          <w:tcPr>
            <w:tcW w:w="1209" w:type="dxa"/>
            <w:noWrap/>
            <w:vAlign w:val="center"/>
            <w:hideMark/>
          </w:tcPr>
          <w:p w:rsidR="001B0CC3" w:rsidRPr="003F3C75" w:rsidRDefault="001B0CC3" w:rsidP="009D6C58">
            <w:pPr>
              <w:spacing w:after="0"/>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3F3C75">
              <w:rPr>
                <w:bCs w:val="0"/>
                <w:color w:val="auto"/>
                <w:sz w:val="20"/>
                <w:szCs w:val="20"/>
              </w:rPr>
              <w:t>Počet podp</w:t>
            </w:r>
            <w:r w:rsidR="009D6C58">
              <w:rPr>
                <w:bCs w:val="0"/>
                <w:color w:val="auto"/>
                <w:sz w:val="20"/>
                <w:szCs w:val="20"/>
              </w:rPr>
              <w:t>orovaných</w:t>
            </w:r>
            <w:r w:rsidRPr="003F3C75">
              <w:rPr>
                <w:bCs w:val="0"/>
                <w:color w:val="auto"/>
                <w:sz w:val="20"/>
                <w:szCs w:val="20"/>
              </w:rPr>
              <w:t xml:space="preserve"> činností</w:t>
            </w:r>
          </w:p>
        </w:tc>
        <w:tc>
          <w:tcPr>
            <w:tcW w:w="1210" w:type="dxa"/>
            <w:noWrap/>
            <w:vAlign w:val="center"/>
            <w:hideMark/>
          </w:tcPr>
          <w:p w:rsidR="001B0CC3" w:rsidRPr="003F3C75" w:rsidRDefault="00597687" w:rsidP="003F3C75">
            <w:pPr>
              <w:spacing w:after="0"/>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Pr>
                <w:color w:val="auto"/>
                <w:sz w:val="20"/>
                <w:szCs w:val="20"/>
              </w:rPr>
              <w:t>Výdaje</w:t>
            </w:r>
            <w:r w:rsidR="001B0CC3" w:rsidRPr="003F3C75">
              <w:rPr>
                <w:color w:val="auto"/>
                <w:sz w:val="20"/>
                <w:szCs w:val="20"/>
              </w:rPr>
              <w:t xml:space="preserve"> OK </w:t>
            </w:r>
            <w:r w:rsidR="001B0CC3" w:rsidRPr="003F3C75">
              <w:rPr>
                <w:b w:val="0"/>
                <w:bCs w:val="0"/>
                <w:color w:val="auto"/>
                <w:sz w:val="20"/>
                <w:szCs w:val="20"/>
              </w:rPr>
              <w:br/>
            </w:r>
            <w:r w:rsidR="001B0CC3" w:rsidRPr="003F3C75">
              <w:rPr>
                <w:color w:val="auto"/>
                <w:sz w:val="20"/>
                <w:szCs w:val="20"/>
              </w:rPr>
              <w:t>(v tis. Kč)</w:t>
            </w:r>
          </w:p>
        </w:tc>
        <w:tc>
          <w:tcPr>
            <w:tcW w:w="1210" w:type="dxa"/>
            <w:noWrap/>
            <w:vAlign w:val="center"/>
            <w:hideMark/>
          </w:tcPr>
          <w:p w:rsidR="001B0CC3" w:rsidRPr="003F3C75" w:rsidRDefault="001B0CC3" w:rsidP="00597687">
            <w:pPr>
              <w:spacing w:after="0"/>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3F3C75">
              <w:rPr>
                <w:color w:val="auto"/>
                <w:sz w:val="20"/>
                <w:szCs w:val="20"/>
              </w:rPr>
              <w:t xml:space="preserve">Celkové </w:t>
            </w:r>
            <w:r w:rsidR="00597687">
              <w:rPr>
                <w:color w:val="auto"/>
                <w:sz w:val="20"/>
                <w:szCs w:val="20"/>
              </w:rPr>
              <w:t>výdaje</w:t>
            </w:r>
            <w:r w:rsidRPr="003F3C75">
              <w:rPr>
                <w:color w:val="auto"/>
                <w:sz w:val="20"/>
                <w:szCs w:val="20"/>
              </w:rPr>
              <w:t xml:space="preserve"> </w:t>
            </w:r>
            <w:r w:rsidRPr="003F3C75">
              <w:rPr>
                <w:b w:val="0"/>
                <w:bCs w:val="0"/>
                <w:color w:val="auto"/>
                <w:sz w:val="20"/>
                <w:szCs w:val="20"/>
              </w:rPr>
              <w:br/>
            </w:r>
            <w:r w:rsidRPr="003F3C75">
              <w:rPr>
                <w:color w:val="auto"/>
                <w:sz w:val="20"/>
                <w:szCs w:val="20"/>
              </w:rPr>
              <w:t>(v tis. Kč)</w:t>
            </w:r>
          </w:p>
        </w:tc>
      </w:tr>
      <w:tr w:rsidR="00DF2447" w:rsidRPr="003F3C75" w:rsidTr="00DF244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DF2447" w:rsidRPr="003F3C75" w:rsidRDefault="00DF2447" w:rsidP="00DF2447">
            <w:pPr>
              <w:spacing w:after="0"/>
              <w:jc w:val="left"/>
              <w:rPr>
                <w:b w:val="0"/>
                <w:color w:val="auto"/>
                <w:sz w:val="20"/>
                <w:szCs w:val="20"/>
              </w:rPr>
            </w:pPr>
            <w:proofErr w:type="gramStart"/>
            <w:r w:rsidRPr="003F3C75">
              <w:rPr>
                <w:b w:val="0"/>
                <w:color w:val="auto"/>
                <w:sz w:val="20"/>
                <w:szCs w:val="20"/>
              </w:rPr>
              <w:t xml:space="preserve">A.1 </w:t>
            </w:r>
            <w:proofErr w:type="spellStart"/>
            <w:r w:rsidRPr="003F3C75">
              <w:rPr>
                <w:b w:val="0"/>
                <w:color w:val="auto"/>
                <w:sz w:val="20"/>
                <w:szCs w:val="20"/>
              </w:rPr>
              <w:t>Opt</w:t>
            </w:r>
            <w:proofErr w:type="spellEnd"/>
            <w:proofErr w:type="gramEnd"/>
            <w:r w:rsidRPr="003F3C75">
              <w:rPr>
                <w:b w:val="0"/>
                <w:color w:val="auto"/>
                <w:sz w:val="20"/>
                <w:szCs w:val="20"/>
              </w:rPr>
              <w:t>. systému škol a zvyšování kvality vzdělávání</w:t>
            </w:r>
          </w:p>
        </w:tc>
        <w:tc>
          <w:tcPr>
            <w:tcW w:w="1209" w:type="dxa"/>
            <w:noWrap/>
            <w:vAlign w:val="center"/>
            <w:hideMark/>
          </w:tcPr>
          <w:p w:rsidR="00DF2447" w:rsidRPr="00DF2447" w:rsidRDefault="00DF2447" w:rsidP="00DF2447">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DF2447">
              <w:rPr>
                <w:color w:val="auto"/>
                <w:sz w:val="20"/>
                <w:szCs w:val="20"/>
              </w:rPr>
              <w:t>175</w:t>
            </w:r>
          </w:p>
        </w:tc>
        <w:tc>
          <w:tcPr>
            <w:tcW w:w="1210" w:type="dxa"/>
            <w:noWrap/>
            <w:vAlign w:val="center"/>
            <w:hideMark/>
          </w:tcPr>
          <w:p w:rsidR="00DF2447" w:rsidRPr="00DF2447" w:rsidRDefault="00DF2447" w:rsidP="00280999">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DF2447">
              <w:rPr>
                <w:color w:val="auto"/>
                <w:sz w:val="20"/>
                <w:szCs w:val="20"/>
              </w:rPr>
              <w:t>171</w:t>
            </w:r>
            <w:r>
              <w:rPr>
                <w:color w:val="auto"/>
                <w:sz w:val="20"/>
                <w:szCs w:val="20"/>
              </w:rPr>
              <w:t xml:space="preserve"> </w:t>
            </w:r>
            <w:r w:rsidRPr="00DF2447">
              <w:rPr>
                <w:color w:val="auto"/>
                <w:sz w:val="20"/>
                <w:szCs w:val="20"/>
              </w:rPr>
              <w:t>95</w:t>
            </w:r>
            <w:r w:rsidR="00280999">
              <w:rPr>
                <w:color w:val="auto"/>
                <w:sz w:val="20"/>
                <w:szCs w:val="20"/>
              </w:rPr>
              <w:t>5</w:t>
            </w:r>
          </w:p>
        </w:tc>
        <w:tc>
          <w:tcPr>
            <w:tcW w:w="1210" w:type="dxa"/>
            <w:noWrap/>
            <w:vAlign w:val="center"/>
            <w:hideMark/>
          </w:tcPr>
          <w:p w:rsidR="00DF2447" w:rsidRPr="00DF2447" w:rsidRDefault="00DF2447" w:rsidP="00280999">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DF2447">
              <w:rPr>
                <w:color w:val="auto"/>
                <w:sz w:val="20"/>
                <w:szCs w:val="20"/>
              </w:rPr>
              <w:t>179</w:t>
            </w:r>
            <w:r>
              <w:rPr>
                <w:color w:val="auto"/>
                <w:sz w:val="20"/>
                <w:szCs w:val="20"/>
              </w:rPr>
              <w:t xml:space="preserve"> </w:t>
            </w:r>
            <w:r w:rsidRPr="00DF2447">
              <w:rPr>
                <w:color w:val="auto"/>
                <w:sz w:val="20"/>
                <w:szCs w:val="20"/>
              </w:rPr>
              <w:t>7</w:t>
            </w:r>
            <w:r w:rsidR="00280999">
              <w:rPr>
                <w:color w:val="auto"/>
                <w:sz w:val="20"/>
                <w:szCs w:val="20"/>
              </w:rPr>
              <w:t>49</w:t>
            </w:r>
          </w:p>
        </w:tc>
      </w:tr>
      <w:tr w:rsidR="00DF2447" w:rsidRPr="003F3C75" w:rsidTr="00DF2447">
        <w:trPr>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DF2447" w:rsidRPr="003F3C75" w:rsidRDefault="00DF2447" w:rsidP="00DF2447">
            <w:pPr>
              <w:spacing w:after="0"/>
              <w:jc w:val="left"/>
              <w:rPr>
                <w:b w:val="0"/>
                <w:color w:val="auto"/>
                <w:sz w:val="20"/>
                <w:szCs w:val="20"/>
              </w:rPr>
            </w:pPr>
            <w:proofErr w:type="gramStart"/>
            <w:r w:rsidRPr="003F3C75">
              <w:rPr>
                <w:b w:val="0"/>
                <w:color w:val="auto"/>
                <w:sz w:val="20"/>
                <w:szCs w:val="20"/>
              </w:rPr>
              <w:t>A.2 Podpora</w:t>
            </w:r>
            <w:proofErr w:type="gramEnd"/>
            <w:r w:rsidRPr="003F3C75">
              <w:rPr>
                <w:b w:val="0"/>
                <w:color w:val="auto"/>
                <w:sz w:val="20"/>
                <w:szCs w:val="20"/>
              </w:rPr>
              <w:t xml:space="preserve"> zaměstnanosti</w:t>
            </w:r>
          </w:p>
        </w:tc>
        <w:tc>
          <w:tcPr>
            <w:tcW w:w="1209" w:type="dxa"/>
            <w:noWrap/>
            <w:vAlign w:val="center"/>
            <w:hideMark/>
          </w:tcPr>
          <w:p w:rsidR="00DF2447" w:rsidRPr="00DF2447" w:rsidRDefault="00DF2447" w:rsidP="00DF2447">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DF2447">
              <w:rPr>
                <w:color w:val="auto"/>
                <w:sz w:val="20"/>
                <w:szCs w:val="20"/>
              </w:rPr>
              <w:t>37</w:t>
            </w:r>
          </w:p>
        </w:tc>
        <w:tc>
          <w:tcPr>
            <w:tcW w:w="1210" w:type="dxa"/>
            <w:noWrap/>
            <w:vAlign w:val="center"/>
            <w:hideMark/>
          </w:tcPr>
          <w:p w:rsidR="00DF2447" w:rsidRPr="00DF2447" w:rsidRDefault="00DF2447" w:rsidP="00280999">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DF2447">
              <w:rPr>
                <w:color w:val="auto"/>
                <w:sz w:val="20"/>
                <w:szCs w:val="20"/>
              </w:rPr>
              <w:t>16</w:t>
            </w:r>
            <w:r>
              <w:rPr>
                <w:color w:val="auto"/>
                <w:sz w:val="20"/>
                <w:szCs w:val="20"/>
              </w:rPr>
              <w:t xml:space="preserve"> </w:t>
            </w:r>
            <w:r w:rsidRPr="00DF2447">
              <w:rPr>
                <w:color w:val="auto"/>
                <w:sz w:val="20"/>
                <w:szCs w:val="20"/>
              </w:rPr>
              <w:t>62</w:t>
            </w:r>
            <w:r w:rsidR="00280999">
              <w:rPr>
                <w:color w:val="auto"/>
                <w:sz w:val="20"/>
                <w:szCs w:val="20"/>
              </w:rPr>
              <w:t>7</w:t>
            </w:r>
          </w:p>
        </w:tc>
        <w:tc>
          <w:tcPr>
            <w:tcW w:w="1210" w:type="dxa"/>
            <w:noWrap/>
            <w:vAlign w:val="center"/>
            <w:hideMark/>
          </w:tcPr>
          <w:p w:rsidR="00DF2447" w:rsidRPr="00DF2447" w:rsidRDefault="00DF2447" w:rsidP="00280999">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DF2447">
              <w:rPr>
                <w:color w:val="auto"/>
                <w:sz w:val="20"/>
                <w:szCs w:val="20"/>
              </w:rPr>
              <w:t>16</w:t>
            </w:r>
            <w:r>
              <w:rPr>
                <w:color w:val="auto"/>
                <w:sz w:val="20"/>
                <w:szCs w:val="20"/>
              </w:rPr>
              <w:t xml:space="preserve"> </w:t>
            </w:r>
            <w:r w:rsidRPr="00DF2447">
              <w:rPr>
                <w:color w:val="auto"/>
                <w:sz w:val="20"/>
                <w:szCs w:val="20"/>
              </w:rPr>
              <w:t>6</w:t>
            </w:r>
            <w:r w:rsidR="00280999">
              <w:rPr>
                <w:color w:val="auto"/>
                <w:sz w:val="20"/>
                <w:szCs w:val="20"/>
              </w:rPr>
              <w:t>27</w:t>
            </w:r>
          </w:p>
        </w:tc>
      </w:tr>
      <w:tr w:rsidR="00DF2447" w:rsidRPr="003F3C75" w:rsidTr="00DF244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DF2447" w:rsidRPr="003F3C75" w:rsidRDefault="00DF2447" w:rsidP="00DF2447">
            <w:pPr>
              <w:spacing w:after="0"/>
              <w:jc w:val="left"/>
              <w:rPr>
                <w:b w:val="0"/>
                <w:color w:val="auto"/>
                <w:sz w:val="20"/>
                <w:szCs w:val="20"/>
              </w:rPr>
            </w:pPr>
            <w:proofErr w:type="gramStart"/>
            <w:r w:rsidRPr="003F3C75">
              <w:rPr>
                <w:b w:val="0"/>
                <w:color w:val="auto"/>
                <w:sz w:val="20"/>
                <w:szCs w:val="20"/>
              </w:rPr>
              <w:t>A.3 Podpora</w:t>
            </w:r>
            <w:proofErr w:type="gramEnd"/>
            <w:r w:rsidRPr="003F3C75">
              <w:rPr>
                <w:b w:val="0"/>
                <w:color w:val="auto"/>
                <w:sz w:val="20"/>
                <w:szCs w:val="20"/>
              </w:rPr>
              <w:t xml:space="preserve"> rovných příležitostí a prorodinných aktivit</w:t>
            </w:r>
          </w:p>
        </w:tc>
        <w:tc>
          <w:tcPr>
            <w:tcW w:w="1209" w:type="dxa"/>
            <w:noWrap/>
            <w:vAlign w:val="center"/>
            <w:hideMark/>
          </w:tcPr>
          <w:p w:rsidR="00DF2447" w:rsidRPr="00DF2447" w:rsidRDefault="00DF2447" w:rsidP="00DF2447">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DF2447">
              <w:rPr>
                <w:color w:val="auto"/>
                <w:sz w:val="20"/>
                <w:szCs w:val="20"/>
              </w:rPr>
              <w:t>12</w:t>
            </w:r>
          </w:p>
        </w:tc>
        <w:tc>
          <w:tcPr>
            <w:tcW w:w="1210" w:type="dxa"/>
            <w:noWrap/>
            <w:vAlign w:val="center"/>
            <w:hideMark/>
          </w:tcPr>
          <w:p w:rsidR="00DF2447" w:rsidRPr="00DF2447" w:rsidRDefault="00DF2447" w:rsidP="00DF2447">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DF2447">
              <w:rPr>
                <w:color w:val="auto"/>
                <w:sz w:val="20"/>
                <w:szCs w:val="20"/>
              </w:rPr>
              <w:t>1</w:t>
            </w:r>
            <w:r>
              <w:rPr>
                <w:color w:val="auto"/>
                <w:sz w:val="20"/>
                <w:szCs w:val="20"/>
              </w:rPr>
              <w:t xml:space="preserve"> </w:t>
            </w:r>
            <w:r w:rsidRPr="00DF2447">
              <w:rPr>
                <w:color w:val="auto"/>
                <w:sz w:val="20"/>
                <w:szCs w:val="20"/>
              </w:rPr>
              <w:t>093</w:t>
            </w:r>
          </w:p>
        </w:tc>
        <w:tc>
          <w:tcPr>
            <w:tcW w:w="1210" w:type="dxa"/>
            <w:noWrap/>
            <w:vAlign w:val="center"/>
            <w:hideMark/>
          </w:tcPr>
          <w:p w:rsidR="00DF2447" w:rsidRPr="00DF2447" w:rsidRDefault="00DF2447" w:rsidP="00DF2447">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DF2447">
              <w:rPr>
                <w:color w:val="auto"/>
                <w:sz w:val="20"/>
                <w:szCs w:val="20"/>
              </w:rPr>
              <w:t>1</w:t>
            </w:r>
            <w:r>
              <w:rPr>
                <w:color w:val="auto"/>
                <w:sz w:val="20"/>
                <w:szCs w:val="20"/>
              </w:rPr>
              <w:t xml:space="preserve"> </w:t>
            </w:r>
            <w:r w:rsidRPr="00DF2447">
              <w:rPr>
                <w:color w:val="auto"/>
                <w:sz w:val="20"/>
                <w:szCs w:val="20"/>
              </w:rPr>
              <w:t>093</w:t>
            </w:r>
          </w:p>
        </w:tc>
      </w:tr>
      <w:tr w:rsidR="00DF2447" w:rsidRPr="003F3C75" w:rsidTr="00DF2447">
        <w:trPr>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DF2447" w:rsidRPr="003F3C75" w:rsidRDefault="00DF2447" w:rsidP="00DF2447">
            <w:pPr>
              <w:spacing w:after="0"/>
              <w:jc w:val="left"/>
              <w:rPr>
                <w:b w:val="0"/>
                <w:color w:val="auto"/>
                <w:sz w:val="20"/>
                <w:szCs w:val="20"/>
              </w:rPr>
            </w:pPr>
            <w:proofErr w:type="gramStart"/>
            <w:r w:rsidRPr="003F3C75">
              <w:rPr>
                <w:b w:val="0"/>
                <w:color w:val="auto"/>
                <w:sz w:val="20"/>
                <w:szCs w:val="20"/>
              </w:rPr>
              <w:t xml:space="preserve">A.4 </w:t>
            </w:r>
            <w:proofErr w:type="spellStart"/>
            <w:r w:rsidRPr="003F3C75">
              <w:rPr>
                <w:b w:val="0"/>
                <w:color w:val="auto"/>
                <w:sz w:val="20"/>
                <w:szCs w:val="20"/>
              </w:rPr>
              <w:t>Zlep</w:t>
            </w:r>
            <w:proofErr w:type="spellEnd"/>
            <w:proofErr w:type="gramEnd"/>
            <w:r w:rsidRPr="003F3C75">
              <w:rPr>
                <w:b w:val="0"/>
                <w:color w:val="auto"/>
                <w:sz w:val="20"/>
                <w:szCs w:val="20"/>
              </w:rPr>
              <w:t>. podmínek pro kult., sport</w:t>
            </w:r>
            <w:r>
              <w:rPr>
                <w:b w:val="0"/>
                <w:color w:val="auto"/>
                <w:sz w:val="20"/>
                <w:szCs w:val="20"/>
              </w:rPr>
              <w:t>.</w:t>
            </w:r>
            <w:r w:rsidRPr="003F3C75">
              <w:rPr>
                <w:b w:val="0"/>
                <w:color w:val="auto"/>
                <w:sz w:val="20"/>
                <w:szCs w:val="20"/>
              </w:rPr>
              <w:t xml:space="preserve"> a volnočasové aktivity</w:t>
            </w:r>
          </w:p>
        </w:tc>
        <w:tc>
          <w:tcPr>
            <w:tcW w:w="1209" w:type="dxa"/>
            <w:noWrap/>
            <w:vAlign w:val="center"/>
            <w:hideMark/>
          </w:tcPr>
          <w:p w:rsidR="00DF2447" w:rsidRPr="00DF2447" w:rsidRDefault="00BE581B" w:rsidP="00AA1F6C">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1 1</w:t>
            </w:r>
            <w:r w:rsidR="00AA1F6C">
              <w:rPr>
                <w:color w:val="auto"/>
                <w:sz w:val="20"/>
                <w:szCs w:val="20"/>
              </w:rPr>
              <w:t>84</w:t>
            </w:r>
          </w:p>
        </w:tc>
        <w:tc>
          <w:tcPr>
            <w:tcW w:w="1210" w:type="dxa"/>
            <w:noWrap/>
            <w:vAlign w:val="center"/>
            <w:hideMark/>
          </w:tcPr>
          <w:p w:rsidR="00DF2447" w:rsidRPr="00DF2447" w:rsidRDefault="00AA1F6C" w:rsidP="00BE581B">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213 878</w:t>
            </w:r>
          </w:p>
        </w:tc>
        <w:tc>
          <w:tcPr>
            <w:tcW w:w="1210" w:type="dxa"/>
            <w:noWrap/>
            <w:vAlign w:val="center"/>
            <w:hideMark/>
          </w:tcPr>
          <w:p w:rsidR="00DF2447" w:rsidRPr="00DF2447" w:rsidRDefault="00AA1F6C" w:rsidP="00BE581B">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213 878</w:t>
            </w:r>
          </w:p>
        </w:tc>
      </w:tr>
      <w:tr w:rsidR="00DF2447" w:rsidRPr="003F3C75" w:rsidTr="00DF244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DF2447" w:rsidRPr="003F3C75" w:rsidRDefault="00DF2447" w:rsidP="00DF2447">
            <w:pPr>
              <w:spacing w:after="0"/>
              <w:jc w:val="left"/>
              <w:rPr>
                <w:b w:val="0"/>
                <w:color w:val="auto"/>
                <w:sz w:val="20"/>
                <w:szCs w:val="20"/>
              </w:rPr>
            </w:pPr>
            <w:proofErr w:type="gramStart"/>
            <w:r w:rsidRPr="003F3C75">
              <w:rPr>
                <w:b w:val="0"/>
                <w:color w:val="auto"/>
                <w:sz w:val="20"/>
                <w:szCs w:val="20"/>
              </w:rPr>
              <w:t>A.5 Péče</w:t>
            </w:r>
            <w:proofErr w:type="gramEnd"/>
            <w:r w:rsidRPr="003F3C75">
              <w:rPr>
                <w:b w:val="0"/>
                <w:color w:val="auto"/>
                <w:sz w:val="20"/>
                <w:szCs w:val="20"/>
              </w:rPr>
              <w:t xml:space="preserve"> o kulturní dědictví</w:t>
            </w:r>
          </w:p>
        </w:tc>
        <w:tc>
          <w:tcPr>
            <w:tcW w:w="1209" w:type="dxa"/>
            <w:noWrap/>
            <w:vAlign w:val="center"/>
            <w:hideMark/>
          </w:tcPr>
          <w:p w:rsidR="00DF2447" w:rsidRPr="00DF2447" w:rsidRDefault="00BE581B" w:rsidP="00AA1F6C">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9</w:t>
            </w:r>
            <w:r w:rsidR="00AA1F6C">
              <w:rPr>
                <w:color w:val="auto"/>
                <w:sz w:val="20"/>
                <w:szCs w:val="20"/>
              </w:rPr>
              <w:t>1</w:t>
            </w:r>
          </w:p>
        </w:tc>
        <w:tc>
          <w:tcPr>
            <w:tcW w:w="1210" w:type="dxa"/>
            <w:noWrap/>
            <w:vAlign w:val="center"/>
            <w:hideMark/>
          </w:tcPr>
          <w:p w:rsidR="00DF2447" w:rsidRPr="00DF2447" w:rsidRDefault="00AA1F6C" w:rsidP="00DF2447">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59 743</w:t>
            </w:r>
          </w:p>
        </w:tc>
        <w:tc>
          <w:tcPr>
            <w:tcW w:w="1210" w:type="dxa"/>
            <w:noWrap/>
            <w:vAlign w:val="center"/>
            <w:hideMark/>
          </w:tcPr>
          <w:p w:rsidR="00DF2447" w:rsidRPr="00DF2447" w:rsidRDefault="00AA1F6C" w:rsidP="00DF2447">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82 255</w:t>
            </w:r>
          </w:p>
        </w:tc>
      </w:tr>
      <w:tr w:rsidR="00DF2447" w:rsidRPr="003F3C75" w:rsidTr="00DF2447">
        <w:trPr>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DF2447" w:rsidRPr="003F3C75" w:rsidRDefault="00DF2447" w:rsidP="00DF2447">
            <w:pPr>
              <w:spacing w:after="0"/>
              <w:jc w:val="left"/>
              <w:rPr>
                <w:b w:val="0"/>
                <w:color w:val="auto"/>
                <w:sz w:val="20"/>
                <w:szCs w:val="20"/>
              </w:rPr>
            </w:pPr>
            <w:proofErr w:type="gramStart"/>
            <w:r w:rsidRPr="003F3C75">
              <w:rPr>
                <w:b w:val="0"/>
                <w:color w:val="auto"/>
                <w:sz w:val="20"/>
                <w:szCs w:val="20"/>
              </w:rPr>
              <w:t>B.1 Optimalizace</w:t>
            </w:r>
            <w:proofErr w:type="gramEnd"/>
            <w:r w:rsidRPr="003F3C75">
              <w:rPr>
                <w:b w:val="0"/>
                <w:color w:val="auto"/>
                <w:sz w:val="20"/>
                <w:szCs w:val="20"/>
              </w:rPr>
              <w:t xml:space="preserve"> systému zajišťování zdravotní péče</w:t>
            </w:r>
          </w:p>
        </w:tc>
        <w:tc>
          <w:tcPr>
            <w:tcW w:w="1209" w:type="dxa"/>
            <w:noWrap/>
            <w:vAlign w:val="center"/>
            <w:hideMark/>
          </w:tcPr>
          <w:p w:rsidR="00DF2447" w:rsidRPr="00DF2447" w:rsidRDefault="00760ADB" w:rsidP="00DF2447">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95</w:t>
            </w:r>
          </w:p>
        </w:tc>
        <w:tc>
          <w:tcPr>
            <w:tcW w:w="1210" w:type="dxa"/>
            <w:noWrap/>
            <w:vAlign w:val="center"/>
            <w:hideMark/>
          </w:tcPr>
          <w:p w:rsidR="00DF2447" w:rsidRPr="00DF2447" w:rsidRDefault="00760ADB" w:rsidP="00DF2447">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57 350</w:t>
            </w:r>
          </w:p>
        </w:tc>
        <w:tc>
          <w:tcPr>
            <w:tcW w:w="1210" w:type="dxa"/>
            <w:noWrap/>
            <w:vAlign w:val="center"/>
            <w:hideMark/>
          </w:tcPr>
          <w:p w:rsidR="00DF2447" w:rsidRPr="00DF2447" w:rsidRDefault="00760ADB" w:rsidP="00DF2447">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73 325</w:t>
            </w:r>
          </w:p>
        </w:tc>
      </w:tr>
      <w:tr w:rsidR="00DF2447" w:rsidRPr="003F3C75" w:rsidTr="00DF244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DF2447" w:rsidRPr="003F3C75" w:rsidRDefault="00DF2447" w:rsidP="00DF2447">
            <w:pPr>
              <w:spacing w:after="0"/>
              <w:jc w:val="left"/>
              <w:rPr>
                <w:b w:val="0"/>
                <w:color w:val="auto"/>
                <w:sz w:val="20"/>
                <w:szCs w:val="20"/>
              </w:rPr>
            </w:pPr>
            <w:proofErr w:type="gramStart"/>
            <w:r w:rsidRPr="003F3C75">
              <w:rPr>
                <w:b w:val="0"/>
                <w:color w:val="auto"/>
                <w:sz w:val="20"/>
                <w:szCs w:val="20"/>
              </w:rPr>
              <w:t>B.2 Zkvalitňování</w:t>
            </w:r>
            <w:proofErr w:type="gramEnd"/>
            <w:r w:rsidRPr="003F3C75">
              <w:rPr>
                <w:b w:val="0"/>
                <w:color w:val="auto"/>
                <w:sz w:val="20"/>
                <w:szCs w:val="20"/>
              </w:rPr>
              <w:t xml:space="preserve"> a rozvoj sítě sociálních služeb</w:t>
            </w:r>
          </w:p>
        </w:tc>
        <w:tc>
          <w:tcPr>
            <w:tcW w:w="1209" w:type="dxa"/>
            <w:noWrap/>
            <w:vAlign w:val="center"/>
            <w:hideMark/>
          </w:tcPr>
          <w:p w:rsidR="00DF2447" w:rsidRPr="00DF2447" w:rsidRDefault="00DF2447" w:rsidP="00DF2447">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DF2447">
              <w:rPr>
                <w:color w:val="auto"/>
                <w:sz w:val="20"/>
                <w:szCs w:val="20"/>
              </w:rPr>
              <w:t>256</w:t>
            </w:r>
          </w:p>
        </w:tc>
        <w:tc>
          <w:tcPr>
            <w:tcW w:w="1210" w:type="dxa"/>
            <w:noWrap/>
            <w:vAlign w:val="center"/>
            <w:hideMark/>
          </w:tcPr>
          <w:p w:rsidR="00DF2447" w:rsidRPr="00DF2447" w:rsidRDefault="00DF2447" w:rsidP="00DF2447">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DF2447">
              <w:rPr>
                <w:color w:val="auto"/>
                <w:sz w:val="20"/>
                <w:szCs w:val="20"/>
              </w:rPr>
              <w:t>910</w:t>
            </w:r>
            <w:r>
              <w:rPr>
                <w:color w:val="auto"/>
                <w:sz w:val="20"/>
                <w:szCs w:val="20"/>
              </w:rPr>
              <w:t xml:space="preserve"> </w:t>
            </w:r>
            <w:r w:rsidRPr="00DF2447">
              <w:rPr>
                <w:color w:val="auto"/>
                <w:sz w:val="20"/>
                <w:szCs w:val="20"/>
              </w:rPr>
              <w:t>471</w:t>
            </w:r>
          </w:p>
        </w:tc>
        <w:tc>
          <w:tcPr>
            <w:tcW w:w="1210" w:type="dxa"/>
            <w:noWrap/>
            <w:vAlign w:val="center"/>
            <w:hideMark/>
          </w:tcPr>
          <w:p w:rsidR="00DF2447" w:rsidRPr="00DF2447" w:rsidRDefault="00DF2447" w:rsidP="00DF2447">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DF2447">
              <w:rPr>
                <w:color w:val="auto"/>
                <w:sz w:val="20"/>
                <w:szCs w:val="20"/>
              </w:rPr>
              <w:t>1</w:t>
            </w:r>
            <w:r>
              <w:rPr>
                <w:color w:val="auto"/>
                <w:sz w:val="20"/>
                <w:szCs w:val="20"/>
              </w:rPr>
              <w:t xml:space="preserve"> </w:t>
            </w:r>
            <w:r w:rsidRPr="00DF2447">
              <w:rPr>
                <w:color w:val="auto"/>
                <w:sz w:val="20"/>
                <w:szCs w:val="20"/>
              </w:rPr>
              <w:t>024</w:t>
            </w:r>
            <w:r>
              <w:rPr>
                <w:color w:val="auto"/>
                <w:sz w:val="20"/>
                <w:szCs w:val="20"/>
              </w:rPr>
              <w:t xml:space="preserve"> </w:t>
            </w:r>
            <w:r w:rsidRPr="00DF2447">
              <w:rPr>
                <w:color w:val="auto"/>
                <w:sz w:val="20"/>
                <w:szCs w:val="20"/>
              </w:rPr>
              <w:t>210</w:t>
            </w:r>
          </w:p>
        </w:tc>
      </w:tr>
      <w:tr w:rsidR="00DF2447" w:rsidRPr="003F3C75" w:rsidTr="00DF2447">
        <w:trPr>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DF2447" w:rsidRPr="003F3C75" w:rsidRDefault="00DF2447" w:rsidP="00DF2447">
            <w:pPr>
              <w:spacing w:after="0"/>
              <w:jc w:val="left"/>
              <w:rPr>
                <w:b w:val="0"/>
                <w:color w:val="auto"/>
                <w:sz w:val="20"/>
                <w:szCs w:val="20"/>
              </w:rPr>
            </w:pPr>
            <w:proofErr w:type="gramStart"/>
            <w:r w:rsidRPr="003F3C75">
              <w:rPr>
                <w:b w:val="0"/>
                <w:color w:val="auto"/>
                <w:sz w:val="20"/>
                <w:szCs w:val="20"/>
              </w:rPr>
              <w:t>B.3 Zmírňování</w:t>
            </w:r>
            <w:proofErr w:type="gramEnd"/>
            <w:r w:rsidRPr="003F3C75">
              <w:rPr>
                <w:b w:val="0"/>
                <w:color w:val="auto"/>
                <w:sz w:val="20"/>
                <w:szCs w:val="20"/>
              </w:rPr>
              <w:t xml:space="preserve"> sociálního vyloučení</w:t>
            </w:r>
          </w:p>
        </w:tc>
        <w:tc>
          <w:tcPr>
            <w:tcW w:w="1209" w:type="dxa"/>
            <w:noWrap/>
            <w:vAlign w:val="center"/>
            <w:hideMark/>
          </w:tcPr>
          <w:p w:rsidR="00DF2447" w:rsidRPr="00DF2447" w:rsidRDefault="00DF2447" w:rsidP="00DF2447">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DF2447">
              <w:rPr>
                <w:color w:val="auto"/>
                <w:sz w:val="20"/>
                <w:szCs w:val="20"/>
              </w:rPr>
              <w:t>122</w:t>
            </w:r>
          </w:p>
        </w:tc>
        <w:tc>
          <w:tcPr>
            <w:tcW w:w="1210" w:type="dxa"/>
            <w:noWrap/>
            <w:vAlign w:val="center"/>
            <w:hideMark/>
          </w:tcPr>
          <w:p w:rsidR="00DF2447" w:rsidRPr="00DF2447" w:rsidRDefault="00DF2447" w:rsidP="00DF2447">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DF2447">
              <w:rPr>
                <w:color w:val="auto"/>
                <w:sz w:val="20"/>
                <w:szCs w:val="20"/>
              </w:rPr>
              <w:t>14</w:t>
            </w:r>
            <w:r>
              <w:rPr>
                <w:color w:val="auto"/>
                <w:sz w:val="20"/>
                <w:szCs w:val="20"/>
              </w:rPr>
              <w:t xml:space="preserve"> </w:t>
            </w:r>
            <w:r w:rsidRPr="00DF2447">
              <w:rPr>
                <w:color w:val="auto"/>
                <w:sz w:val="20"/>
                <w:szCs w:val="20"/>
              </w:rPr>
              <w:t>113</w:t>
            </w:r>
          </w:p>
        </w:tc>
        <w:tc>
          <w:tcPr>
            <w:tcW w:w="1210" w:type="dxa"/>
            <w:noWrap/>
            <w:vAlign w:val="center"/>
            <w:hideMark/>
          </w:tcPr>
          <w:p w:rsidR="00DF2447" w:rsidRPr="00DF2447" w:rsidRDefault="00DF2447" w:rsidP="00DF2447">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DF2447">
              <w:rPr>
                <w:color w:val="auto"/>
                <w:sz w:val="20"/>
                <w:szCs w:val="20"/>
              </w:rPr>
              <w:t>14</w:t>
            </w:r>
            <w:r>
              <w:rPr>
                <w:color w:val="auto"/>
                <w:sz w:val="20"/>
                <w:szCs w:val="20"/>
              </w:rPr>
              <w:t xml:space="preserve"> </w:t>
            </w:r>
            <w:r w:rsidRPr="00DF2447">
              <w:rPr>
                <w:color w:val="auto"/>
                <w:sz w:val="20"/>
                <w:szCs w:val="20"/>
              </w:rPr>
              <w:t>929</w:t>
            </w:r>
          </w:p>
        </w:tc>
      </w:tr>
      <w:tr w:rsidR="00DF2447" w:rsidRPr="003F3C75" w:rsidTr="00DF244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DF2447" w:rsidRPr="003F3C75" w:rsidRDefault="00DF2447" w:rsidP="00DF2447">
            <w:pPr>
              <w:spacing w:after="0"/>
              <w:jc w:val="left"/>
              <w:rPr>
                <w:b w:val="0"/>
                <w:color w:val="auto"/>
                <w:sz w:val="20"/>
                <w:szCs w:val="20"/>
              </w:rPr>
            </w:pPr>
            <w:proofErr w:type="gramStart"/>
            <w:r w:rsidRPr="003F3C75">
              <w:rPr>
                <w:b w:val="0"/>
                <w:color w:val="auto"/>
                <w:sz w:val="20"/>
                <w:szCs w:val="20"/>
              </w:rPr>
              <w:t>B.4 Podpora</w:t>
            </w:r>
            <w:proofErr w:type="gramEnd"/>
            <w:r w:rsidRPr="003F3C75">
              <w:rPr>
                <w:b w:val="0"/>
                <w:color w:val="auto"/>
                <w:sz w:val="20"/>
                <w:szCs w:val="20"/>
              </w:rPr>
              <w:t xml:space="preserve"> dalších veřejných služeb</w:t>
            </w:r>
          </w:p>
        </w:tc>
        <w:tc>
          <w:tcPr>
            <w:tcW w:w="1209" w:type="dxa"/>
            <w:noWrap/>
            <w:vAlign w:val="center"/>
            <w:hideMark/>
          </w:tcPr>
          <w:p w:rsidR="00DF2447" w:rsidRPr="00DF2447" w:rsidRDefault="00FE39F0" w:rsidP="00DF2447">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120</w:t>
            </w:r>
          </w:p>
        </w:tc>
        <w:tc>
          <w:tcPr>
            <w:tcW w:w="1210" w:type="dxa"/>
            <w:noWrap/>
            <w:vAlign w:val="center"/>
            <w:hideMark/>
          </w:tcPr>
          <w:p w:rsidR="00DF2447" w:rsidRPr="00DF2447" w:rsidRDefault="00DF2447" w:rsidP="00DF2447">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DF2447">
              <w:rPr>
                <w:color w:val="auto"/>
                <w:sz w:val="20"/>
                <w:szCs w:val="20"/>
              </w:rPr>
              <w:t>32</w:t>
            </w:r>
            <w:r>
              <w:rPr>
                <w:color w:val="auto"/>
                <w:sz w:val="20"/>
                <w:szCs w:val="20"/>
              </w:rPr>
              <w:t xml:space="preserve"> </w:t>
            </w:r>
            <w:r w:rsidRPr="00DF2447">
              <w:rPr>
                <w:color w:val="auto"/>
                <w:sz w:val="20"/>
                <w:szCs w:val="20"/>
              </w:rPr>
              <w:t>244</w:t>
            </w:r>
          </w:p>
        </w:tc>
        <w:tc>
          <w:tcPr>
            <w:tcW w:w="1210" w:type="dxa"/>
            <w:noWrap/>
            <w:vAlign w:val="center"/>
            <w:hideMark/>
          </w:tcPr>
          <w:p w:rsidR="00DF2447" w:rsidRPr="00DF2447" w:rsidRDefault="00DF2447" w:rsidP="00DF2447">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DF2447">
              <w:rPr>
                <w:color w:val="auto"/>
                <w:sz w:val="20"/>
                <w:szCs w:val="20"/>
              </w:rPr>
              <w:t>32</w:t>
            </w:r>
            <w:r>
              <w:rPr>
                <w:color w:val="auto"/>
                <w:sz w:val="20"/>
                <w:szCs w:val="20"/>
              </w:rPr>
              <w:t xml:space="preserve"> </w:t>
            </w:r>
            <w:r w:rsidRPr="00DF2447">
              <w:rPr>
                <w:color w:val="auto"/>
                <w:sz w:val="20"/>
                <w:szCs w:val="20"/>
              </w:rPr>
              <w:t>244</w:t>
            </w:r>
          </w:p>
        </w:tc>
      </w:tr>
      <w:tr w:rsidR="00DF2447" w:rsidRPr="003F3C75" w:rsidTr="00DF2447">
        <w:trPr>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DF2447" w:rsidRPr="003F3C75" w:rsidRDefault="00DF2447" w:rsidP="00DF2447">
            <w:pPr>
              <w:spacing w:after="0"/>
              <w:jc w:val="left"/>
              <w:rPr>
                <w:b w:val="0"/>
                <w:color w:val="auto"/>
                <w:sz w:val="20"/>
                <w:szCs w:val="20"/>
              </w:rPr>
            </w:pPr>
            <w:proofErr w:type="gramStart"/>
            <w:r w:rsidRPr="003F3C75">
              <w:rPr>
                <w:b w:val="0"/>
                <w:color w:val="auto"/>
                <w:sz w:val="20"/>
                <w:szCs w:val="20"/>
              </w:rPr>
              <w:t>C.1 Zlepšování</w:t>
            </w:r>
            <w:proofErr w:type="gramEnd"/>
            <w:r w:rsidRPr="003F3C75">
              <w:rPr>
                <w:b w:val="0"/>
                <w:color w:val="auto"/>
                <w:sz w:val="20"/>
                <w:szCs w:val="20"/>
              </w:rPr>
              <w:t xml:space="preserve"> podmínek pro podnikání</w:t>
            </w:r>
          </w:p>
        </w:tc>
        <w:tc>
          <w:tcPr>
            <w:tcW w:w="1209" w:type="dxa"/>
            <w:noWrap/>
            <w:vAlign w:val="center"/>
            <w:hideMark/>
          </w:tcPr>
          <w:p w:rsidR="00DF2447" w:rsidRPr="00DF2447" w:rsidRDefault="00DF2447" w:rsidP="00DF2447">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DF2447">
              <w:rPr>
                <w:color w:val="auto"/>
                <w:sz w:val="20"/>
                <w:szCs w:val="20"/>
              </w:rPr>
              <w:t>20</w:t>
            </w:r>
          </w:p>
        </w:tc>
        <w:tc>
          <w:tcPr>
            <w:tcW w:w="1210" w:type="dxa"/>
            <w:noWrap/>
            <w:vAlign w:val="center"/>
            <w:hideMark/>
          </w:tcPr>
          <w:p w:rsidR="00DF2447" w:rsidRPr="00DF2447" w:rsidRDefault="00DF2447" w:rsidP="00DF2447">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DF2447">
              <w:rPr>
                <w:color w:val="auto"/>
                <w:sz w:val="20"/>
                <w:szCs w:val="20"/>
              </w:rPr>
              <w:t>1</w:t>
            </w:r>
            <w:r>
              <w:rPr>
                <w:color w:val="auto"/>
                <w:sz w:val="20"/>
                <w:szCs w:val="20"/>
              </w:rPr>
              <w:t xml:space="preserve"> </w:t>
            </w:r>
            <w:r w:rsidRPr="00DF2447">
              <w:rPr>
                <w:color w:val="auto"/>
                <w:sz w:val="20"/>
                <w:szCs w:val="20"/>
              </w:rPr>
              <w:t>950</w:t>
            </w:r>
          </w:p>
        </w:tc>
        <w:tc>
          <w:tcPr>
            <w:tcW w:w="1210" w:type="dxa"/>
            <w:noWrap/>
            <w:vAlign w:val="center"/>
            <w:hideMark/>
          </w:tcPr>
          <w:p w:rsidR="00DF2447" w:rsidRPr="00DF2447" w:rsidRDefault="00DF2447" w:rsidP="00DF2447">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DF2447">
              <w:rPr>
                <w:color w:val="auto"/>
                <w:sz w:val="20"/>
                <w:szCs w:val="20"/>
              </w:rPr>
              <w:t>1</w:t>
            </w:r>
            <w:r>
              <w:rPr>
                <w:color w:val="auto"/>
                <w:sz w:val="20"/>
                <w:szCs w:val="20"/>
              </w:rPr>
              <w:t xml:space="preserve"> </w:t>
            </w:r>
            <w:r w:rsidRPr="00DF2447">
              <w:rPr>
                <w:color w:val="auto"/>
                <w:sz w:val="20"/>
                <w:szCs w:val="20"/>
              </w:rPr>
              <w:t>950</w:t>
            </w:r>
          </w:p>
        </w:tc>
      </w:tr>
      <w:tr w:rsidR="00DF2447" w:rsidRPr="003F3C75" w:rsidTr="00DF244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DF2447" w:rsidRPr="003F3C75" w:rsidRDefault="00DF2447" w:rsidP="00DF2447">
            <w:pPr>
              <w:spacing w:after="0"/>
              <w:jc w:val="left"/>
              <w:rPr>
                <w:b w:val="0"/>
                <w:color w:val="auto"/>
                <w:sz w:val="20"/>
                <w:szCs w:val="20"/>
              </w:rPr>
            </w:pPr>
            <w:proofErr w:type="gramStart"/>
            <w:r w:rsidRPr="003F3C75">
              <w:rPr>
                <w:b w:val="0"/>
                <w:color w:val="auto"/>
                <w:sz w:val="20"/>
                <w:szCs w:val="20"/>
              </w:rPr>
              <w:t>C.2 Podpora</w:t>
            </w:r>
            <w:proofErr w:type="gramEnd"/>
            <w:r w:rsidRPr="003F3C75">
              <w:rPr>
                <w:b w:val="0"/>
                <w:color w:val="auto"/>
                <w:sz w:val="20"/>
                <w:szCs w:val="20"/>
              </w:rPr>
              <w:t xml:space="preserve"> znalostní ekonomiky</w:t>
            </w:r>
          </w:p>
        </w:tc>
        <w:tc>
          <w:tcPr>
            <w:tcW w:w="1209" w:type="dxa"/>
            <w:noWrap/>
            <w:vAlign w:val="center"/>
            <w:hideMark/>
          </w:tcPr>
          <w:p w:rsidR="00DF2447" w:rsidRPr="00DF2447" w:rsidRDefault="00DF2447" w:rsidP="00DF2447">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DF2447">
              <w:rPr>
                <w:color w:val="auto"/>
                <w:sz w:val="20"/>
                <w:szCs w:val="20"/>
              </w:rPr>
              <w:t>2</w:t>
            </w:r>
          </w:p>
        </w:tc>
        <w:tc>
          <w:tcPr>
            <w:tcW w:w="1210" w:type="dxa"/>
            <w:noWrap/>
            <w:vAlign w:val="center"/>
            <w:hideMark/>
          </w:tcPr>
          <w:p w:rsidR="00DF2447" w:rsidRPr="00DF2447" w:rsidRDefault="00DF2447" w:rsidP="00DF2447">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DF2447">
              <w:rPr>
                <w:color w:val="auto"/>
                <w:sz w:val="20"/>
                <w:szCs w:val="20"/>
              </w:rPr>
              <w:t>1</w:t>
            </w:r>
            <w:r>
              <w:rPr>
                <w:color w:val="auto"/>
                <w:sz w:val="20"/>
                <w:szCs w:val="20"/>
              </w:rPr>
              <w:t xml:space="preserve"> </w:t>
            </w:r>
            <w:r w:rsidRPr="00DF2447">
              <w:rPr>
                <w:color w:val="auto"/>
                <w:sz w:val="20"/>
                <w:szCs w:val="20"/>
              </w:rPr>
              <w:t>186</w:t>
            </w:r>
          </w:p>
        </w:tc>
        <w:tc>
          <w:tcPr>
            <w:tcW w:w="1210" w:type="dxa"/>
            <w:noWrap/>
            <w:vAlign w:val="center"/>
            <w:hideMark/>
          </w:tcPr>
          <w:p w:rsidR="00DF2447" w:rsidRPr="00DF2447" w:rsidRDefault="00DF2447" w:rsidP="00DF2447">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DF2447">
              <w:rPr>
                <w:color w:val="auto"/>
                <w:sz w:val="20"/>
                <w:szCs w:val="20"/>
              </w:rPr>
              <w:t>6</w:t>
            </w:r>
            <w:r>
              <w:rPr>
                <w:color w:val="auto"/>
                <w:sz w:val="20"/>
                <w:szCs w:val="20"/>
              </w:rPr>
              <w:t xml:space="preserve"> </w:t>
            </w:r>
            <w:r w:rsidRPr="00DF2447">
              <w:rPr>
                <w:color w:val="auto"/>
                <w:sz w:val="20"/>
                <w:szCs w:val="20"/>
              </w:rPr>
              <w:t>205</w:t>
            </w:r>
          </w:p>
        </w:tc>
      </w:tr>
      <w:tr w:rsidR="00DF2447" w:rsidRPr="003F3C75" w:rsidTr="00DF2447">
        <w:trPr>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DF2447" w:rsidRPr="003F3C75" w:rsidRDefault="00DF2447" w:rsidP="00DF2447">
            <w:pPr>
              <w:spacing w:after="0"/>
              <w:jc w:val="left"/>
              <w:rPr>
                <w:b w:val="0"/>
                <w:color w:val="auto"/>
                <w:sz w:val="20"/>
                <w:szCs w:val="20"/>
              </w:rPr>
            </w:pPr>
            <w:proofErr w:type="gramStart"/>
            <w:r w:rsidRPr="003F3C75">
              <w:rPr>
                <w:b w:val="0"/>
                <w:color w:val="auto"/>
                <w:sz w:val="20"/>
                <w:szCs w:val="20"/>
              </w:rPr>
              <w:t>C.3 Rozvoj</w:t>
            </w:r>
            <w:proofErr w:type="gramEnd"/>
            <w:r w:rsidRPr="003F3C75">
              <w:rPr>
                <w:b w:val="0"/>
                <w:color w:val="auto"/>
                <w:sz w:val="20"/>
                <w:szCs w:val="20"/>
              </w:rPr>
              <w:t xml:space="preserve"> cestovního ruchu</w:t>
            </w:r>
          </w:p>
        </w:tc>
        <w:tc>
          <w:tcPr>
            <w:tcW w:w="1209" w:type="dxa"/>
            <w:noWrap/>
            <w:vAlign w:val="center"/>
            <w:hideMark/>
          </w:tcPr>
          <w:p w:rsidR="00DF2447" w:rsidRPr="00DF2447" w:rsidRDefault="00DF2447" w:rsidP="00DF2447">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DF2447">
              <w:rPr>
                <w:color w:val="auto"/>
                <w:sz w:val="20"/>
                <w:szCs w:val="20"/>
              </w:rPr>
              <w:t>183</w:t>
            </w:r>
          </w:p>
        </w:tc>
        <w:tc>
          <w:tcPr>
            <w:tcW w:w="1210" w:type="dxa"/>
            <w:noWrap/>
            <w:vAlign w:val="center"/>
            <w:hideMark/>
          </w:tcPr>
          <w:p w:rsidR="00DF2447" w:rsidRPr="00DF2447" w:rsidRDefault="00DF2447" w:rsidP="00BE581B">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DF2447">
              <w:rPr>
                <w:color w:val="auto"/>
                <w:sz w:val="20"/>
                <w:szCs w:val="20"/>
              </w:rPr>
              <w:t>2</w:t>
            </w:r>
            <w:r w:rsidR="00BE581B">
              <w:rPr>
                <w:color w:val="auto"/>
                <w:sz w:val="20"/>
                <w:szCs w:val="20"/>
              </w:rPr>
              <w:t>7</w:t>
            </w:r>
            <w:r>
              <w:rPr>
                <w:color w:val="auto"/>
                <w:sz w:val="20"/>
                <w:szCs w:val="20"/>
              </w:rPr>
              <w:t xml:space="preserve"> </w:t>
            </w:r>
            <w:r w:rsidR="00BE581B">
              <w:rPr>
                <w:color w:val="auto"/>
                <w:sz w:val="20"/>
                <w:szCs w:val="20"/>
              </w:rPr>
              <w:t>006</w:t>
            </w:r>
          </w:p>
        </w:tc>
        <w:tc>
          <w:tcPr>
            <w:tcW w:w="1210" w:type="dxa"/>
            <w:noWrap/>
            <w:vAlign w:val="center"/>
            <w:hideMark/>
          </w:tcPr>
          <w:p w:rsidR="00DF2447" w:rsidRPr="00DF2447" w:rsidRDefault="00DF2447" w:rsidP="00BE581B">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DF2447">
              <w:rPr>
                <w:color w:val="auto"/>
                <w:sz w:val="20"/>
                <w:szCs w:val="20"/>
              </w:rPr>
              <w:t>30</w:t>
            </w:r>
            <w:r>
              <w:rPr>
                <w:color w:val="auto"/>
                <w:sz w:val="20"/>
                <w:szCs w:val="20"/>
              </w:rPr>
              <w:t xml:space="preserve"> </w:t>
            </w:r>
            <w:r w:rsidRPr="00DF2447">
              <w:rPr>
                <w:color w:val="auto"/>
                <w:sz w:val="20"/>
                <w:szCs w:val="20"/>
              </w:rPr>
              <w:t>56</w:t>
            </w:r>
            <w:r w:rsidR="00BE581B">
              <w:rPr>
                <w:color w:val="auto"/>
                <w:sz w:val="20"/>
                <w:szCs w:val="20"/>
              </w:rPr>
              <w:t>0</w:t>
            </w:r>
          </w:p>
        </w:tc>
      </w:tr>
      <w:tr w:rsidR="00DF2447" w:rsidRPr="003F3C75" w:rsidTr="00DF244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DF2447" w:rsidRPr="003F3C75" w:rsidRDefault="00DF2447" w:rsidP="00DF2447">
            <w:pPr>
              <w:spacing w:after="0"/>
              <w:jc w:val="left"/>
              <w:rPr>
                <w:b w:val="0"/>
                <w:color w:val="auto"/>
                <w:sz w:val="20"/>
                <w:szCs w:val="20"/>
              </w:rPr>
            </w:pPr>
            <w:proofErr w:type="gramStart"/>
            <w:r w:rsidRPr="003F3C75">
              <w:rPr>
                <w:b w:val="0"/>
                <w:color w:val="auto"/>
                <w:sz w:val="20"/>
                <w:szCs w:val="20"/>
              </w:rPr>
              <w:t>D.1 Dobudování</w:t>
            </w:r>
            <w:proofErr w:type="gramEnd"/>
            <w:r w:rsidRPr="003F3C75">
              <w:rPr>
                <w:b w:val="0"/>
                <w:color w:val="auto"/>
                <w:sz w:val="20"/>
                <w:szCs w:val="20"/>
              </w:rPr>
              <w:t xml:space="preserve"> a modernizace silniční infrastruktury</w:t>
            </w:r>
          </w:p>
        </w:tc>
        <w:tc>
          <w:tcPr>
            <w:tcW w:w="1209" w:type="dxa"/>
            <w:noWrap/>
            <w:vAlign w:val="center"/>
            <w:hideMark/>
          </w:tcPr>
          <w:p w:rsidR="00DF2447" w:rsidRPr="00DF2447" w:rsidRDefault="009E5A3B" w:rsidP="00DF2447">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66</w:t>
            </w:r>
          </w:p>
        </w:tc>
        <w:tc>
          <w:tcPr>
            <w:tcW w:w="1210" w:type="dxa"/>
            <w:noWrap/>
            <w:vAlign w:val="center"/>
            <w:hideMark/>
          </w:tcPr>
          <w:p w:rsidR="00DF2447" w:rsidRPr="00DF2447" w:rsidRDefault="00DF2447" w:rsidP="00DF2447">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DF2447">
              <w:rPr>
                <w:color w:val="auto"/>
                <w:sz w:val="20"/>
                <w:szCs w:val="20"/>
              </w:rPr>
              <w:t>423</w:t>
            </w:r>
            <w:r>
              <w:rPr>
                <w:color w:val="auto"/>
                <w:sz w:val="20"/>
                <w:szCs w:val="20"/>
              </w:rPr>
              <w:t xml:space="preserve"> </w:t>
            </w:r>
            <w:r w:rsidRPr="00DF2447">
              <w:rPr>
                <w:color w:val="auto"/>
                <w:sz w:val="20"/>
                <w:szCs w:val="20"/>
              </w:rPr>
              <w:t>928</w:t>
            </w:r>
          </w:p>
        </w:tc>
        <w:tc>
          <w:tcPr>
            <w:tcW w:w="1210" w:type="dxa"/>
            <w:noWrap/>
            <w:vAlign w:val="center"/>
            <w:hideMark/>
          </w:tcPr>
          <w:p w:rsidR="00DF2447" w:rsidRPr="00DF2447" w:rsidRDefault="00DF2447" w:rsidP="00DF2447">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DF2447">
              <w:rPr>
                <w:color w:val="auto"/>
                <w:sz w:val="20"/>
                <w:szCs w:val="20"/>
              </w:rPr>
              <w:t>735</w:t>
            </w:r>
            <w:r>
              <w:rPr>
                <w:color w:val="auto"/>
                <w:sz w:val="20"/>
                <w:szCs w:val="20"/>
              </w:rPr>
              <w:t xml:space="preserve"> </w:t>
            </w:r>
            <w:r w:rsidRPr="00DF2447">
              <w:rPr>
                <w:color w:val="auto"/>
                <w:sz w:val="20"/>
                <w:szCs w:val="20"/>
              </w:rPr>
              <w:t>614</w:t>
            </w:r>
          </w:p>
        </w:tc>
      </w:tr>
      <w:tr w:rsidR="001B0CC3" w:rsidRPr="003F3C75" w:rsidTr="00DF2447">
        <w:trPr>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1B0CC3" w:rsidRPr="003F3C75" w:rsidRDefault="001B0CC3" w:rsidP="003F3C75">
            <w:pPr>
              <w:spacing w:after="0"/>
              <w:jc w:val="left"/>
              <w:rPr>
                <w:b w:val="0"/>
                <w:color w:val="auto"/>
                <w:sz w:val="20"/>
                <w:szCs w:val="20"/>
              </w:rPr>
            </w:pPr>
            <w:proofErr w:type="gramStart"/>
            <w:r w:rsidRPr="003F3C75">
              <w:rPr>
                <w:b w:val="0"/>
                <w:color w:val="auto"/>
                <w:sz w:val="20"/>
                <w:szCs w:val="20"/>
              </w:rPr>
              <w:t>D.2 Modernizace</w:t>
            </w:r>
            <w:proofErr w:type="gramEnd"/>
            <w:r w:rsidRPr="003F3C75">
              <w:rPr>
                <w:b w:val="0"/>
                <w:color w:val="auto"/>
                <w:sz w:val="20"/>
                <w:szCs w:val="20"/>
              </w:rPr>
              <w:t xml:space="preserve"> železničních tratí</w:t>
            </w:r>
          </w:p>
        </w:tc>
        <w:tc>
          <w:tcPr>
            <w:tcW w:w="1209" w:type="dxa"/>
            <w:noWrap/>
            <w:vAlign w:val="center"/>
          </w:tcPr>
          <w:p w:rsidR="001B0CC3" w:rsidRPr="003F3C75" w:rsidRDefault="00BE581B" w:rsidP="00DF2447">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0</w:t>
            </w:r>
          </w:p>
        </w:tc>
        <w:tc>
          <w:tcPr>
            <w:tcW w:w="1210" w:type="dxa"/>
            <w:noWrap/>
            <w:vAlign w:val="center"/>
          </w:tcPr>
          <w:p w:rsidR="001B0CC3" w:rsidRPr="003F3C75" w:rsidRDefault="00BE581B" w:rsidP="00DF2447">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0</w:t>
            </w:r>
          </w:p>
        </w:tc>
        <w:tc>
          <w:tcPr>
            <w:tcW w:w="1210" w:type="dxa"/>
            <w:noWrap/>
            <w:vAlign w:val="center"/>
          </w:tcPr>
          <w:p w:rsidR="001B0CC3" w:rsidRPr="003F3C75" w:rsidRDefault="00BE581B" w:rsidP="00DF2447">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0</w:t>
            </w:r>
          </w:p>
        </w:tc>
      </w:tr>
      <w:tr w:rsidR="005215DE" w:rsidRPr="003F3C75" w:rsidTr="00DF244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5215DE" w:rsidRPr="003F3C75" w:rsidRDefault="005215DE" w:rsidP="003F3C75">
            <w:pPr>
              <w:spacing w:after="0"/>
              <w:jc w:val="left"/>
              <w:rPr>
                <w:b w:val="0"/>
                <w:color w:val="auto"/>
                <w:sz w:val="20"/>
                <w:szCs w:val="20"/>
              </w:rPr>
            </w:pPr>
            <w:proofErr w:type="gramStart"/>
            <w:r w:rsidRPr="003F3C75">
              <w:rPr>
                <w:b w:val="0"/>
                <w:color w:val="auto"/>
                <w:sz w:val="20"/>
                <w:szCs w:val="20"/>
              </w:rPr>
              <w:t>D.3 Zkvalitnění</w:t>
            </w:r>
            <w:proofErr w:type="gramEnd"/>
            <w:r w:rsidRPr="003F3C75">
              <w:rPr>
                <w:b w:val="0"/>
                <w:color w:val="auto"/>
                <w:sz w:val="20"/>
                <w:szCs w:val="20"/>
              </w:rPr>
              <w:t xml:space="preserve"> dopravní obslužnosti území</w:t>
            </w:r>
          </w:p>
        </w:tc>
        <w:tc>
          <w:tcPr>
            <w:tcW w:w="1209" w:type="dxa"/>
            <w:noWrap/>
            <w:vAlign w:val="center"/>
          </w:tcPr>
          <w:p w:rsidR="005215DE" w:rsidRPr="005215DE" w:rsidRDefault="00BE581B" w:rsidP="00DF2447">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1</w:t>
            </w:r>
          </w:p>
        </w:tc>
        <w:tc>
          <w:tcPr>
            <w:tcW w:w="1210" w:type="dxa"/>
            <w:noWrap/>
            <w:vAlign w:val="center"/>
          </w:tcPr>
          <w:p w:rsidR="005215DE" w:rsidRPr="005215DE" w:rsidRDefault="00BE581B" w:rsidP="00DF2447">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585</w:t>
            </w:r>
          </w:p>
        </w:tc>
        <w:tc>
          <w:tcPr>
            <w:tcW w:w="1210" w:type="dxa"/>
            <w:noWrap/>
            <w:vAlign w:val="center"/>
          </w:tcPr>
          <w:p w:rsidR="005215DE" w:rsidRPr="005215DE" w:rsidRDefault="00BE581B" w:rsidP="00DF2447">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585</w:t>
            </w:r>
          </w:p>
        </w:tc>
      </w:tr>
      <w:tr w:rsidR="00DF2447" w:rsidRPr="003F3C75" w:rsidTr="00DF2447">
        <w:trPr>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DF2447" w:rsidRPr="003F3C75" w:rsidRDefault="00DF2447" w:rsidP="00DF2447">
            <w:pPr>
              <w:spacing w:after="0"/>
              <w:jc w:val="left"/>
              <w:rPr>
                <w:b w:val="0"/>
                <w:color w:val="auto"/>
                <w:sz w:val="20"/>
                <w:szCs w:val="20"/>
              </w:rPr>
            </w:pPr>
            <w:proofErr w:type="gramStart"/>
            <w:r w:rsidRPr="003F3C75">
              <w:rPr>
                <w:b w:val="0"/>
                <w:color w:val="auto"/>
                <w:sz w:val="20"/>
                <w:szCs w:val="20"/>
              </w:rPr>
              <w:t>D.4 Zlepšování</w:t>
            </w:r>
            <w:proofErr w:type="gramEnd"/>
            <w:r w:rsidRPr="003F3C75">
              <w:rPr>
                <w:b w:val="0"/>
                <w:color w:val="auto"/>
                <w:sz w:val="20"/>
                <w:szCs w:val="20"/>
              </w:rPr>
              <w:t xml:space="preserve"> podmínek pro nemotorovou dopravu</w:t>
            </w:r>
          </w:p>
        </w:tc>
        <w:tc>
          <w:tcPr>
            <w:tcW w:w="1209" w:type="dxa"/>
            <w:noWrap/>
            <w:vAlign w:val="center"/>
            <w:hideMark/>
          </w:tcPr>
          <w:p w:rsidR="00DF2447" w:rsidRPr="00DF2447" w:rsidRDefault="00DF2447" w:rsidP="00DF2447">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DF2447">
              <w:rPr>
                <w:color w:val="auto"/>
                <w:sz w:val="20"/>
                <w:szCs w:val="20"/>
              </w:rPr>
              <w:t>10</w:t>
            </w:r>
          </w:p>
        </w:tc>
        <w:tc>
          <w:tcPr>
            <w:tcW w:w="1210" w:type="dxa"/>
            <w:noWrap/>
            <w:vAlign w:val="center"/>
            <w:hideMark/>
          </w:tcPr>
          <w:p w:rsidR="00DF2447" w:rsidRPr="00DF2447" w:rsidRDefault="00DF2447" w:rsidP="00DF2447">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DF2447">
              <w:rPr>
                <w:color w:val="auto"/>
                <w:sz w:val="20"/>
                <w:szCs w:val="20"/>
              </w:rPr>
              <w:t>12</w:t>
            </w:r>
            <w:r>
              <w:rPr>
                <w:color w:val="auto"/>
                <w:sz w:val="20"/>
                <w:szCs w:val="20"/>
              </w:rPr>
              <w:t xml:space="preserve"> </w:t>
            </w:r>
            <w:r w:rsidRPr="00DF2447">
              <w:rPr>
                <w:color w:val="auto"/>
                <w:sz w:val="20"/>
                <w:szCs w:val="20"/>
              </w:rPr>
              <w:t>020</w:t>
            </w:r>
          </w:p>
        </w:tc>
        <w:tc>
          <w:tcPr>
            <w:tcW w:w="1210" w:type="dxa"/>
            <w:noWrap/>
            <w:vAlign w:val="center"/>
            <w:hideMark/>
          </w:tcPr>
          <w:p w:rsidR="00DF2447" w:rsidRPr="00DF2447" w:rsidRDefault="00DF2447" w:rsidP="00DF2447">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DF2447">
              <w:rPr>
                <w:color w:val="auto"/>
                <w:sz w:val="20"/>
                <w:szCs w:val="20"/>
              </w:rPr>
              <w:t>12</w:t>
            </w:r>
            <w:r>
              <w:rPr>
                <w:color w:val="auto"/>
                <w:sz w:val="20"/>
                <w:szCs w:val="20"/>
              </w:rPr>
              <w:t xml:space="preserve"> </w:t>
            </w:r>
            <w:r w:rsidRPr="00DF2447">
              <w:rPr>
                <w:color w:val="auto"/>
                <w:sz w:val="20"/>
                <w:szCs w:val="20"/>
              </w:rPr>
              <w:t>020</w:t>
            </w:r>
          </w:p>
        </w:tc>
      </w:tr>
      <w:tr w:rsidR="00DF2447" w:rsidRPr="003F3C75" w:rsidTr="00DF244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DF2447" w:rsidRPr="003F3C75" w:rsidRDefault="00DF2447" w:rsidP="00DF2447">
            <w:pPr>
              <w:spacing w:after="0"/>
              <w:jc w:val="left"/>
              <w:rPr>
                <w:b w:val="0"/>
                <w:color w:val="auto"/>
                <w:sz w:val="20"/>
                <w:szCs w:val="20"/>
              </w:rPr>
            </w:pPr>
            <w:proofErr w:type="gramStart"/>
            <w:r w:rsidRPr="003F3C75">
              <w:rPr>
                <w:b w:val="0"/>
                <w:color w:val="auto"/>
                <w:sz w:val="20"/>
                <w:szCs w:val="20"/>
              </w:rPr>
              <w:t>E.1 Snižování</w:t>
            </w:r>
            <w:proofErr w:type="gramEnd"/>
            <w:r w:rsidRPr="003F3C75">
              <w:rPr>
                <w:b w:val="0"/>
                <w:color w:val="auto"/>
                <w:sz w:val="20"/>
                <w:szCs w:val="20"/>
              </w:rPr>
              <w:t xml:space="preserve"> dopadů lidské činnosti na životní prostředí</w:t>
            </w:r>
          </w:p>
        </w:tc>
        <w:tc>
          <w:tcPr>
            <w:tcW w:w="1209" w:type="dxa"/>
            <w:noWrap/>
            <w:vAlign w:val="center"/>
            <w:hideMark/>
          </w:tcPr>
          <w:p w:rsidR="00DF2447" w:rsidRPr="00DF2447" w:rsidRDefault="00DF2447" w:rsidP="00BE581B">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DF2447">
              <w:rPr>
                <w:color w:val="auto"/>
                <w:sz w:val="20"/>
                <w:szCs w:val="20"/>
              </w:rPr>
              <w:t>1</w:t>
            </w:r>
            <w:r>
              <w:rPr>
                <w:color w:val="auto"/>
                <w:sz w:val="20"/>
                <w:szCs w:val="20"/>
              </w:rPr>
              <w:t xml:space="preserve"> </w:t>
            </w:r>
            <w:r w:rsidRPr="00DF2447">
              <w:rPr>
                <w:color w:val="auto"/>
                <w:sz w:val="20"/>
                <w:szCs w:val="20"/>
              </w:rPr>
              <w:t>2</w:t>
            </w:r>
            <w:r w:rsidR="00BE581B">
              <w:rPr>
                <w:color w:val="auto"/>
                <w:sz w:val="20"/>
                <w:szCs w:val="20"/>
              </w:rPr>
              <w:t>81</w:t>
            </w:r>
          </w:p>
        </w:tc>
        <w:tc>
          <w:tcPr>
            <w:tcW w:w="1210" w:type="dxa"/>
            <w:noWrap/>
            <w:vAlign w:val="center"/>
            <w:hideMark/>
          </w:tcPr>
          <w:p w:rsidR="00DF2447" w:rsidRPr="00DF2447" w:rsidRDefault="00DF2447" w:rsidP="00BE581B">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DF2447">
              <w:rPr>
                <w:color w:val="auto"/>
                <w:sz w:val="20"/>
                <w:szCs w:val="20"/>
              </w:rPr>
              <w:t>3</w:t>
            </w:r>
            <w:r w:rsidR="00BE581B">
              <w:rPr>
                <w:color w:val="auto"/>
                <w:sz w:val="20"/>
                <w:szCs w:val="20"/>
              </w:rPr>
              <w:t>6</w:t>
            </w:r>
            <w:r>
              <w:rPr>
                <w:color w:val="auto"/>
                <w:sz w:val="20"/>
                <w:szCs w:val="20"/>
              </w:rPr>
              <w:t xml:space="preserve"> </w:t>
            </w:r>
            <w:r w:rsidR="00BE581B">
              <w:rPr>
                <w:color w:val="auto"/>
                <w:sz w:val="20"/>
                <w:szCs w:val="20"/>
              </w:rPr>
              <w:t>902</w:t>
            </w:r>
          </w:p>
        </w:tc>
        <w:tc>
          <w:tcPr>
            <w:tcW w:w="1210" w:type="dxa"/>
            <w:noWrap/>
            <w:vAlign w:val="center"/>
            <w:hideMark/>
          </w:tcPr>
          <w:p w:rsidR="00DF2447" w:rsidRPr="00DF2447" w:rsidRDefault="00DF2447" w:rsidP="00BE581B">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DF2447">
              <w:rPr>
                <w:color w:val="auto"/>
                <w:sz w:val="20"/>
                <w:szCs w:val="20"/>
              </w:rPr>
              <w:t>1</w:t>
            </w:r>
            <w:r w:rsidR="00BE581B">
              <w:rPr>
                <w:color w:val="auto"/>
                <w:sz w:val="20"/>
                <w:szCs w:val="20"/>
              </w:rPr>
              <w:t>81</w:t>
            </w:r>
            <w:r>
              <w:rPr>
                <w:color w:val="auto"/>
                <w:sz w:val="20"/>
                <w:szCs w:val="20"/>
              </w:rPr>
              <w:t xml:space="preserve"> </w:t>
            </w:r>
            <w:r w:rsidR="00BE581B">
              <w:rPr>
                <w:color w:val="auto"/>
                <w:sz w:val="20"/>
                <w:szCs w:val="20"/>
              </w:rPr>
              <w:t>394</w:t>
            </w:r>
          </w:p>
        </w:tc>
      </w:tr>
      <w:tr w:rsidR="005215DE" w:rsidRPr="003F3C75" w:rsidTr="00DF2447">
        <w:trPr>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5215DE" w:rsidRPr="003F3C75" w:rsidRDefault="005215DE" w:rsidP="003F3C75">
            <w:pPr>
              <w:spacing w:after="0"/>
              <w:jc w:val="left"/>
              <w:rPr>
                <w:b w:val="0"/>
                <w:color w:val="auto"/>
                <w:sz w:val="20"/>
                <w:szCs w:val="20"/>
              </w:rPr>
            </w:pPr>
            <w:proofErr w:type="gramStart"/>
            <w:r w:rsidRPr="003F3C75">
              <w:rPr>
                <w:b w:val="0"/>
                <w:color w:val="auto"/>
                <w:sz w:val="20"/>
                <w:szCs w:val="20"/>
              </w:rPr>
              <w:t>E.2 Zefektivnění</w:t>
            </w:r>
            <w:proofErr w:type="gramEnd"/>
            <w:r w:rsidRPr="003F3C75">
              <w:rPr>
                <w:b w:val="0"/>
                <w:color w:val="auto"/>
                <w:sz w:val="20"/>
                <w:szCs w:val="20"/>
              </w:rPr>
              <w:t xml:space="preserve"> odpadového hospodářství</w:t>
            </w:r>
          </w:p>
        </w:tc>
        <w:tc>
          <w:tcPr>
            <w:tcW w:w="1209" w:type="dxa"/>
            <w:noWrap/>
            <w:vAlign w:val="center"/>
          </w:tcPr>
          <w:p w:rsidR="005215DE" w:rsidRPr="005215DE" w:rsidRDefault="00BE581B" w:rsidP="00DF2447">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7</w:t>
            </w:r>
          </w:p>
        </w:tc>
        <w:tc>
          <w:tcPr>
            <w:tcW w:w="1210" w:type="dxa"/>
            <w:noWrap/>
            <w:vAlign w:val="center"/>
          </w:tcPr>
          <w:p w:rsidR="005215DE" w:rsidRPr="005215DE" w:rsidRDefault="00BE581B" w:rsidP="00DF2447">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2 280</w:t>
            </w:r>
          </w:p>
        </w:tc>
        <w:tc>
          <w:tcPr>
            <w:tcW w:w="1210" w:type="dxa"/>
            <w:noWrap/>
            <w:vAlign w:val="center"/>
          </w:tcPr>
          <w:p w:rsidR="005215DE" w:rsidRPr="005215DE" w:rsidRDefault="00BE581B" w:rsidP="00DF2447">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2 280</w:t>
            </w:r>
          </w:p>
        </w:tc>
      </w:tr>
      <w:tr w:rsidR="00DF2447" w:rsidRPr="003F3C75" w:rsidTr="00DF244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DF2447" w:rsidRPr="003F3C75" w:rsidRDefault="00DF2447" w:rsidP="00DF2447">
            <w:pPr>
              <w:spacing w:after="0"/>
              <w:jc w:val="left"/>
              <w:rPr>
                <w:b w:val="0"/>
                <w:color w:val="auto"/>
                <w:sz w:val="20"/>
                <w:szCs w:val="20"/>
              </w:rPr>
            </w:pPr>
            <w:proofErr w:type="gramStart"/>
            <w:r w:rsidRPr="003F3C75">
              <w:rPr>
                <w:b w:val="0"/>
                <w:color w:val="auto"/>
                <w:sz w:val="20"/>
                <w:szCs w:val="20"/>
              </w:rPr>
              <w:t>E.3 Dosažení</w:t>
            </w:r>
            <w:proofErr w:type="gramEnd"/>
            <w:r w:rsidRPr="003F3C75">
              <w:rPr>
                <w:b w:val="0"/>
                <w:color w:val="auto"/>
                <w:sz w:val="20"/>
                <w:szCs w:val="20"/>
              </w:rPr>
              <w:t xml:space="preserve"> energetických úspor</w:t>
            </w:r>
          </w:p>
        </w:tc>
        <w:tc>
          <w:tcPr>
            <w:tcW w:w="1209" w:type="dxa"/>
            <w:noWrap/>
            <w:vAlign w:val="center"/>
            <w:hideMark/>
          </w:tcPr>
          <w:p w:rsidR="00DF2447" w:rsidRPr="00DF2447" w:rsidRDefault="00DF2447" w:rsidP="00DF2447">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DF2447">
              <w:rPr>
                <w:color w:val="auto"/>
                <w:sz w:val="20"/>
                <w:szCs w:val="20"/>
              </w:rPr>
              <w:t>38</w:t>
            </w:r>
          </w:p>
        </w:tc>
        <w:tc>
          <w:tcPr>
            <w:tcW w:w="1210" w:type="dxa"/>
            <w:noWrap/>
            <w:vAlign w:val="center"/>
            <w:hideMark/>
          </w:tcPr>
          <w:p w:rsidR="00DF2447" w:rsidRPr="00DF2447" w:rsidRDefault="00DF2447" w:rsidP="00DF2447">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DF2447">
              <w:rPr>
                <w:color w:val="auto"/>
                <w:sz w:val="20"/>
                <w:szCs w:val="20"/>
              </w:rPr>
              <w:t>41</w:t>
            </w:r>
            <w:r>
              <w:rPr>
                <w:color w:val="auto"/>
                <w:sz w:val="20"/>
                <w:szCs w:val="20"/>
              </w:rPr>
              <w:t xml:space="preserve"> </w:t>
            </w:r>
            <w:r w:rsidRPr="00DF2447">
              <w:rPr>
                <w:color w:val="auto"/>
                <w:sz w:val="20"/>
                <w:szCs w:val="20"/>
              </w:rPr>
              <w:t>796</w:t>
            </w:r>
          </w:p>
        </w:tc>
        <w:tc>
          <w:tcPr>
            <w:tcW w:w="1210" w:type="dxa"/>
            <w:noWrap/>
            <w:vAlign w:val="center"/>
            <w:hideMark/>
          </w:tcPr>
          <w:p w:rsidR="00DF2447" w:rsidRPr="00DF2447" w:rsidRDefault="00DF2447" w:rsidP="00DF2447">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DF2447">
              <w:rPr>
                <w:color w:val="auto"/>
                <w:sz w:val="20"/>
                <w:szCs w:val="20"/>
              </w:rPr>
              <w:t>53</w:t>
            </w:r>
            <w:r>
              <w:rPr>
                <w:color w:val="auto"/>
                <w:sz w:val="20"/>
                <w:szCs w:val="20"/>
              </w:rPr>
              <w:t xml:space="preserve"> </w:t>
            </w:r>
            <w:r w:rsidRPr="00DF2447">
              <w:rPr>
                <w:color w:val="auto"/>
                <w:sz w:val="20"/>
                <w:szCs w:val="20"/>
              </w:rPr>
              <w:t>805</w:t>
            </w:r>
          </w:p>
        </w:tc>
      </w:tr>
      <w:tr w:rsidR="00DF2447" w:rsidRPr="003F3C75" w:rsidTr="00DF2447">
        <w:trPr>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DF2447" w:rsidRPr="003F3C75" w:rsidRDefault="00DF2447" w:rsidP="00DF2447">
            <w:pPr>
              <w:spacing w:after="0"/>
              <w:jc w:val="left"/>
              <w:rPr>
                <w:b w:val="0"/>
                <w:color w:val="auto"/>
                <w:sz w:val="20"/>
                <w:szCs w:val="20"/>
              </w:rPr>
            </w:pPr>
            <w:proofErr w:type="gramStart"/>
            <w:r w:rsidRPr="003F3C75">
              <w:rPr>
                <w:b w:val="0"/>
                <w:color w:val="auto"/>
                <w:sz w:val="20"/>
                <w:szCs w:val="20"/>
              </w:rPr>
              <w:t>E.4 Zlepšování</w:t>
            </w:r>
            <w:proofErr w:type="gramEnd"/>
            <w:r w:rsidRPr="003F3C75">
              <w:rPr>
                <w:b w:val="0"/>
                <w:color w:val="auto"/>
                <w:sz w:val="20"/>
                <w:szCs w:val="20"/>
              </w:rPr>
              <w:t xml:space="preserve"> ekologické stability krajiny</w:t>
            </w:r>
          </w:p>
        </w:tc>
        <w:tc>
          <w:tcPr>
            <w:tcW w:w="1209" w:type="dxa"/>
            <w:noWrap/>
            <w:vAlign w:val="center"/>
            <w:hideMark/>
          </w:tcPr>
          <w:p w:rsidR="00DF2447" w:rsidRPr="00DF2447" w:rsidRDefault="00DF2447" w:rsidP="00BE581B">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DF2447">
              <w:rPr>
                <w:color w:val="auto"/>
                <w:sz w:val="20"/>
                <w:szCs w:val="20"/>
              </w:rPr>
              <w:t>12</w:t>
            </w:r>
            <w:r w:rsidR="00BE581B">
              <w:rPr>
                <w:color w:val="auto"/>
                <w:sz w:val="20"/>
                <w:szCs w:val="20"/>
              </w:rPr>
              <w:t>8</w:t>
            </w:r>
          </w:p>
        </w:tc>
        <w:tc>
          <w:tcPr>
            <w:tcW w:w="1210" w:type="dxa"/>
            <w:noWrap/>
            <w:vAlign w:val="center"/>
            <w:hideMark/>
          </w:tcPr>
          <w:p w:rsidR="00DF2447" w:rsidRPr="00DF2447" w:rsidRDefault="00BE581B" w:rsidP="00DF2447">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5 117</w:t>
            </w:r>
          </w:p>
        </w:tc>
        <w:tc>
          <w:tcPr>
            <w:tcW w:w="1210" w:type="dxa"/>
            <w:noWrap/>
            <w:vAlign w:val="center"/>
            <w:hideMark/>
          </w:tcPr>
          <w:p w:rsidR="00DF2447" w:rsidRPr="00DF2447" w:rsidRDefault="00BE581B" w:rsidP="00DF2447">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5 117</w:t>
            </w:r>
          </w:p>
        </w:tc>
      </w:tr>
      <w:tr w:rsidR="00DF2447" w:rsidRPr="003F3C75" w:rsidTr="00DF244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DF2447" w:rsidRPr="003F3C75" w:rsidRDefault="00DF2447" w:rsidP="00DF2447">
            <w:pPr>
              <w:spacing w:after="0"/>
              <w:jc w:val="left"/>
              <w:rPr>
                <w:b w:val="0"/>
                <w:color w:val="auto"/>
                <w:sz w:val="20"/>
                <w:szCs w:val="20"/>
              </w:rPr>
            </w:pPr>
            <w:proofErr w:type="gramStart"/>
            <w:r w:rsidRPr="003F3C75">
              <w:rPr>
                <w:b w:val="0"/>
                <w:color w:val="auto"/>
                <w:sz w:val="20"/>
                <w:szCs w:val="20"/>
              </w:rPr>
              <w:t>E.5 Ochrana</w:t>
            </w:r>
            <w:proofErr w:type="gramEnd"/>
            <w:r w:rsidRPr="003F3C75">
              <w:rPr>
                <w:b w:val="0"/>
                <w:color w:val="auto"/>
                <w:sz w:val="20"/>
                <w:szCs w:val="20"/>
              </w:rPr>
              <w:t xml:space="preserve"> přírody a krajinného rázu</w:t>
            </w:r>
          </w:p>
        </w:tc>
        <w:tc>
          <w:tcPr>
            <w:tcW w:w="1209" w:type="dxa"/>
            <w:noWrap/>
            <w:vAlign w:val="center"/>
            <w:hideMark/>
          </w:tcPr>
          <w:p w:rsidR="00DF2447" w:rsidRPr="00DF2447" w:rsidRDefault="00BE581B" w:rsidP="00BE581B">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100</w:t>
            </w:r>
          </w:p>
        </w:tc>
        <w:tc>
          <w:tcPr>
            <w:tcW w:w="1210" w:type="dxa"/>
            <w:noWrap/>
            <w:vAlign w:val="center"/>
            <w:hideMark/>
          </w:tcPr>
          <w:p w:rsidR="00DF2447" w:rsidRPr="00DF2447" w:rsidRDefault="00BE581B" w:rsidP="00BE581B">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5</w:t>
            </w:r>
            <w:r w:rsidR="00DF2447">
              <w:rPr>
                <w:color w:val="auto"/>
                <w:sz w:val="20"/>
                <w:szCs w:val="20"/>
              </w:rPr>
              <w:t xml:space="preserve"> </w:t>
            </w:r>
            <w:r>
              <w:rPr>
                <w:color w:val="auto"/>
                <w:sz w:val="20"/>
                <w:szCs w:val="20"/>
              </w:rPr>
              <w:t>429</w:t>
            </w:r>
          </w:p>
        </w:tc>
        <w:tc>
          <w:tcPr>
            <w:tcW w:w="1210" w:type="dxa"/>
            <w:noWrap/>
            <w:vAlign w:val="center"/>
            <w:hideMark/>
          </w:tcPr>
          <w:p w:rsidR="00DF2447" w:rsidRPr="00DF2447" w:rsidRDefault="00BE581B" w:rsidP="00BE581B">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5</w:t>
            </w:r>
            <w:r w:rsidR="00DF2447">
              <w:rPr>
                <w:color w:val="auto"/>
                <w:sz w:val="20"/>
                <w:szCs w:val="20"/>
              </w:rPr>
              <w:t xml:space="preserve"> </w:t>
            </w:r>
            <w:r>
              <w:rPr>
                <w:color w:val="auto"/>
                <w:sz w:val="20"/>
                <w:szCs w:val="20"/>
              </w:rPr>
              <w:t>429</w:t>
            </w:r>
          </w:p>
        </w:tc>
      </w:tr>
      <w:tr w:rsidR="00DF2447" w:rsidRPr="003F3C75" w:rsidTr="00DF2447">
        <w:trPr>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DF2447" w:rsidRPr="003F3C75" w:rsidRDefault="00DF2447" w:rsidP="00DF2447">
            <w:pPr>
              <w:spacing w:after="0"/>
              <w:jc w:val="left"/>
              <w:rPr>
                <w:b w:val="0"/>
                <w:color w:val="auto"/>
                <w:sz w:val="20"/>
                <w:szCs w:val="20"/>
              </w:rPr>
            </w:pPr>
            <w:proofErr w:type="gramStart"/>
            <w:r w:rsidRPr="003F3C75">
              <w:rPr>
                <w:b w:val="0"/>
                <w:color w:val="auto"/>
                <w:sz w:val="20"/>
                <w:szCs w:val="20"/>
              </w:rPr>
              <w:t>F.1 Efektivní</w:t>
            </w:r>
            <w:proofErr w:type="gramEnd"/>
            <w:r w:rsidRPr="003F3C75">
              <w:rPr>
                <w:b w:val="0"/>
                <w:color w:val="auto"/>
                <w:sz w:val="20"/>
                <w:szCs w:val="20"/>
              </w:rPr>
              <w:t xml:space="preserve"> fungování KÚOK a PO</w:t>
            </w:r>
          </w:p>
        </w:tc>
        <w:tc>
          <w:tcPr>
            <w:tcW w:w="1209" w:type="dxa"/>
            <w:noWrap/>
            <w:vAlign w:val="center"/>
          </w:tcPr>
          <w:p w:rsidR="00DF2447" w:rsidRPr="00DF2447" w:rsidRDefault="00BE581B" w:rsidP="00DF2447">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2</w:t>
            </w:r>
          </w:p>
        </w:tc>
        <w:tc>
          <w:tcPr>
            <w:tcW w:w="1210" w:type="dxa"/>
            <w:noWrap/>
            <w:vAlign w:val="center"/>
          </w:tcPr>
          <w:p w:rsidR="00DF2447" w:rsidRPr="00DF2447" w:rsidRDefault="00DF2447" w:rsidP="00DF2447">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DF2447">
              <w:rPr>
                <w:color w:val="auto"/>
                <w:sz w:val="20"/>
                <w:szCs w:val="20"/>
              </w:rPr>
              <w:t>12</w:t>
            </w:r>
            <w:r>
              <w:rPr>
                <w:color w:val="auto"/>
                <w:sz w:val="20"/>
                <w:szCs w:val="20"/>
              </w:rPr>
              <w:t xml:space="preserve"> </w:t>
            </w:r>
            <w:r w:rsidRPr="00DF2447">
              <w:rPr>
                <w:color w:val="auto"/>
                <w:sz w:val="20"/>
                <w:szCs w:val="20"/>
              </w:rPr>
              <w:t>588</w:t>
            </w:r>
          </w:p>
        </w:tc>
        <w:tc>
          <w:tcPr>
            <w:tcW w:w="1210" w:type="dxa"/>
            <w:noWrap/>
            <w:vAlign w:val="center"/>
          </w:tcPr>
          <w:p w:rsidR="00DF2447" w:rsidRPr="00DF2447" w:rsidRDefault="00DF2447" w:rsidP="00DF2447">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DF2447">
              <w:rPr>
                <w:color w:val="auto"/>
                <w:sz w:val="20"/>
                <w:szCs w:val="20"/>
              </w:rPr>
              <w:t>12</w:t>
            </w:r>
            <w:r>
              <w:rPr>
                <w:color w:val="auto"/>
                <w:sz w:val="20"/>
                <w:szCs w:val="20"/>
              </w:rPr>
              <w:t xml:space="preserve"> </w:t>
            </w:r>
            <w:r w:rsidRPr="00DF2447">
              <w:rPr>
                <w:color w:val="auto"/>
                <w:sz w:val="20"/>
                <w:szCs w:val="20"/>
              </w:rPr>
              <w:t>588</w:t>
            </w:r>
          </w:p>
        </w:tc>
      </w:tr>
      <w:tr w:rsidR="00DF2447" w:rsidRPr="003F3C75" w:rsidTr="00DF244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DF2447" w:rsidRPr="003F3C75" w:rsidRDefault="00DF2447" w:rsidP="00DF2447">
            <w:pPr>
              <w:spacing w:after="0"/>
              <w:jc w:val="left"/>
              <w:rPr>
                <w:b w:val="0"/>
                <w:color w:val="auto"/>
                <w:sz w:val="20"/>
                <w:szCs w:val="20"/>
              </w:rPr>
            </w:pPr>
            <w:proofErr w:type="gramStart"/>
            <w:r w:rsidRPr="003F3C75">
              <w:rPr>
                <w:b w:val="0"/>
                <w:color w:val="auto"/>
                <w:sz w:val="20"/>
                <w:szCs w:val="20"/>
              </w:rPr>
              <w:t>F.2 Plánování</w:t>
            </w:r>
            <w:proofErr w:type="gramEnd"/>
            <w:r w:rsidRPr="003F3C75">
              <w:rPr>
                <w:b w:val="0"/>
                <w:color w:val="auto"/>
                <w:sz w:val="20"/>
                <w:szCs w:val="20"/>
              </w:rPr>
              <w:t xml:space="preserve"> a řízení rozvoje</w:t>
            </w:r>
          </w:p>
        </w:tc>
        <w:tc>
          <w:tcPr>
            <w:tcW w:w="1209" w:type="dxa"/>
            <w:noWrap/>
            <w:vAlign w:val="center"/>
          </w:tcPr>
          <w:p w:rsidR="00DF2447" w:rsidRPr="00DF2447" w:rsidRDefault="00DF2447" w:rsidP="00DF2447">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DF2447">
              <w:rPr>
                <w:color w:val="auto"/>
                <w:sz w:val="20"/>
                <w:szCs w:val="20"/>
              </w:rPr>
              <w:t>12</w:t>
            </w:r>
          </w:p>
        </w:tc>
        <w:tc>
          <w:tcPr>
            <w:tcW w:w="1210" w:type="dxa"/>
            <w:noWrap/>
            <w:vAlign w:val="center"/>
            <w:hideMark/>
          </w:tcPr>
          <w:p w:rsidR="00DF2447" w:rsidRPr="00DF2447" w:rsidRDefault="00DF2447" w:rsidP="00DF2447">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DF2447">
              <w:rPr>
                <w:color w:val="auto"/>
                <w:sz w:val="20"/>
                <w:szCs w:val="20"/>
              </w:rPr>
              <w:t>2</w:t>
            </w:r>
            <w:r>
              <w:rPr>
                <w:color w:val="auto"/>
                <w:sz w:val="20"/>
                <w:szCs w:val="20"/>
              </w:rPr>
              <w:t xml:space="preserve"> </w:t>
            </w:r>
            <w:r w:rsidRPr="00DF2447">
              <w:rPr>
                <w:color w:val="auto"/>
                <w:sz w:val="20"/>
                <w:szCs w:val="20"/>
              </w:rPr>
              <w:t>220</w:t>
            </w:r>
          </w:p>
        </w:tc>
        <w:tc>
          <w:tcPr>
            <w:tcW w:w="1210" w:type="dxa"/>
            <w:noWrap/>
            <w:vAlign w:val="center"/>
            <w:hideMark/>
          </w:tcPr>
          <w:p w:rsidR="00DF2447" w:rsidRPr="00DF2447" w:rsidRDefault="00DF2447" w:rsidP="00DF2447">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DF2447">
              <w:rPr>
                <w:color w:val="auto"/>
                <w:sz w:val="20"/>
                <w:szCs w:val="20"/>
              </w:rPr>
              <w:t>2</w:t>
            </w:r>
            <w:r>
              <w:rPr>
                <w:color w:val="auto"/>
                <w:sz w:val="20"/>
                <w:szCs w:val="20"/>
              </w:rPr>
              <w:t xml:space="preserve"> </w:t>
            </w:r>
            <w:r w:rsidRPr="00DF2447">
              <w:rPr>
                <w:color w:val="auto"/>
                <w:sz w:val="20"/>
                <w:szCs w:val="20"/>
              </w:rPr>
              <w:t>220</w:t>
            </w:r>
          </w:p>
        </w:tc>
      </w:tr>
      <w:tr w:rsidR="00DF2447" w:rsidRPr="003F3C75" w:rsidTr="00DF2447">
        <w:trPr>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DF2447" w:rsidRPr="003F3C75" w:rsidRDefault="00DF2447" w:rsidP="00DF2447">
            <w:pPr>
              <w:spacing w:after="0"/>
              <w:jc w:val="left"/>
              <w:rPr>
                <w:b w:val="0"/>
                <w:color w:val="auto"/>
                <w:sz w:val="20"/>
                <w:szCs w:val="20"/>
              </w:rPr>
            </w:pPr>
            <w:proofErr w:type="gramStart"/>
            <w:r w:rsidRPr="003F3C75">
              <w:rPr>
                <w:b w:val="0"/>
                <w:color w:val="auto"/>
                <w:sz w:val="20"/>
                <w:szCs w:val="20"/>
              </w:rPr>
              <w:t>F.3 Rozvojová</w:t>
            </w:r>
            <w:proofErr w:type="gramEnd"/>
            <w:r w:rsidRPr="003F3C75">
              <w:rPr>
                <w:b w:val="0"/>
                <w:color w:val="auto"/>
                <w:sz w:val="20"/>
                <w:szCs w:val="20"/>
              </w:rPr>
              <w:t xml:space="preserve"> spolupráce</w:t>
            </w:r>
          </w:p>
        </w:tc>
        <w:tc>
          <w:tcPr>
            <w:tcW w:w="1209" w:type="dxa"/>
            <w:noWrap/>
            <w:vAlign w:val="center"/>
          </w:tcPr>
          <w:p w:rsidR="00DF2447" w:rsidRPr="00DF2447" w:rsidRDefault="00DF2447" w:rsidP="00DF2447">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DF2447">
              <w:rPr>
                <w:color w:val="auto"/>
                <w:sz w:val="20"/>
                <w:szCs w:val="20"/>
              </w:rPr>
              <w:t>51</w:t>
            </w:r>
          </w:p>
        </w:tc>
        <w:tc>
          <w:tcPr>
            <w:tcW w:w="1210" w:type="dxa"/>
            <w:noWrap/>
            <w:vAlign w:val="center"/>
            <w:hideMark/>
          </w:tcPr>
          <w:p w:rsidR="00DF2447" w:rsidRPr="00DF2447" w:rsidRDefault="00DF2447" w:rsidP="00DF2447">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DF2447">
              <w:rPr>
                <w:color w:val="auto"/>
                <w:sz w:val="20"/>
                <w:szCs w:val="20"/>
              </w:rPr>
              <w:t>2</w:t>
            </w:r>
            <w:r>
              <w:rPr>
                <w:color w:val="auto"/>
                <w:sz w:val="20"/>
                <w:szCs w:val="20"/>
              </w:rPr>
              <w:t xml:space="preserve"> </w:t>
            </w:r>
            <w:r w:rsidRPr="00DF2447">
              <w:rPr>
                <w:color w:val="auto"/>
                <w:sz w:val="20"/>
                <w:szCs w:val="20"/>
              </w:rPr>
              <w:t>669</w:t>
            </w:r>
          </w:p>
        </w:tc>
        <w:tc>
          <w:tcPr>
            <w:tcW w:w="1210" w:type="dxa"/>
            <w:noWrap/>
            <w:vAlign w:val="center"/>
            <w:hideMark/>
          </w:tcPr>
          <w:p w:rsidR="00DF2447" w:rsidRPr="00DF2447" w:rsidRDefault="00DF2447" w:rsidP="00DF2447">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DF2447">
              <w:rPr>
                <w:color w:val="auto"/>
                <w:sz w:val="20"/>
                <w:szCs w:val="20"/>
              </w:rPr>
              <w:t>4</w:t>
            </w:r>
            <w:r>
              <w:rPr>
                <w:color w:val="auto"/>
                <w:sz w:val="20"/>
                <w:szCs w:val="20"/>
              </w:rPr>
              <w:t xml:space="preserve"> </w:t>
            </w:r>
            <w:r w:rsidRPr="00DF2447">
              <w:rPr>
                <w:color w:val="auto"/>
                <w:sz w:val="20"/>
                <w:szCs w:val="20"/>
              </w:rPr>
              <w:t>565</w:t>
            </w:r>
          </w:p>
        </w:tc>
      </w:tr>
      <w:tr w:rsidR="00DF2447" w:rsidRPr="003F3C75" w:rsidTr="00DF244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DF2447" w:rsidRPr="003F3C75" w:rsidRDefault="00DF2447" w:rsidP="00DF2447">
            <w:pPr>
              <w:spacing w:after="0"/>
              <w:jc w:val="left"/>
              <w:rPr>
                <w:b w:val="0"/>
                <w:color w:val="auto"/>
                <w:sz w:val="20"/>
                <w:szCs w:val="20"/>
              </w:rPr>
            </w:pPr>
            <w:proofErr w:type="gramStart"/>
            <w:r w:rsidRPr="003F3C75">
              <w:rPr>
                <w:b w:val="0"/>
                <w:color w:val="auto"/>
                <w:sz w:val="20"/>
                <w:szCs w:val="20"/>
              </w:rPr>
              <w:t>F.4 Rozvoj</w:t>
            </w:r>
            <w:proofErr w:type="gramEnd"/>
            <w:r w:rsidRPr="003F3C75">
              <w:rPr>
                <w:b w:val="0"/>
                <w:color w:val="auto"/>
                <w:sz w:val="20"/>
                <w:szCs w:val="20"/>
              </w:rPr>
              <w:t xml:space="preserve"> krizového řízení a </w:t>
            </w:r>
            <w:proofErr w:type="spellStart"/>
            <w:r w:rsidRPr="003F3C75">
              <w:rPr>
                <w:b w:val="0"/>
                <w:color w:val="auto"/>
                <w:sz w:val="20"/>
                <w:szCs w:val="20"/>
              </w:rPr>
              <w:t>integ</w:t>
            </w:r>
            <w:proofErr w:type="spellEnd"/>
            <w:r w:rsidRPr="003F3C75">
              <w:rPr>
                <w:b w:val="0"/>
                <w:color w:val="auto"/>
                <w:sz w:val="20"/>
                <w:szCs w:val="20"/>
              </w:rPr>
              <w:t>. záchranného systému</w:t>
            </w:r>
          </w:p>
        </w:tc>
        <w:tc>
          <w:tcPr>
            <w:tcW w:w="1209" w:type="dxa"/>
            <w:noWrap/>
            <w:vAlign w:val="center"/>
          </w:tcPr>
          <w:p w:rsidR="00DF2447" w:rsidRPr="00DF2447" w:rsidRDefault="00DF2447" w:rsidP="00760ADB">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DF2447">
              <w:rPr>
                <w:color w:val="auto"/>
                <w:sz w:val="20"/>
                <w:szCs w:val="20"/>
              </w:rPr>
              <w:t>3</w:t>
            </w:r>
            <w:r w:rsidR="00760ADB">
              <w:rPr>
                <w:color w:val="auto"/>
                <w:sz w:val="20"/>
                <w:szCs w:val="20"/>
              </w:rPr>
              <w:t>55</w:t>
            </w:r>
          </w:p>
        </w:tc>
        <w:tc>
          <w:tcPr>
            <w:tcW w:w="1210" w:type="dxa"/>
            <w:noWrap/>
            <w:vAlign w:val="center"/>
            <w:hideMark/>
          </w:tcPr>
          <w:p w:rsidR="00DF2447" w:rsidRPr="00DF2447" w:rsidRDefault="00BE581B" w:rsidP="00BE581B">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28 200</w:t>
            </w:r>
          </w:p>
        </w:tc>
        <w:tc>
          <w:tcPr>
            <w:tcW w:w="1210" w:type="dxa"/>
            <w:noWrap/>
            <w:vAlign w:val="center"/>
            <w:hideMark/>
          </w:tcPr>
          <w:p w:rsidR="00DF2447" w:rsidRPr="00DF2447" w:rsidRDefault="00760ADB" w:rsidP="00BE581B">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 xml:space="preserve">28 </w:t>
            </w:r>
            <w:r w:rsidR="00BE581B">
              <w:rPr>
                <w:color w:val="auto"/>
                <w:sz w:val="20"/>
                <w:szCs w:val="20"/>
              </w:rPr>
              <w:t>310</w:t>
            </w:r>
          </w:p>
        </w:tc>
      </w:tr>
      <w:tr w:rsidR="003F3C75" w:rsidRPr="003F3C75" w:rsidTr="00DF2447">
        <w:trPr>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1B0CC3" w:rsidRPr="003F3C75" w:rsidRDefault="001B0CC3" w:rsidP="003F3C75">
            <w:pPr>
              <w:spacing w:after="0"/>
              <w:jc w:val="left"/>
              <w:rPr>
                <w:color w:val="auto"/>
                <w:sz w:val="20"/>
                <w:szCs w:val="20"/>
              </w:rPr>
            </w:pPr>
            <w:r w:rsidRPr="003F3C75">
              <w:rPr>
                <w:color w:val="auto"/>
                <w:sz w:val="20"/>
                <w:szCs w:val="20"/>
              </w:rPr>
              <w:t>Celkový součet</w:t>
            </w:r>
          </w:p>
        </w:tc>
        <w:tc>
          <w:tcPr>
            <w:tcW w:w="1209" w:type="dxa"/>
            <w:noWrap/>
            <w:vAlign w:val="center"/>
            <w:hideMark/>
          </w:tcPr>
          <w:p w:rsidR="001B0CC3" w:rsidRPr="00DF2447" w:rsidRDefault="00AA1F6C" w:rsidP="00AA1F6C">
            <w:pPr>
              <w:spacing w:after="0"/>
              <w:jc w:val="right"/>
              <w:cnfStyle w:val="000000000000" w:firstRow="0" w:lastRow="0" w:firstColumn="0" w:lastColumn="0" w:oddVBand="0" w:evenVBand="0" w:oddHBand="0" w:evenHBand="0" w:firstRowFirstColumn="0" w:firstRowLastColumn="0" w:lastRowFirstColumn="0" w:lastRowLastColumn="0"/>
              <w:rPr>
                <w:b/>
                <w:color w:val="auto"/>
                <w:sz w:val="20"/>
                <w:szCs w:val="20"/>
              </w:rPr>
            </w:pPr>
            <w:r>
              <w:rPr>
                <w:b/>
                <w:color w:val="auto"/>
                <w:sz w:val="20"/>
                <w:szCs w:val="20"/>
              </w:rPr>
              <w:t>4 34</w:t>
            </w:r>
            <w:r w:rsidR="00BE581B">
              <w:rPr>
                <w:b/>
                <w:color w:val="auto"/>
                <w:sz w:val="20"/>
                <w:szCs w:val="20"/>
              </w:rPr>
              <w:t>8</w:t>
            </w:r>
          </w:p>
        </w:tc>
        <w:tc>
          <w:tcPr>
            <w:tcW w:w="1210" w:type="dxa"/>
            <w:noWrap/>
            <w:vAlign w:val="center"/>
            <w:hideMark/>
          </w:tcPr>
          <w:p w:rsidR="001B0CC3" w:rsidRPr="003F3C75" w:rsidRDefault="00BE581B" w:rsidP="00AA1F6C">
            <w:pPr>
              <w:spacing w:after="0"/>
              <w:jc w:val="right"/>
              <w:cnfStyle w:val="000000000000" w:firstRow="0" w:lastRow="0" w:firstColumn="0" w:lastColumn="0" w:oddVBand="0" w:evenVBand="0" w:oddHBand="0" w:evenHBand="0" w:firstRowFirstColumn="0" w:firstRowLastColumn="0" w:lastRowFirstColumn="0" w:lastRowLastColumn="0"/>
              <w:rPr>
                <w:b/>
                <w:bCs/>
                <w:color w:val="auto"/>
                <w:sz w:val="20"/>
                <w:szCs w:val="20"/>
              </w:rPr>
            </w:pPr>
            <w:r>
              <w:rPr>
                <w:b/>
                <w:bCs/>
                <w:color w:val="auto"/>
                <w:sz w:val="20"/>
                <w:szCs w:val="20"/>
              </w:rPr>
              <w:t>2 0</w:t>
            </w:r>
            <w:r w:rsidR="00AA1F6C">
              <w:rPr>
                <w:b/>
                <w:bCs/>
                <w:color w:val="auto"/>
                <w:sz w:val="20"/>
                <w:szCs w:val="20"/>
              </w:rPr>
              <w:t>81</w:t>
            </w:r>
            <w:r>
              <w:rPr>
                <w:b/>
                <w:bCs/>
                <w:color w:val="auto"/>
                <w:sz w:val="20"/>
                <w:szCs w:val="20"/>
              </w:rPr>
              <w:t xml:space="preserve"> </w:t>
            </w:r>
            <w:r w:rsidR="00AA1F6C">
              <w:rPr>
                <w:b/>
                <w:bCs/>
                <w:color w:val="auto"/>
                <w:sz w:val="20"/>
                <w:szCs w:val="20"/>
              </w:rPr>
              <w:t>3</w:t>
            </w:r>
            <w:r>
              <w:rPr>
                <w:b/>
                <w:bCs/>
                <w:color w:val="auto"/>
                <w:sz w:val="20"/>
                <w:szCs w:val="20"/>
              </w:rPr>
              <w:t>5</w:t>
            </w:r>
            <w:r w:rsidR="00AA1F6C">
              <w:rPr>
                <w:b/>
                <w:bCs/>
                <w:color w:val="auto"/>
                <w:sz w:val="20"/>
                <w:szCs w:val="20"/>
              </w:rPr>
              <w:t>0</w:t>
            </w:r>
          </w:p>
        </w:tc>
        <w:tc>
          <w:tcPr>
            <w:tcW w:w="1210" w:type="dxa"/>
            <w:noWrap/>
            <w:vAlign w:val="center"/>
            <w:hideMark/>
          </w:tcPr>
          <w:p w:rsidR="001B0CC3" w:rsidRPr="003F3C75" w:rsidRDefault="00BE581B" w:rsidP="00AA1F6C">
            <w:pPr>
              <w:spacing w:after="0"/>
              <w:jc w:val="right"/>
              <w:cnfStyle w:val="000000000000" w:firstRow="0" w:lastRow="0" w:firstColumn="0" w:lastColumn="0" w:oddVBand="0" w:evenVBand="0" w:oddHBand="0" w:evenHBand="0" w:firstRowFirstColumn="0" w:firstRowLastColumn="0" w:lastRowFirstColumn="0" w:lastRowLastColumn="0"/>
              <w:rPr>
                <w:b/>
                <w:bCs/>
                <w:color w:val="auto"/>
                <w:sz w:val="20"/>
                <w:szCs w:val="20"/>
              </w:rPr>
            </w:pPr>
            <w:r>
              <w:rPr>
                <w:b/>
                <w:bCs/>
                <w:color w:val="auto"/>
                <w:sz w:val="20"/>
                <w:szCs w:val="20"/>
              </w:rPr>
              <w:t>2 </w:t>
            </w:r>
            <w:r w:rsidR="00AA1F6C">
              <w:rPr>
                <w:b/>
                <w:bCs/>
                <w:color w:val="auto"/>
                <w:sz w:val="20"/>
                <w:szCs w:val="20"/>
              </w:rPr>
              <w:t>720</w:t>
            </w:r>
            <w:r>
              <w:rPr>
                <w:b/>
                <w:bCs/>
                <w:color w:val="auto"/>
                <w:sz w:val="20"/>
                <w:szCs w:val="20"/>
              </w:rPr>
              <w:t xml:space="preserve"> 95</w:t>
            </w:r>
            <w:r w:rsidR="00AA1F6C">
              <w:rPr>
                <w:b/>
                <w:bCs/>
                <w:color w:val="auto"/>
                <w:sz w:val="20"/>
                <w:szCs w:val="20"/>
              </w:rPr>
              <w:t>2</w:t>
            </w:r>
          </w:p>
        </w:tc>
      </w:tr>
    </w:tbl>
    <w:p w:rsidR="003F3C75" w:rsidRDefault="003F3C75" w:rsidP="00F746F8"/>
    <w:p w:rsidR="00760ADB" w:rsidRDefault="00BF1919" w:rsidP="000F548F">
      <w:pPr>
        <w:spacing w:after="360"/>
      </w:pPr>
      <w:r>
        <w:t>Podpoře subjektů v území je věnována samostatná kapitola. Olomoucký kraj se především stará o svěřenou infrastrukturu. Dále se aktivně podílí na zvyšování kvality výuky a její přizpůsobování trhu práce. Důležité jsou také aktivity v oblasti cestovního ruchu.</w:t>
      </w:r>
    </w:p>
    <w:tbl>
      <w:tblPr>
        <w:tblStyle w:val="Svtlstnovnzvraznn1"/>
        <w:tblW w:w="0" w:type="auto"/>
        <w:tblLayout w:type="fixed"/>
        <w:tblLook w:val="04A0" w:firstRow="1" w:lastRow="0" w:firstColumn="1" w:lastColumn="0" w:noHBand="0" w:noVBand="1"/>
      </w:tblPr>
      <w:tblGrid>
        <w:gridCol w:w="4503"/>
        <w:gridCol w:w="1196"/>
        <w:gridCol w:w="1196"/>
        <w:gridCol w:w="1196"/>
        <w:gridCol w:w="1197"/>
      </w:tblGrid>
      <w:tr w:rsidR="00775DCE" w:rsidRPr="00775DCE" w:rsidTr="00775DCE">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4503" w:type="dxa"/>
            <w:vMerge w:val="restart"/>
            <w:noWrap/>
            <w:vAlign w:val="center"/>
            <w:hideMark/>
          </w:tcPr>
          <w:p w:rsidR="00775DCE" w:rsidRDefault="00775DCE" w:rsidP="00775DCE">
            <w:pPr>
              <w:spacing w:after="0"/>
              <w:jc w:val="center"/>
              <w:rPr>
                <w:bCs w:val="0"/>
                <w:color w:val="auto"/>
                <w:sz w:val="20"/>
                <w:szCs w:val="20"/>
              </w:rPr>
            </w:pPr>
            <w:r w:rsidRPr="00775DCE">
              <w:rPr>
                <w:bCs w:val="0"/>
                <w:color w:val="auto"/>
                <w:sz w:val="20"/>
                <w:szCs w:val="20"/>
              </w:rPr>
              <w:t xml:space="preserve">Plnění priorit </w:t>
            </w:r>
            <w:r w:rsidR="00E22661">
              <w:rPr>
                <w:bCs w:val="0"/>
                <w:color w:val="auto"/>
                <w:sz w:val="20"/>
                <w:szCs w:val="20"/>
              </w:rPr>
              <w:t>SROK</w:t>
            </w:r>
            <w:r w:rsidRPr="00775DCE">
              <w:rPr>
                <w:bCs w:val="0"/>
                <w:color w:val="auto"/>
                <w:sz w:val="20"/>
                <w:szCs w:val="20"/>
              </w:rPr>
              <w:t xml:space="preserve"> v roce </w:t>
            </w:r>
            <w:r w:rsidR="00041757">
              <w:rPr>
                <w:bCs w:val="0"/>
                <w:color w:val="auto"/>
                <w:sz w:val="20"/>
                <w:szCs w:val="20"/>
              </w:rPr>
              <w:t>201</w:t>
            </w:r>
            <w:r w:rsidR="00760ADB">
              <w:rPr>
                <w:bCs w:val="0"/>
                <w:color w:val="auto"/>
                <w:sz w:val="20"/>
                <w:szCs w:val="20"/>
              </w:rPr>
              <w:t>7</w:t>
            </w:r>
            <w:r w:rsidR="00E948BB">
              <w:rPr>
                <w:bCs w:val="0"/>
                <w:color w:val="auto"/>
                <w:sz w:val="20"/>
                <w:szCs w:val="20"/>
              </w:rPr>
              <w:t>:</w:t>
            </w:r>
          </w:p>
          <w:p w:rsidR="00E948BB" w:rsidRPr="00775DCE" w:rsidRDefault="00E948BB" w:rsidP="00775DCE">
            <w:pPr>
              <w:spacing w:after="0"/>
              <w:jc w:val="center"/>
              <w:rPr>
                <w:color w:val="auto"/>
                <w:sz w:val="20"/>
                <w:szCs w:val="20"/>
              </w:rPr>
            </w:pPr>
            <w:r>
              <w:rPr>
                <w:color w:val="auto"/>
                <w:sz w:val="20"/>
                <w:szCs w:val="20"/>
              </w:rPr>
              <w:t>činnosti realizované Olomouckým krajem</w:t>
            </w:r>
          </w:p>
        </w:tc>
        <w:tc>
          <w:tcPr>
            <w:tcW w:w="2392" w:type="dxa"/>
            <w:gridSpan w:val="2"/>
            <w:noWrap/>
            <w:vAlign w:val="center"/>
          </w:tcPr>
          <w:p w:rsidR="00775DCE" w:rsidRPr="00775DCE" w:rsidRDefault="00775DCE" w:rsidP="00775DCE">
            <w:pPr>
              <w:spacing w:after="0"/>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775DCE">
              <w:rPr>
                <w:color w:val="auto"/>
                <w:sz w:val="20"/>
                <w:szCs w:val="20"/>
              </w:rPr>
              <w:t>Investice</w:t>
            </w:r>
          </w:p>
        </w:tc>
        <w:tc>
          <w:tcPr>
            <w:tcW w:w="2393" w:type="dxa"/>
            <w:gridSpan w:val="2"/>
            <w:vAlign w:val="center"/>
          </w:tcPr>
          <w:p w:rsidR="00775DCE" w:rsidRPr="00775DCE" w:rsidRDefault="00775DCE" w:rsidP="00775DCE">
            <w:pPr>
              <w:spacing w:after="0"/>
              <w:jc w:val="center"/>
              <w:cnfStyle w:val="100000000000" w:firstRow="1" w:lastRow="0" w:firstColumn="0" w:lastColumn="0" w:oddVBand="0" w:evenVBand="0" w:oddHBand="0" w:evenHBand="0" w:firstRowFirstColumn="0" w:firstRowLastColumn="0" w:lastRowFirstColumn="0" w:lastRowLastColumn="0"/>
              <w:rPr>
                <w:color w:val="auto"/>
                <w:sz w:val="20"/>
                <w:szCs w:val="20"/>
              </w:rPr>
            </w:pPr>
            <w:proofErr w:type="spellStart"/>
            <w:r w:rsidRPr="00775DCE">
              <w:rPr>
                <w:color w:val="auto"/>
                <w:sz w:val="20"/>
                <w:szCs w:val="20"/>
              </w:rPr>
              <w:t>Neinvestice</w:t>
            </w:r>
            <w:proofErr w:type="spellEnd"/>
          </w:p>
        </w:tc>
      </w:tr>
      <w:tr w:rsidR="00775DCE" w:rsidRPr="003F3C75" w:rsidTr="00775DCE">
        <w:trPr>
          <w:cnfStyle w:val="000000100000" w:firstRow="0" w:lastRow="0" w:firstColumn="0" w:lastColumn="0" w:oddVBand="0" w:evenVBand="0" w:oddHBand="1"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4503" w:type="dxa"/>
            <w:vMerge/>
            <w:noWrap/>
            <w:vAlign w:val="center"/>
          </w:tcPr>
          <w:p w:rsidR="00775DCE" w:rsidRPr="00775DCE" w:rsidRDefault="00775DCE" w:rsidP="00775DCE">
            <w:pPr>
              <w:spacing w:after="0"/>
              <w:jc w:val="center"/>
              <w:rPr>
                <w:b w:val="0"/>
                <w:bCs w:val="0"/>
                <w:sz w:val="20"/>
                <w:szCs w:val="20"/>
              </w:rPr>
            </w:pPr>
          </w:p>
        </w:tc>
        <w:tc>
          <w:tcPr>
            <w:tcW w:w="1196" w:type="dxa"/>
            <w:noWrap/>
            <w:vAlign w:val="center"/>
          </w:tcPr>
          <w:p w:rsidR="00775DCE" w:rsidRPr="00775DCE" w:rsidRDefault="00775DCE" w:rsidP="00775DCE">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r w:rsidRPr="00775DCE">
              <w:rPr>
                <w:bCs/>
                <w:color w:val="auto"/>
                <w:sz w:val="20"/>
                <w:szCs w:val="20"/>
              </w:rPr>
              <w:t>Počet činností</w:t>
            </w:r>
          </w:p>
        </w:tc>
        <w:tc>
          <w:tcPr>
            <w:tcW w:w="1196" w:type="dxa"/>
            <w:vAlign w:val="center"/>
          </w:tcPr>
          <w:p w:rsidR="00775DCE" w:rsidRPr="00775DCE" w:rsidRDefault="00775DCE" w:rsidP="00775DCE">
            <w:pPr>
              <w:spacing w:after="0"/>
              <w:jc w:val="center"/>
              <w:cnfStyle w:val="000000100000" w:firstRow="0" w:lastRow="0" w:firstColumn="0" w:lastColumn="0" w:oddVBand="0" w:evenVBand="0" w:oddHBand="1" w:evenHBand="0" w:firstRowFirstColumn="0" w:firstRowLastColumn="0" w:lastRowFirstColumn="0" w:lastRowLastColumn="0"/>
              <w:rPr>
                <w:bCs/>
                <w:sz w:val="20"/>
                <w:szCs w:val="20"/>
              </w:rPr>
            </w:pPr>
            <w:r w:rsidRPr="00775DCE">
              <w:rPr>
                <w:bCs/>
                <w:color w:val="auto"/>
                <w:sz w:val="20"/>
                <w:szCs w:val="20"/>
              </w:rPr>
              <w:t xml:space="preserve">Celkové </w:t>
            </w:r>
            <w:r w:rsidR="00597687">
              <w:rPr>
                <w:bCs/>
                <w:color w:val="auto"/>
                <w:sz w:val="20"/>
                <w:szCs w:val="20"/>
              </w:rPr>
              <w:t>výdaje</w:t>
            </w:r>
            <w:r w:rsidRPr="00775DCE">
              <w:rPr>
                <w:bCs/>
                <w:color w:val="auto"/>
                <w:sz w:val="20"/>
                <w:szCs w:val="20"/>
              </w:rPr>
              <w:t xml:space="preserve"> </w:t>
            </w:r>
            <w:r w:rsidRPr="00775DCE">
              <w:rPr>
                <w:bCs/>
                <w:color w:val="auto"/>
                <w:sz w:val="20"/>
                <w:szCs w:val="20"/>
              </w:rPr>
              <w:br/>
              <w:t>(v tis. Kč)</w:t>
            </w:r>
          </w:p>
        </w:tc>
        <w:tc>
          <w:tcPr>
            <w:tcW w:w="1196" w:type="dxa"/>
            <w:vAlign w:val="center"/>
          </w:tcPr>
          <w:p w:rsidR="00775DCE" w:rsidRPr="00775DCE" w:rsidRDefault="00775DCE" w:rsidP="00775DCE">
            <w:pPr>
              <w:spacing w:after="0"/>
              <w:jc w:val="center"/>
              <w:cnfStyle w:val="000000100000" w:firstRow="0" w:lastRow="0" w:firstColumn="0" w:lastColumn="0" w:oddVBand="0" w:evenVBand="0" w:oddHBand="1" w:evenHBand="0" w:firstRowFirstColumn="0" w:firstRowLastColumn="0" w:lastRowFirstColumn="0" w:lastRowLastColumn="0"/>
              <w:rPr>
                <w:bCs/>
                <w:sz w:val="20"/>
                <w:szCs w:val="20"/>
              </w:rPr>
            </w:pPr>
            <w:r w:rsidRPr="00775DCE">
              <w:rPr>
                <w:bCs/>
                <w:color w:val="auto"/>
                <w:sz w:val="20"/>
                <w:szCs w:val="20"/>
              </w:rPr>
              <w:t>Počet činností</w:t>
            </w:r>
          </w:p>
        </w:tc>
        <w:tc>
          <w:tcPr>
            <w:tcW w:w="1197" w:type="dxa"/>
            <w:vAlign w:val="center"/>
          </w:tcPr>
          <w:p w:rsidR="00775DCE" w:rsidRPr="00775DCE" w:rsidRDefault="00775DCE" w:rsidP="00775DCE">
            <w:pPr>
              <w:spacing w:after="0"/>
              <w:jc w:val="center"/>
              <w:cnfStyle w:val="000000100000" w:firstRow="0" w:lastRow="0" w:firstColumn="0" w:lastColumn="0" w:oddVBand="0" w:evenVBand="0" w:oddHBand="1" w:evenHBand="0" w:firstRowFirstColumn="0" w:firstRowLastColumn="0" w:lastRowFirstColumn="0" w:lastRowLastColumn="0"/>
              <w:rPr>
                <w:bCs/>
                <w:sz w:val="20"/>
                <w:szCs w:val="20"/>
              </w:rPr>
            </w:pPr>
            <w:r w:rsidRPr="00775DCE">
              <w:rPr>
                <w:bCs/>
                <w:color w:val="auto"/>
                <w:sz w:val="20"/>
                <w:szCs w:val="20"/>
              </w:rPr>
              <w:t xml:space="preserve">Celkové </w:t>
            </w:r>
            <w:r w:rsidR="00597687">
              <w:rPr>
                <w:bCs/>
                <w:color w:val="auto"/>
                <w:sz w:val="20"/>
                <w:szCs w:val="20"/>
              </w:rPr>
              <w:t>výdaje</w:t>
            </w:r>
            <w:r w:rsidRPr="00775DCE">
              <w:rPr>
                <w:bCs/>
                <w:color w:val="auto"/>
                <w:sz w:val="20"/>
                <w:szCs w:val="20"/>
              </w:rPr>
              <w:t xml:space="preserve"> </w:t>
            </w:r>
            <w:r w:rsidRPr="00775DCE">
              <w:rPr>
                <w:bCs/>
                <w:color w:val="auto"/>
                <w:sz w:val="20"/>
                <w:szCs w:val="20"/>
              </w:rPr>
              <w:br/>
              <w:t>(v tis. Kč)</w:t>
            </w:r>
          </w:p>
        </w:tc>
      </w:tr>
      <w:tr w:rsidR="00775DCE" w:rsidRPr="003F3C75" w:rsidTr="00775DCE">
        <w:trPr>
          <w:trHeight w:val="255"/>
        </w:trPr>
        <w:tc>
          <w:tcPr>
            <w:cnfStyle w:val="001000000000" w:firstRow="0" w:lastRow="0" w:firstColumn="1" w:lastColumn="0" w:oddVBand="0" w:evenVBand="0" w:oddHBand="0" w:evenHBand="0" w:firstRowFirstColumn="0" w:firstRowLastColumn="0" w:lastRowFirstColumn="0" w:lastRowLastColumn="0"/>
            <w:tcW w:w="4503" w:type="dxa"/>
            <w:noWrap/>
            <w:vAlign w:val="center"/>
            <w:hideMark/>
          </w:tcPr>
          <w:p w:rsidR="00775DCE" w:rsidRPr="003F3C75" w:rsidRDefault="00775DCE" w:rsidP="0028499A">
            <w:pPr>
              <w:spacing w:after="0"/>
              <w:jc w:val="left"/>
              <w:rPr>
                <w:b w:val="0"/>
                <w:color w:val="auto"/>
                <w:sz w:val="20"/>
                <w:szCs w:val="20"/>
              </w:rPr>
            </w:pPr>
            <w:proofErr w:type="gramStart"/>
            <w:r w:rsidRPr="003F3C75">
              <w:rPr>
                <w:b w:val="0"/>
                <w:color w:val="auto"/>
                <w:sz w:val="20"/>
                <w:szCs w:val="20"/>
              </w:rPr>
              <w:t xml:space="preserve">A.1 </w:t>
            </w:r>
            <w:proofErr w:type="spellStart"/>
            <w:r w:rsidRPr="003F3C75">
              <w:rPr>
                <w:b w:val="0"/>
                <w:color w:val="auto"/>
                <w:sz w:val="20"/>
                <w:szCs w:val="20"/>
              </w:rPr>
              <w:t>Opt</w:t>
            </w:r>
            <w:proofErr w:type="spellEnd"/>
            <w:proofErr w:type="gramEnd"/>
            <w:r w:rsidRPr="003F3C75">
              <w:rPr>
                <w:b w:val="0"/>
                <w:color w:val="auto"/>
                <w:sz w:val="20"/>
                <w:szCs w:val="20"/>
              </w:rPr>
              <w:t>. systému škol a zvyšování kvality vzdělávání</w:t>
            </w:r>
          </w:p>
        </w:tc>
        <w:tc>
          <w:tcPr>
            <w:tcW w:w="1196" w:type="dxa"/>
            <w:noWrap/>
            <w:vAlign w:val="center"/>
          </w:tcPr>
          <w:p w:rsidR="00775DCE" w:rsidRPr="00775DCE" w:rsidRDefault="00760ADB" w:rsidP="00775DCE">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55</w:t>
            </w:r>
          </w:p>
        </w:tc>
        <w:tc>
          <w:tcPr>
            <w:tcW w:w="1196" w:type="dxa"/>
            <w:noWrap/>
            <w:vAlign w:val="center"/>
          </w:tcPr>
          <w:p w:rsidR="00775DCE" w:rsidRPr="00775DCE" w:rsidRDefault="00760ADB" w:rsidP="009C5070">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159 7</w:t>
            </w:r>
            <w:r w:rsidR="009C5070">
              <w:rPr>
                <w:color w:val="auto"/>
                <w:sz w:val="20"/>
                <w:szCs w:val="20"/>
              </w:rPr>
              <w:t>61</w:t>
            </w:r>
          </w:p>
        </w:tc>
        <w:tc>
          <w:tcPr>
            <w:tcW w:w="1196" w:type="dxa"/>
            <w:vAlign w:val="center"/>
          </w:tcPr>
          <w:p w:rsidR="00775DCE" w:rsidRPr="00775DCE" w:rsidRDefault="009F4EC2" w:rsidP="00775DCE">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1</w:t>
            </w:r>
            <w:r w:rsidR="009C5070">
              <w:rPr>
                <w:color w:val="auto"/>
                <w:sz w:val="20"/>
                <w:szCs w:val="20"/>
              </w:rPr>
              <w:t>7</w:t>
            </w:r>
          </w:p>
        </w:tc>
        <w:tc>
          <w:tcPr>
            <w:tcW w:w="1197" w:type="dxa"/>
            <w:noWrap/>
            <w:vAlign w:val="center"/>
          </w:tcPr>
          <w:p w:rsidR="00775DCE" w:rsidRPr="00775DCE" w:rsidRDefault="009C5070" w:rsidP="00775DCE">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8 221</w:t>
            </w:r>
          </w:p>
        </w:tc>
      </w:tr>
      <w:tr w:rsidR="00775DCE" w:rsidRPr="003F3C75" w:rsidTr="00775DC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503" w:type="dxa"/>
            <w:noWrap/>
            <w:vAlign w:val="center"/>
            <w:hideMark/>
          </w:tcPr>
          <w:p w:rsidR="00775DCE" w:rsidRPr="003F3C75" w:rsidRDefault="00775DCE" w:rsidP="0028499A">
            <w:pPr>
              <w:spacing w:after="0"/>
              <w:jc w:val="left"/>
              <w:rPr>
                <w:b w:val="0"/>
                <w:color w:val="auto"/>
                <w:sz w:val="20"/>
                <w:szCs w:val="20"/>
              </w:rPr>
            </w:pPr>
            <w:proofErr w:type="gramStart"/>
            <w:r w:rsidRPr="003F3C75">
              <w:rPr>
                <w:b w:val="0"/>
                <w:color w:val="auto"/>
                <w:sz w:val="20"/>
                <w:szCs w:val="20"/>
              </w:rPr>
              <w:t>A.2 Podpora</w:t>
            </w:r>
            <w:proofErr w:type="gramEnd"/>
            <w:r w:rsidRPr="003F3C75">
              <w:rPr>
                <w:b w:val="0"/>
                <w:color w:val="auto"/>
                <w:sz w:val="20"/>
                <w:szCs w:val="20"/>
              </w:rPr>
              <w:t xml:space="preserve"> zaměstnanosti</w:t>
            </w:r>
          </w:p>
        </w:tc>
        <w:tc>
          <w:tcPr>
            <w:tcW w:w="1196" w:type="dxa"/>
            <w:noWrap/>
            <w:vAlign w:val="center"/>
          </w:tcPr>
          <w:p w:rsidR="00775DCE" w:rsidRPr="00775DCE" w:rsidRDefault="00664F97" w:rsidP="00775DCE">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w:t>
            </w:r>
          </w:p>
        </w:tc>
        <w:tc>
          <w:tcPr>
            <w:tcW w:w="1196" w:type="dxa"/>
            <w:noWrap/>
            <w:vAlign w:val="center"/>
          </w:tcPr>
          <w:p w:rsidR="00775DCE" w:rsidRPr="00775DCE" w:rsidRDefault="00664F97" w:rsidP="00775DCE">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w:t>
            </w:r>
          </w:p>
        </w:tc>
        <w:tc>
          <w:tcPr>
            <w:tcW w:w="1196" w:type="dxa"/>
            <w:vAlign w:val="center"/>
          </w:tcPr>
          <w:p w:rsidR="00775DCE" w:rsidRPr="00775DCE" w:rsidRDefault="009C5070" w:rsidP="00775DCE">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12</w:t>
            </w:r>
          </w:p>
        </w:tc>
        <w:tc>
          <w:tcPr>
            <w:tcW w:w="1197" w:type="dxa"/>
            <w:noWrap/>
            <w:vAlign w:val="center"/>
          </w:tcPr>
          <w:p w:rsidR="00775DCE" w:rsidRPr="00775DCE" w:rsidRDefault="000B4005" w:rsidP="009C5070">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 xml:space="preserve">1 </w:t>
            </w:r>
            <w:r w:rsidR="009C5070">
              <w:rPr>
                <w:color w:val="auto"/>
                <w:sz w:val="20"/>
                <w:szCs w:val="20"/>
              </w:rPr>
              <w:t>093</w:t>
            </w:r>
          </w:p>
        </w:tc>
      </w:tr>
      <w:tr w:rsidR="00775DCE" w:rsidRPr="003F3C75" w:rsidTr="00775DCE">
        <w:trPr>
          <w:trHeight w:val="255"/>
        </w:trPr>
        <w:tc>
          <w:tcPr>
            <w:cnfStyle w:val="001000000000" w:firstRow="0" w:lastRow="0" w:firstColumn="1" w:lastColumn="0" w:oddVBand="0" w:evenVBand="0" w:oddHBand="0" w:evenHBand="0" w:firstRowFirstColumn="0" w:firstRowLastColumn="0" w:lastRowFirstColumn="0" w:lastRowLastColumn="0"/>
            <w:tcW w:w="4503" w:type="dxa"/>
            <w:noWrap/>
            <w:vAlign w:val="center"/>
            <w:hideMark/>
          </w:tcPr>
          <w:p w:rsidR="00775DCE" w:rsidRPr="003F3C75" w:rsidRDefault="00775DCE" w:rsidP="0028499A">
            <w:pPr>
              <w:spacing w:after="0"/>
              <w:jc w:val="left"/>
              <w:rPr>
                <w:b w:val="0"/>
                <w:color w:val="auto"/>
                <w:sz w:val="20"/>
                <w:szCs w:val="20"/>
              </w:rPr>
            </w:pPr>
            <w:proofErr w:type="gramStart"/>
            <w:r w:rsidRPr="003F3C75">
              <w:rPr>
                <w:b w:val="0"/>
                <w:color w:val="auto"/>
                <w:sz w:val="20"/>
                <w:szCs w:val="20"/>
              </w:rPr>
              <w:t>A.3 Podpora</w:t>
            </w:r>
            <w:proofErr w:type="gramEnd"/>
            <w:r w:rsidRPr="003F3C75">
              <w:rPr>
                <w:b w:val="0"/>
                <w:color w:val="auto"/>
                <w:sz w:val="20"/>
                <w:szCs w:val="20"/>
              </w:rPr>
              <w:t xml:space="preserve"> rovných příležitostí a prorodinných aktivit</w:t>
            </w:r>
          </w:p>
        </w:tc>
        <w:tc>
          <w:tcPr>
            <w:tcW w:w="1196" w:type="dxa"/>
            <w:noWrap/>
            <w:vAlign w:val="center"/>
          </w:tcPr>
          <w:p w:rsidR="00775DCE" w:rsidRPr="00775DCE" w:rsidRDefault="000B4005" w:rsidP="00775DCE">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1</w:t>
            </w:r>
          </w:p>
        </w:tc>
        <w:tc>
          <w:tcPr>
            <w:tcW w:w="1196" w:type="dxa"/>
            <w:noWrap/>
            <w:vAlign w:val="center"/>
          </w:tcPr>
          <w:p w:rsidR="00775DCE" w:rsidRPr="00775DCE" w:rsidRDefault="009C5070" w:rsidP="00775DCE">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2 904</w:t>
            </w:r>
          </w:p>
        </w:tc>
        <w:tc>
          <w:tcPr>
            <w:tcW w:w="1196" w:type="dxa"/>
            <w:vAlign w:val="center"/>
          </w:tcPr>
          <w:p w:rsidR="00775DCE" w:rsidRPr="00775DCE" w:rsidRDefault="009C5070" w:rsidP="00775DCE">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0</w:t>
            </w:r>
          </w:p>
        </w:tc>
        <w:tc>
          <w:tcPr>
            <w:tcW w:w="1197" w:type="dxa"/>
            <w:noWrap/>
            <w:vAlign w:val="center"/>
          </w:tcPr>
          <w:p w:rsidR="00775DCE" w:rsidRPr="00775DCE" w:rsidRDefault="009C5070" w:rsidP="00775DCE">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0</w:t>
            </w:r>
          </w:p>
        </w:tc>
      </w:tr>
      <w:tr w:rsidR="00775DCE" w:rsidRPr="003F3C75" w:rsidTr="00775DC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503" w:type="dxa"/>
            <w:noWrap/>
            <w:vAlign w:val="center"/>
            <w:hideMark/>
          </w:tcPr>
          <w:p w:rsidR="00775DCE" w:rsidRPr="003F3C75" w:rsidRDefault="00775DCE" w:rsidP="0028499A">
            <w:pPr>
              <w:spacing w:after="0"/>
              <w:jc w:val="left"/>
              <w:rPr>
                <w:b w:val="0"/>
                <w:color w:val="auto"/>
                <w:sz w:val="20"/>
                <w:szCs w:val="20"/>
              </w:rPr>
            </w:pPr>
            <w:proofErr w:type="gramStart"/>
            <w:r w:rsidRPr="003F3C75">
              <w:rPr>
                <w:b w:val="0"/>
                <w:color w:val="auto"/>
                <w:sz w:val="20"/>
                <w:szCs w:val="20"/>
              </w:rPr>
              <w:t xml:space="preserve">A.4 </w:t>
            </w:r>
            <w:proofErr w:type="spellStart"/>
            <w:r w:rsidRPr="003F3C75">
              <w:rPr>
                <w:b w:val="0"/>
                <w:color w:val="auto"/>
                <w:sz w:val="20"/>
                <w:szCs w:val="20"/>
              </w:rPr>
              <w:t>Zlep</w:t>
            </w:r>
            <w:proofErr w:type="spellEnd"/>
            <w:proofErr w:type="gramEnd"/>
            <w:r w:rsidRPr="003F3C75">
              <w:rPr>
                <w:b w:val="0"/>
                <w:color w:val="auto"/>
                <w:sz w:val="20"/>
                <w:szCs w:val="20"/>
              </w:rPr>
              <w:t>. podmínek pro kult., sport</w:t>
            </w:r>
            <w:r>
              <w:rPr>
                <w:b w:val="0"/>
                <w:color w:val="auto"/>
                <w:sz w:val="20"/>
                <w:szCs w:val="20"/>
              </w:rPr>
              <w:t>.</w:t>
            </w:r>
            <w:r w:rsidRPr="003F3C75">
              <w:rPr>
                <w:b w:val="0"/>
                <w:color w:val="auto"/>
                <w:sz w:val="20"/>
                <w:szCs w:val="20"/>
              </w:rPr>
              <w:t xml:space="preserve"> a volnočasové aktivity</w:t>
            </w:r>
          </w:p>
        </w:tc>
        <w:tc>
          <w:tcPr>
            <w:tcW w:w="1196" w:type="dxa"/>
            <w:noWrap/>
            <w:vAlign w:val="center"/>
          </w:tcPr>
          <w:p w:rsidR="00775DCE" w:rsidRPr="00775DCE" w:rsidRDefault="000B4005" w:rsidP="00775DCE">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1</w:t>
            </w:r>
          </w:p>
        </w:tc>
        <w:tc>
          <w:tcPr>
            <w:tcW w:w="1196" w:type="dxa"/>
            <w:noWrap/>
            <w:vAlign w:val="center"/>
          </w:tcPr>
          <w:p w:rsidR="00775DCE" w:rsidRPr="00775DCE" w:rsidRDefault="000B4005" w:rsidP="00775DCE">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 xml:space="preserve">2 </w:t>
            </w:r>
            <w:r w:rsidR="00664F97">
              <w:rPr>
                <w:color w:val="auto"/>
                <w:sz w:val="20"/>
                <w:szCs w:val="20"/>
              </w:rPr>
              <w:t>0</w:t>
            </w:r>
            <w:r>
              <w:rPr>
                <w:color w:val="auto"/>
                <w:sz w:val="20"/>
                <w:szCs w:val="20"/>
              </w:rPr>
              <w:t>19</w:t>
            </w:r>
          </w:p>
        </w:tc>
        <w:tc>
          <w:tcPr>
            <w:tcW w:w="1196" w:type="dxa"/>
            <w:vAlign w:val="center"/>
          </w:tcPr>
          <w:p w:rsidR="00775DCE" w:rsidRPr="00775DCE" w:rsidRDefault="00572998" w:rsidP="00775DCE">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w:t>
            </w:r>
          </w:p>
        </w:tc>
        <w:tc>
          <w:tcPr>
            <w:tcW w:w="1197" w:type="dxa"/>
            <w:noWrap/>
            <w:vAlign w:val="center"/>
          </w:tcPr>
          <w:p w:rsidR="00775DCE" w:rsidRPr="00775DCE" w:rsidRDefault="00664F97" w:rsidP="00775DCE">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w:t>
            </w:r>
          </w:p>
        </w:tc>
      </w:tr>
      <w:tr w:rsidR="00775DCE" w:rsidRPr="003F3C75" w:rsidTr="00775DCE">
        <w:trPr>
          <w:trHeight w:val="255"/>
        </w:trPr>
        <w:tc>
          <w:tcPr>
            <w:cnfStyle w:val="001000000000" w:firstRow="0" w:lastRow="0" w:firstColumn="1" w:lastColumn="0" w:oddVBand="0" w:evenVBand="0" w:oddHBand="0" w:evenHBand="0" w:firstRowFirstColumn="0" w:firstRowLastColumn="0" w:lastRowFirstColumn="0" w:lastRowLastColumn="0"/>
            <w:tcW w:w="4503" w:type="dxa"/>
            <w:noWrap/>
            <w:vAlign w:val="center"/>
            <w:hideMark/>
          </w:tcPr>
          <w:p w:rsidR="00775DCE" w:rsidRPr="003F3C75" w:rsidRDefault="00775DCE" w:rsidP="0028499A">
            <w:pPr>
              <w:spacing w:after="0"/>
              <w:jc w:val="left"/>
              <w:rPr>
                <w:b w:val="0"/>
                <w:color w:val="auto"/>
                <w:sz w:val="20"/>
                <w:szCs w:val="20"/>
              </w:rPr>
            </w:pPr>
            <w:proofErr w:type="gramStart"/>
            <w:r w:rsidRPr="003F3C75">
              <w:rPr>
                <w:b w:val="0"/>
                <w:color w:val="auto"/>
                <w:sz w:val="20"/>
                <w:szCs w:val="20"/>
              </w:rPr>
              <w:t>A.5 Péče</w:t>
            </w:r>
            <w:proofErr w:type="gramEnd"/>
            <w:r w:rsidRPr="003F3C75">
              <w:rPr>
                <w:b w:val="0"/>
                <w:color w:val="auto"/>
                <w:sz w:val="20"/>
                <w:szCs w:val="20"/>
              </w:rPr>
              <w:t xml:space="preserve"> o kulturní dědictví</w:t>
            </w:r>
          </w:p>
        </w:tc>
        <w:tc>
          <w:tcPr>
            <w:tcW w:w="1196" w:type="dxa"/>
            <w:noWrap/>
            <w:vAlign w:val="center"/>
          </w:tcPr>
          <w:p w:rsidR="00775DCE" w:rsidRPr="00775DCE" w:rsidRDefault="009C5070" w:rsidP="00775DCE">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15</w:t>
            </w:r>
          </w:p>
        </w:tc>
        <w:tc>
          <w:tcPr>
            <w:tcW w:w="1196" w:type="dxa"/>
            <w:noWrap/>
            <w:vAlign w:val="center"/>
          </w:tcPr>
          <w:p w:rsidR="00775DCE" w:rsidRPr="00775DCE" w:rsidRDefault="009C5070" w:rsidP="009C5070">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41</w:t>
            </w:r>
            <w:r w:rsidR="00664F97">
              <w:rPr>
                <w:color w:val="auto"/>
                <w:sz w:val="20"/>
                <w:szCs w:val="20"/>
              </w:rPr>
              <w:t xml:space="preserve"> </w:t>
            </w:r>
            <w:r w:rsidR="000B4005">
              <w:rPr>
                <w:color w:val="auto"/>
                <w:sz w:val="20"/>
                <w:szCs w:val="20"/>
              </w:rPr>
              <w:t>9</w:t>
            </w:r>
            <w:r>
              <w:rPr>
                <w:color w:val="auto"/>
                <w:sz w:val="20"/>
                <w:szCs w:val="20"/>
              </w:rPr>
              <w:t>8</w:t>
            </w:r>
            <w:r w:rsidR="000B4005">
              <w:rPr>
                <w:color w:val="auto"/>
                <w:sz w:val="20"/>
                <w:szCs w:val="20"/>
              </w:rPr>
              <w:t>1</w:t>
            </w:r>
          </w:p>
        </w:tc>
        <w:tc>
          <w:tcPr>
            <w:tcW w:w="1196" w:type="dxa"/>
            <w:vAlign w:val="center"/>
          </w:tcPr>
          <w:p w:rsidR="00775DCE" w:rsidRPr="00775DCE" w:rsidRDefault="00985BCD" w:rsidP="00775DCE">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0</w:t>
            </w:r>
          </w:p>
        </w:tc>
        <w:tc>
          <w:tcPr>
            <w:tcW w:w="1197" w:type="dxa"/>
            <w:noWrap/>
            <w:vAlign w:val="center"/>
          </w:tcPr>
          <w:p w:rsidR="00775DCE" w:rsidRPr="00775DCE" w:rsidRDefault="00985BCD" w:rsidP="00775DCE">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0</w:t>
            </w:r>
          </w:p>
        </w:tc>
      </w:tr>
      <w:tr w:rsidR="00775DCE" w:rsidRPr="003F3C75" w:rsidTr="00775DC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503" w:type="dxa"/>
            <w:noWrap/>
            <w:vAlign w:val="center"/>
            <w:hideMark/>
          </w:tcPr>
          <w:p w:rsidR="00775DCE" w:rsidRPr="003F3C75" w:rsidRDefault="00775DCE" w:rsidP="0028499A">
            <w:pPr>
              <w:spacing w:after="0"/>
              <w:jc w:val="left"/>
              <w:rPr>
                <w:b w:val="0"/>
                <w:color w:val="auto"/>
                <w:sz w:val="20"/>
                <w:szCs w:val="20"/>
              </w:rPr>
            </w:pPr>
            <w:proofErr w:type="gramStart"/>
            <w:r w:rsidRPr="003F3C75">
              <w:rPr>
                <w:b w:val="0"/>
                <w:color w:val="auto"/>
                <w:sz w:val="20"/>
                <w:szCs w:val="20"/>
              </w:rPr>
              <w:t>B.1 Optimalizace</w:t>
            </w:r>
            <w:proofErr w:type="gramEnd"/>
            <w:r w:rsidRPr="003F3C75">
              <w:rPr>
                <w:b w:val="0"/>
                <w:color w:val="auto"/>
                <w:sz w:val="20"/>
                <w:szCs w:val="20"/>
              </w:rPr>
              <w:t xml:space="preserve"> systému zajišťování zdravotní péče</w:t>
            </w:r>
          </w:p>
        </w:tc>
        <w:tc>
          <w:tcPr>
            <w:tcW w:w="1196" w:type="dxa"/>
            <w:noWrap/>
            <w:vAlign w:val="center"/>
          </w:tcPr>
          <w:p w:rsidR="00775DCE" w:rsidRPr="00775DCE" w:rsidRDefault="00AB31CC" w:rsidP="000F548F">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2</w:t>
            </w:r>
            <w:r w:rsidR="000F548F">
              <w:rPr>
                <w:color w:val="auto"/>
                <w:sz w:val="20"/>
                <w:szCs w:val="20"/>
              </w:rPr>
              <w:t>2</w:t>
            </w:r>
          </w:p>
        </w:tc>
        <w:tc>
          <w:tcPr>
            <w:tcW w:w="1196" w:type="dxa"/>
            <w:noWrap/>
            <w:vAlign w:val="center"/>
          </w:tcPr>
          <w:p w:rsidR="00775DCE" w:rsidRPr="00775DCE" w:rsidRDefault="000F548F" w:rsidP="000F548F">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48</w:t>
            </w:r>
            <w:r w:rsidR="00AB31CC">
              <w:rPr>
                <w:color w:val="auto"/>
                <w:sz w:val="20"/>
                <w:szCs w:val="20"/>
              </w:rPr>
              <w:t xml:space="preserve"> </w:t>
            </w:r>
            <w:r>
              <w:rPr>
                <w:color w:val="auto"/>
                <w:sz w:val="20"/>
                <w:szCs w:val="20"/>
              </w:rPr>
              <w:t>4</w:t>
            </w:r>
            <w:r w:rsidR="005215DE">
              <w:rPr>
                <w:color w:val="auto"/>
                <w:sz w:val="20"/>
                <w:szCs w:val="20"/>
              </w:rPr>
              <w:t>3</w:t>
            </w:r>
            <w:r>
              <w:rPr>
                <w:color w:val="auto"/>
                <w:sz w:val="20"/>
                <w:szCs w:val="20"/>
              </w:rPr>
              <w:t>2</w:t>
            </w:r>
          </w:p>
        </w:tc>
        <w:tc>
          <w:tcPr>
            <w:tcW w:w="1196" w:type="dxa"/>
            <w:vAlign w:val="center"/>
          </w:tcPr>
          <w:p w:rsidR="00775DCE" w:rsidRPr="00775DCE" w:rsidRDefault="00AB31CC" w:rsidP="00775DCE">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w:t>
            </w:r>
          </w:p>
        </w:tc>
        <w:tc>
          <w:tcPr>
            <w:tcW w:w="1197" w:type="dxa"/>
            <w:noWrap/>
            <w:vAlign w:val="center"/>
          </w:tcPr>
          <w:p w:rsidR="00775DCE" w:rsidRPr="00775DCE" w:rsidRDefault="00AB31CC" w:rsidP="00775DCE">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w:t>
            </w:r>
          </w:p>
        </w:tc>
      </w:tr>
      <w:tr w:rsidR="00775DCE" w:rsidRPr="003F3C75" w:rsidTr="00775DCE">
        <w:trPr>
          <w:trHeight w:val="255"/>
        </w:trPr>
        <w:tc>
          <w:tcPr>
            <w:cnfStyle w:val="001000000000" w:firstRow="0" w:lastRow="0" w:firstColumn="1" w:lastColumn="0" w:oddVBand="0" w:evenVBand="0" w:oddHBand="0" w:evenHBand="0" w:firstRowFirstColumn="0" w:firstRowLastColumn="0" w:lastRowFirstColumn="0" w:lastRowLastColumn="0"/>
            <w:tcW w:w="4503" w:type="dxa"/>
            <w:noWrap/>
            <w:vAlign w:val="center"/>
            <w:hideMark/>
          </w:tcPr>
          <w:p w:rsidR="00775DCE" w:rsidRPr="003F3C75" w:rsidRDefault="00775DCE" w:rsidP="0028499A">
            <w:pPr>
              <w:spacing w:after="0"/>
              <w:jc w:val="left"/>
              <w:rPr>
                <w:b w:val="0"/>
                <w:color w:val="auto"/>
                <w:sz w:val="20"/>
                <w:szCs w:val="20"/>
              </w:rPr>
            </w:pPr>
            <w:proofErr w:type="gramStart"/>
            <w:r w:rsidRPr="003F3C75">
              <w:rPr>
                <w:b w:val="0"/>
                <w:color w:val="auto"/>
                <w:sz w:val="20"/>
                <w:szCs w:val="20"/>
              </w:rPr>
              <w:t>B.2 Zkvalitňování</w:t>
            </w:r>
            <w:proofErr w:type="gramEnd"/>
            <w:r w:rsidRPr="003F3C75">
              <w:rPr>
                <w:b w:val="0"/>
                <w:color w:val="auto"/>
                <w:sz w:val="20"/>
                <w:szCs w:val="20"/>
              </w:rPr>
              <w:t xml:space="preserve"> a rozvoj sítě sociálních služeb</w:t>
            </w:r>
          </w:p>
        </w:tc>
        <w:tc>
          <w:tcPr>
            <w:tcW w:w="1196" w:type="dxa"/>
            <w:noWrap/>
            <w:vAlign w:val="center"/>
          </w:tcPr>
          <w:p w:rsidR="00D95B88" w:rsidRPr="00775DCE" w:rsidRDefault="000F548F" w:rsidP="00775DCE">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28</w:t>
            </w:r>
          </w:p>
        </w:tc>
        <w:tc>
          <w:tcPr>
            <w:tcW w:w="1196" w:type="dxa"/>
            <w:noWrap/>
            <w:vAlign w:val="center"/>
          </w:tcPr>
          <w:p w:rsidR="00775DCE" w:rsidRPr="00775DCE" w:rsidRDefault="000F548F" w:rsidP="000F548F">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53</w:t>
            </w:r>
            <w:r w:rsidR="00AB31CC">
              <w:rPr>
                <w:color w:val="auto"/>
                <w:sz w:val="20"/>
                <w:szCs w:val="20"/>
              </w:rPr>
              <w:t xml:space="preserve"> </w:t>
            </w:r>
            <w:r>
              <w:rPr>
                <w:color w:val="auto"/>
                <w:sz w:val="20"/>
                <w:szCs w:val="20"/>
              </w:rPr>
              <w:t>888</w:t>
            </w:r>
          </w:p>
        </w:tc>
        <w:tc>
          <w:tcPr>
            <w:tcW w:w="1196" w:type="dxa"/>
            <w:vAlign w:val="center"/>
          </w:tcPr>
          <w:p w:rsidR="00775DCE" w:rsidRPr="00775DCE" w:rsidRDefault="000F548F" w:rsidP="00775DCE">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7</w:t>
            </w:r>
            <w:r w:rsidR="00D95B88">
              <w:rPr>
                <w:color w:val="auto"/>
                <w:sz w:val="20"/>
                <w:szCs w:val="20"/>
              </w:rPr>
              <w:t>7</w:t>
            </w:r>
          </w:p>
        </w:tc>
        <w:tc>
          <w:tcPr>
            <w:tcW w:w="1197" w:type="dxa"/>
            <w:noWrap/>
            <w:vAlign w:val="center"/>
          </w:tcPr>
          <w:p w:rsidR="00775DCE" w:rsidRPr="00775DCE" w:rsidRDefault="003438B0" w:rsidP="003438B0">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11</w:t>
            </w:r>
            <w:r w:rsidR="00D95B88">
              <w:rPr>
                <w:color w:val="auto"/>
                <w:sz w:val="20"/>
                <w:szCs w:val="20"/>
              </w:rPr>
              <w:t xml:space="preserve">6 </w:t>
            </w:r>
            <w:r>
              <w:rPr>
                <w:color w:val="auto"/>
                <w:sz w:val="20"/>
                <w:szCs w:val="20"/>
              </w:rPr>
              <w:t>655</w:t>
            </w:r>
          </w:p>
        </w:tc>
      </w:tr>
      <w:tr w:rsidR="00534246" w:rsidRPr="003F3C75" w:rsidTr="008D567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503" w:type="dxa"/>
            <w:vMerge w:val="restart"/>
            <w:tcBorders>
              <w:top w:val="single" w:sz="4" w:space="0" w:color="0070C0"/>
              <w:bottom w:val="nil"/>
            </w:tcBorders>
            <w:noWrap/>
            <w:vAlign w:val="center"/>
          </w:tcPr>
          <w:p w:rsidR="00534246" w:rsidRDefault="00534246" w:rsidP="00B45EC1">
            <w:pPr>
              <w:spacing w:after="0"/>
              <w:jc w:val="center"/>
              <w:rPr>
                <w:bCs w:val="0"/>
                <w:color w:val="auto"/>
                <w:sz w:val="20"/>
                <w:szCs w:val="20"/>
              </w:rPr>
            </w:pPr>
            <w:r w:rsidRPr="00775DCE">
              <w:rPr>
                <w:bCs w:val="0"/>
                <w:color w:val="auto"/>
                <w:sz w:val="20"/>
                <w:szCs w:val="20"/>
              </w:rPr>
              <w:t xml:space="preserve">Plnění priorit </w:t>
            </w:r>
            <w:r w:rsidR="00E22661">
              <w:rPr>
                <w:bCs w:val="0"/>
                <w:color w:val="auto"/>
                <w:sz w:val="20"/>
                <w:szCs w:val="20"/>
              </w:rPr>
              <w:t>SROK</w:t>
            </w:r>
            <w:r w:rsidRPr="00775DCE">
              <w:rPr>
                <w:bCs w:val="0"/>
                <w:color w:val="auto"/>
                <w:sz w:val="20"/>
                <w:szCs w:val="20"/>
              </w:rPr>
              <w:t xml:space="preserve"> v roce </w:t>
            </w:r>
            <w:r w:rsidR="00041757">
              <w:rPr>
                <w:bCs w:val="0"/>
                <w:color w:val="auto"/>
                <w:sz w:val="20"/>
                <w:szCs w:val="20"/>
              </w:rPr>
              <w:t>2016</w:t>
            </w:r>
            <w:r>
              <w:rPr>
                <w:bCs w:val="0"/>
                <w:color w:val="auto"/>
                <w:sz w:val="20"/>
                <w:szCs w:val="20"/>
              </w:rPr>
              <w:t>:</w:t>
            </w:r>
          </w:p>
          <w:p w:rsidR="00534246" w:rsidRPr="00775DCE" w:rsidRDefault="00534246" w:rsidP="00B45EC1">
            <w:pPr>
              <w:spacing w:after="0"/>
              <w:jc w:val="center"/>
              <w:rPr>
                <w:color w:val="auto"/>
                <w:sz w:val="20"/>
                <w:szCs w:val="20"/>
              </w:rPr>
            </w:pPr>
            <w:r>
              <w:rPr>
                <w:color w:val="auto"/>
                <w:sz w:val="20"/>
                <w:szCs w:val="20"/>
              </w:rPr>
              <w:lastRenderedPageBreak/>
              <w:t>činnosti realizované Olomouckým krajem</w:t>
            </w:r>
          </w:p>
        </w:tc>
        <w:tc>
          <w:tcPr>
            <w:tcW w:w="2392" w:type="dxa"/>
            <w:gridSpan w:val="2"/>
            <w:tcBorders>
              <w:top w:val="single" w:sz="4" w:space="0" w:color="0070C0"/>
              <w:bottom w:val="single" w:sz="4" w:space="0" w:color="0070C0"/>
            </w:tcBorders>
            <w:noWrap/>
            <w:vAlign w:val="center"/>
          </w:tcPr>
          <w:p w:rsidR="00534246" w:rsidRPr="00534246" w:rsidRDefault="00534246" w:rsidP="00B45EC1">
            <w:pPr>
              <w:spacing w:after="0"/>
              <w:jc w:val="center"/>
              <w:cnfStyle w:val="000000100000" w:firstRow="0" w:lastRow="0" w:firstColumn="0" w:lastColumn="0" w:oddVBand="0" w:evenVBand="0" w:oddHBand="1" w:evenHBand="0" w:firstRowFirstColumn="0" w:firstRowLastColumn="0" w:lastRowFirstColumn="0" w:lastRowLastColumn="0"/>
              <w:rPr>
                <w:b/>
                <w:color w:val="auto"/>
                <w:sz w:val="20"/>
                <w:szCs w:val="20"/>
              </w:rPr>
            </w:pPr>
            <w:r w:rsidRPr="00534246">
              <w:rPr>
                <w:b/>
                <w:color w:val="auto"/>
                <w:sz w:val="20"/>
                <w:szCs w:val="20"/>
              </w:rPr>
              <w:lastRenderedPageBreak/>
              <w:t>Investice</w:t>
            </w:r>
          </w:p>
        </w:tc>
        <w:tc>
          <w:tcPr>
            <w:tcW w:w="2393" w:type="dxa"/>
            <w:gridSpan w:val="2"/>
            <w:tcBorders>
              <w:top w:val="single" w:sz="4" w:space="0" w:color="0070C0"/>
              <w:bottom w:val="single" w:sz="4" w:space="0" w:color="0070C0"/>
            </w:tcBorders>
            <w:vAlign w:val="center"/>
          </w:tcPr>
          <w:p w:rsidR="00534246" w:rsidRPr="00534246" w:rsidRDefault="00534246" w:rsidP="00B45EC1">
            <w:pPr>
              <w:spacing w:after="0"/>
              <w:jc w:val="center"/>
              <w:cnfStyle w:val="000000100000" w:firstRow="0" w:lastRow="0" w:firstColumn="0" w:lastColumn="0" w:oddVBand="0" w:evenVBand="0" w:oddHBand="1" w:evenHBand="0" w:firstRowFirstColumn="0" w:firstRowLastColumn="0" w:lastRowFirstColumn="0" w:lastRowLastColumn="0"/>
              <w:rPr>
                <w:b/>
                <w:color w:val="auto"/>
                <w:sz w:val="20"/>
                <w:szCs w:val="20"/>
              </w:rPr>
            </w:pPr>
            <w:proofErr w:type="spellStart"/>
            <w:r w:rsidRPr="00534246">
              <w:rPr>
                <w:b/>
                <w:color w:val="auto"/>
                <w:sz w:val="20"/>
                <w:szCs w:val="20"/>
              </w:rPr>
              <w:t>Neinvestice</w:t>
            </w:r>
            <w:proofErr w:type="spellEnd"/>
          </w:p>
        </w:tc>
      </w:tr>
      <w:tr w:rsidR="00534246" w:rsidRPr="003F3C75" w:rsidTr="0036787F">
        <w:trPr>
          <w:trHeight w:val="255"/>
        </w:trPr>
        <w:tc>
          <w:tcPr>
            <w:cnfStyle w:val="001000000000" w:firstRow="0" w:lastRow="0" w:firstColumn="1" w:lastColumn="0" w:oddVBand="0" w:evenVBand="0" w:oddHBand="0" w:evenHBand="0" w:firstRowFirstColumn="0" w:firstRowLastColumn="0" w:lastRowFirstColumn="0" w:lastRowLastColumn="0"/>
            <w:tcW w:w="4503" w:type="dxa"/>
            <w:vMerge/>
            <w:tcBorders>
              <w:top w:val="nil"/>
              <w:bottom w:val="single" w:sz="4" w:space="0" w:color="0070C0"/>
            </w:tcBorders>
            <w:noWrap/>
            <w:vAlign w:val="center"/>
          </w:tcPr>
          <w:p w:rsidR="00534246" w:rsidRPr="003F3C75" w:rsidRDefault="00534246" w:rsidP="0028499A">
            <w:pPr>
              <w:spacing w:after="0"/>
              <w:jc w:val="left"/>
              <w:rPr>
                <w:b w:val="0"/>
                <w:sz w:val="20"/>
                <w:szCs w:val="20"/>
              </w:rPr>
            </w:pPr>
          </w:p>
        </w:tc>
        <w:tc>
          <w:tcPr>
            <w:tcW w:w="1196" w:type="dxa"/>
            <w:tcBorders>
              <w:top w:val="single" w:sz="4" w:space="0" w:color="0070C0"/>
              <w:bottom w:val="single" w:sz="4" w:space="0" w:color="0070C0"/>
            </w:tcBorders>
            <w:noWrap/>
            <w:vAlign w:val="center"/>
          </w:tcPr>
          <w:p w:rsidR="00534246" w:rsidRPr="00775DCE" w:rsidRDefault="00534246" w:rsidP="00B45EC1">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775DCE">
              <w:rPr>
                <w:bCs/>
                <w:color w:val="auto"/>
                <w:sz w:val="20"/>
                <w:szCs w:val="20"/>
              </w:rPr>
              <w:t>Počet činností</w:t>
            </w:r>
          </w:p>
        </w:tc>
        <w:tc>
          <w:tcPr>
            <w:tcW w:w="1196" w:type="dxa"/>
            <w:tcBorders>
              <w:top w:val="single" w:sz="4" w:space="0" w:color="0070C0"/>
              <w:bottom w:val="single" w:sz="4" w:space="0" w:color="0070C0"/>
            </w:tcBorders>
            <w:noWrap/>
            <w:vAlign w:val="center"/>
          </w:tcPr>
          <w:p w:rsidR="00534246" w:rsidRPr="00775DCE" w:rsidRDefault="00534246" w:rsidP="00B45EC1">
            <w:pPr>
              <w:spacing w:after="0"/>
              <w:jc w:val="center"/>
              <w:cnfStyle w:val="000000000000" w:firstRow="0" w:lastRow="0" w:firstColumn="0" w:lastColumn="0" w:oddVBand="0" w:evenVBand="0" w:oddHBand="0" w:evenHBand="0" w:firstRowFirstColumn="0" w:firstRowLastColumn="0" w:lastRowFirstColumn="0" w:lastRowLastColumn="0"/>
              <w:rPr>
                <w:bCs/>
                <w:sz w:val="20"/>
                <w:szCs w:val="20"/>
              </w:rPr>
            </w:pPr>
            <w:r w:rsidRPr="00775DCE">
              <w:rPr>
                <w:bCs/>
                <w:color w:val="auto"/>
                <w:sz w:val="20"/>
                <w:szCs w:val="20"/>
              </w:rPr>
              <w:t xml:space="preserve">Celkové </w:t>
            </w:r>
            <w:r w:rsidR="00597687">
              <w:rPr>
                <w:bCs/>
                <w:color w:val="auto"/>
                <w:sz w:val="20"/>
                <w:szCs w:val="20"/>
              </w:rPr>
              <w:t>výdaje</w:t>
            </w:r>
            <w:r w:rsidRPr="00775DCE">
              <w:rPr>
                <w:bCs/>
                <w:color w:val="auto"/>
                <w:sz w:val="20"/>
                <w:szCs w:val="20"/>
              </w:rPr>
              <w:t xml:space="preserve"> </w:t>
            </w:r>
            <w:r w:rsidRPr="00775DCE">
              <w:rPr>
                <w:bCs/>
                <w:color w:val="auto"/>
                <w:sz w:val="20"/>
                <w:szCs w:val="20"/>
              </w:rPr>
              <w:br/>
              <w:t>(v tis. Kč)</w:t>
            </w:r>
          </w:p>
        </w:tc>
        <w:tc>
          <w:tcPr>
            <w:tcW w:w="1196" w:type="dxa"/>
            <w:tcBorders>
              <w:top w:val="single" w:sz="4" w:space="0" w:color="0070C0"/>
              <w:bottom w:val="single" w:sz="4" w:space="0" w:color="0070C0"/>
            </w:tcBorders>
            <w:vAlign w:val="center"/>
          </w:tcPr>
          <w:p w:rsidR="00534246" w:rsidRPr="00775DCE" w:rsidRDefault="00534246" w:rsidP="00B45EC1">
            <w:pPr>
              <w:spacing w:after="0"/>
              <w:jc w:val="center"/>
              <w:cnfStyle w:val="000000000000" w:firstRow="0" w:lastRow="0" w:firstColumn="0" w:lastColumn="0" w:oddVBand="0" w:evenVBand="0" w:oddHBand="0" w:evenHBand="0" w:firstRowFirstColumn="0" w:firstRowLastColumn="0" w:lastRowFirstColumn="0" w:lastRowLastColumn="0"/>
              <w:rPr>
                <w:bCs/>
                <w:sz w:val="20"/>
                <w:szCs w:val="20"/>
              </w:rPr>
            </w:pPr>
            <w:r w:rsidRPr="00775DCE">
              <w:rPr>
                <w:bCs/>
                <w:color w:val="auto"/>
                <w:sz w:val="20"/>
                <w:szCs w:val="20"/>
              </w:rPr>
              <w:t>Počet činností</w:t>
            </w:r>
          </w:p>
        </w:tc>
        <w:tc>
          <w:tcPr>
            <w:tcW w:w="1197" w:type="dxa"/>
            <w:tcBorders>
              <w:top w:val="single" w:sz="4" w:space="0" w:color="0070C0"/>
              <w:bottom w:val="single" w:sz="4" w:space="0" w:color="0070C0"/>
            </w:tcBorders>
            <w:noWrap/>
            <w:vAlign w:val="center"/>
          </w:tcPr>
          <w:p w:rsidR="00534246" w:rsidRPr="00775DCE" w:rsidRDefault="00534246" w:rsidP="00597687">
            <w:pPr>
              <w:spacing w:after="0"/>
              <w:jc w:val="center"/>
              <w:cnfStyle w:val="000000000000" w:firstRow="0" w:lastRow="0" w:firstColumn="0" w:lastColumn="0" w:oddVBand="0" w:evenVBand="0" w:oddHBand="0" w:evenHBand="0" w:firstRowFirstColumn="0" w:firstRowLastColumn="0" w:lastRowFirstColumn="0" w:lastRowLastColumn="0"/>
              <w:rPr>
                <w:bCs/>
                <w:sz w:val="20"/>
                <w:szCs w:val="20"/>
              </w:rPr>
            </w:pPr>
            <w:r w:rsidRPr="00775DCE">
              <w:rPr>
                <w:bCs/>
                <w:color w:val="auto"/>
                <w:sz w:val="20"/>
                <w:szCs w:val="20"/>
              </w:rPr>
              <w:t xml:space="preserve">Celkové </w:t>
            </w:r>
            <w:r w:rsidR="00597687">
              <w:rPr>
                <w:bCs/>
                <w:color w:val="auto"/>
                <w:sz w:val="20"/>
                <w:szCs w:val="20"/>
              </w:rPr>
              <w:t>výdaje</w:t>
            </w:r>
            <w:r w:rsidRPr="00775DCE">
              <w:rPr>
                <w:bCs/>
                <w:color w:val="auto"/>
                <w:sz w:val="20"/>
                <w:szCs w:val="20"/>
              </w:rPr>
              <w:t xml:space="preserve"> </w:t>
            </w:r>
            <w:r w:rsidRPr="00775DCE">
              <w:rPr>
                <w:bCs/>
                <w:color w:val="auto"/>
                <w:sz w:val="20"/>
                <w:szCs w:val="20"/>
              </w:rPr>
              <w:br/>
              <w:t>(v tis. Kč)</w:t>
            </w:r>
          </w:p>
        </w:tc>
      </w:tr>
      <w:tr w:rsidR="0036787F" w:rsidRPr="003F3C75" w:rsidTr="0036787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503" w:type="dxa"/>
            <w:tcBorders>
              <w:top w:val="single" w:sz="4" w:space="0" w:color="0070C0"/>
              <w:bottom w:val="nil"/>
            </w:tcBorders>
            <w:noWrap/>
            <w:vAlign w:val="center"/>
            <w:hideMark/>
          </w:tcPr>
          <w:p w:rsidR="0036787F" w:rsidRPr="003F3C75" w:rsidRDefault="0036787F" w:rsidP="00EE2B57">
            <w:pPr>
              <w:spacing w:after="0"/>
              <w:jc w:val="left"/>
              <w:rPr>
                <w:b w:val="0"/>
                <w:color w:val="auto"/>
                <w:sz w:val="20"/>
                <w:szCs w:val="20"/>
              </w:rPr>
            </w:pPr>
            <w:proofErr w:type="gramStart"/>
            <w:r w:rsidRPr="003F3C75">
              <w:rPr>
                <w:b w:val="0"/>
                <w:color w:val="auto"/>
                <w:sz w:val="20"/>
                <w:szCs w:val="20"/>
              </w:rPr>
              <w:t>B.3 Zmírňování</w:t>
            </w:r>
            <w:proofErr w:type="gramEnd"/>
            <w:r w:rsidRPr="003F3C75">
              <w:rPr>
                <w:b w:val="0"/>
                <w:color w:val="auto"/>
                <w:sz w:val="20"/>
                <w:szCs w:val="20"/>
              </w:rPr>
              <w:t xml:space="preserve"> sociálního vyloučení</w:t>
            </w:r>
          </w:p>
        </w:tc>
        <w:tc>
          <w:tcPr>
            <w:tcW w:w="1196" w:type="dxa"/>
            <w:tcBorders>
              <w:top w:val="single" w:sz="4" w:space="0" w:color="0070C0"/>
              <w:bottom w:val="nil"/>
            </w:tcBorders>
            <w:noWrap/>
            <w:vAlign w:val="center"/>
          </w:tcPr>
          <w:p w:rsidR="0036787F" w:rsidRPr="00775DCE" w:rsidRDefault="003438B0" w:rsidP="00EE2B57">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6</w:t>
            </w:r>
          </w:p>
        </w:tc>
        <w:tc>
          <w:tcPr>
            <w:tcW w:w="1196" w:type="dxa"/>
            <w:tcBorders>
              <w:top w:val="single" w:sz="4" w:space="0" w:color="0070C0"/>
              <w:bottom w:val="nil"/>
            </w:tcBorders>
            <w:noWrap/>
            <w:vAlign w:val="center"/>
          </w:tcPr>
          <w:p w:rsidR="0036787F" w:rsidRPr="00775DCE" w:rsidRDefault="003438B0" w:rsidP="00EE2B57">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6 622</w:t>
            </w:r>
          </w:p>
        </w:tc>
        <w:tc>
          <w:tcPr>
            <w:tcW w:w="1196" w:type="dxa"/>
            <w:tcBorders>
              <w:top w:val="single" w:sz="4" w:space="0" w:color="0070C0"/>
              <w:bottom w:val="nil"/>
            </w:tcBorders>
            <w:vAlign w:val="center"/>
          </w:tcPr>
          <w:p w:rsidR="0036787F" w:rsidRPr="00775DCE" w:rsidRDefault="003438B0" w:rsidP="00EE2B57">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9</w:t>
            </w:r>
          </w:p>
        </w:tc>
        <w:tc>
          <w:tcPr>
            <w:tcW w:w="1197" w:type="dxa"/>
            <w:tcBorders>
              <w:top w:val="single" w:sz="4" w:space="0" w:color="0070C0"/>
              <w:bottom w:val="nil"/>
            </w:tcBorders>
            <w:noWrap/>
            <w:vAlign w:val="center"/>
          </w:tcPr>
          <w:p w:rsidR="0036787F" w:rsidRPr="00775DCE" w:rsidRDefault="0036787F" w:rsidP="003438B0">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1 2</w:t>
            </w:r>
            <w:r w:rsidR="003438B0">
              <w:rPr>
                <w:color w:val="auto"/>
                <w:sz w:val="20"/>
                <w:szCs w:val="20"/>
              </w:rPr>
              <w:t>1</w:t>
            </w:r>
            <w:r>
              <w:rPr>
                <w:color w:val="auto"/>
                <w:sz w:val="20"/>
                <w:szCs w:val="20"/>
              </w:rPr>
              <w:t>8</w:t>
            </w:r>
          </w:p>
        </w:tc>
      </w:tr>
      <w:tr w:rsidR="0036787F" w:rsidRPr="003F3C75" w:rsidTr="0036787F">
        <w:trPr>
          <w:trHeight w:val="255"/>
        </w:trPr>
        <w:tc>
          <w:tcPr>
            <w:cnfStyle w:val="001000000000" w:firstRow="0" w:lastRow="0" w:firstColumn="1" w:lastColumn="0" w:oddVBand="0" w:evenVBand="0" w:oddHBand="0" w:evenHBand="0" w:firstRowFirstColumn="0" w:firstRowLastColumn="0" w:lastRowFirstColumn="0" w:lastRowLastColumn="0"/>
            <w:tcW w:w="4503" w:type="dxa"/>
            <w:tcBorders>
              <w:top w:val="nil"/>
              <w:bottom w:val="nil"/>
            </w:tcBorders>
            <w:noWrap/>
            <w:vAlign w:val="center"/>
            <w:hideMark/>
          </w:tcPr>
          <w:p w:rsidR="0036787F" w:rsidRPr="003F3C75" w:rsidRDefault="0036787F" w:rsidP="00EE2B57">
            <w:pPr>
              <w:spacing w:after="0"/>
              <w:jc w:val="left"/>
              <w:rPr>
                <w:b w:val="0"/>
                <w:color w:val="auto"/>
                <w:sz w:val="20"/>
                <w:szCs w:val="20"/>
              </w:rPr>
            </w:pPr>
            <w:proofErr w:type="gramStart"/>
            <w:r w:rsidRPr="003F3C75">
              <w:rPr>
                <w:b w:val="0"/>
                <w:color w:val="auto"/>
                <w:sz w:val="20"/>
                <w:szCs w:val="20"/>
              </w:rPr>
              <w:t>B.4 Podpora</w:t>
            </w:r>
            <w:proofErr w:type="gramEnd"/>
            <w:r w:rsidRPr="003F3C75">
              <w:rPr>
                <w:b w:val="0"/>
                <w:color w:val="auto"/>
                <w:sz w:val="20"/>
                <w:szCs w:val="20"/>
              </w:rPr>
              <w:t xml:space="preserve"> dalších veřejných služeb</w:t>
            </w:r>
          </w:p>
        </w:tc>
        <w:tc>
          <w:tcPr>
            <w:tcW w:w="1196" w:type="dxa"/>
            <w:tcBorders>
              <w:top w:val="nil"/>
              <w:bottom w:val="nil"/>
            </w:tcBorders>
            <w:noWrap/>
            <w:vAlign w:val="center"/>
          </w:tcPr>
          <w:p w:rsidR="0036787F" w:rsidRPr="00775DCE" w:rsidRDefault="0036787F" w:rsidP="00EE2B57">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0</w:t>
            </w:r>
          </w:p>
        </w:tc>
        <w:tc>
          <w:tcPr>
            <w:tcW w:w="1196" w:type="dxa"/>
            <w:tcBorders>
              <w:top w:val="nil"/>
              <w:bottom w:val="nil"/>
            </w:tcBorders>
            <w:noWrap/>
            <w:vAlign w:val="center"/>
          </w:tcPr>
          <w:p w:rsidR="0036787F" w:rsidRPr="00775DCE" w:rsidRDefault="0036787F" w:rsidP="00EE2B57">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0</w:t>
            </w:r>
          </w:p>
        </w:tc>
        <w:tc>
          <w:tcPr>
            <w:tcW w:w="1196" w:type="dxa"/>
            <w:tcBorders>
              <w:top w:val="nil"/>
              <w:bottom w:val="nil"/>
            </w:tcBorders>
            <w:vAlign w:val="center"/>
          </w:tcPr>
          <w:p w:rsidR="0036787F" w:rsidRPr="00775DCE" w:rsidRDefault="0036787F" w:rsidP="00EE2B57">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0</w:t>
            </w:r>
          </w:p>
        </w:tc>
        <w:tc>
          <w:tcPr>
            <w:tcW w:w="1197" w:type="dxa"/>
            <w:tcBorders>
              <w:top w:val="nil"/>
              <w:bottom w:val="nil"/>
            </w:tcBorders>
            <w:noWrap/>
            <w:vAlign w:val="center"/>
          </w:tcPr>
          <w:p w:rsidR="0036787F" w:rsidRPr="00775DCE" w:rsidRDefault="0036787F" w:rsidP="00EE2B57">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0</w:t>
            </w:r>
          </w:p>
        </w:tc>
      </w:tr>
      <w:tr w:rsidR="0036787F" w:rsidRPr="003F3C75" w:rsidTr="0036787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503" w:type="dxa"/>
            <w:tcBorders>
              <w:top w:val="nil"/>
              <w:bottom w:val="nil"/>
            </w:tcBorders>
            <w:noWrap/>
            <w:vAlign w:val="center"/>
            <w:hideMark/>
          </w:tcPr>
          <w:p w:rsidR="0036787F" w:rsidRPr="003F3C75" w:rsidRDefault="0036787F" w:rsidP="00EE2B57">
            <w:pPr>
              <w:spacing w:after="0"/>
              <w:jc w:val="left"/>
              <w:rPr>
                <w:b w:val="0"/>
                <w:color w:val="auto"/>
                <w:sz w:val="20"/>
                <w:szCs w:val="20"/>
              </w:rPr>
            </w:pPr>
            <w:proofErr w:type="gramStart"/>
            <w:r w:rsidRPr="003F3C75">
              <w:rPr>
                <w:b w:val="0"/>
                <w:color w:val="auto"/>
                <w:sz w:val="20"/>
                <w:szCs w:val="20"/>
              </w:rPr>
              <w:t>C.1 Zlepšování</w:t>
            </w:r>
            <w:proofErr w:type="gramEnd"/>
            <w:r w:rsidRPr="003F3C75">
              <w:rPr>
                <w:b w:val="0"/>
                <w:color w:val="auto"/>
                <w:sz w:val="20"/>
                <w:szCs w:val="20"/>
              </w:rPr>
              <w:t xml:space="preserve"> podmínek pro podnikání</w:t>
            </w:r>
          </w:p>
        </w:tc>
        <w:tc>
          <w:tcPr>
            <w:tcW w:w="1196" w:type="dxa"/>
            <w:tcBorders>
              <w:top w:val="nil"/>
              <w:bottom w:val="nil"/>
            </w:tcBorders>
            <w:noWrap/>
            <w:vAlign w:val="center"/>
          </w:tcPr>
          <w:p w:rsidR="0036787F" w:rsidRPr="00775DCE" w:rsidRDefault="0036787F" w:rsidP="00EE2B57">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w:t>
            </w:r>
          </w:p>
        </w:tc>
        <w:tc>
          <w:tcPr>
            <w:tcW w:w="1196" w:type="dxa"/>
            <w:tcBorders>
              <w:top w:val="nil"/>
              <w:bottom w:val="nil"/>
            </w:tcBorders>
            <w:noWrap/>
            <w:vAlign w:val="center"/>
          </w:tcPr>
          <w:p w:rsidR="0036787F" w:rsidRPr="00775DCE" w:rsidRDefault="0036787F" w:rsidP="00EE2B57">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w:t>
            </w:r>
          </w:p>
        </w:tc>
        <w:tc>
          <w:tcPr>
            <w:tcW w:w="1196" w:type="dxa"/>
            <w:tcBorders>
              <w:top w:val="nil"/>
              <w:bottom w:val="nil"/>
            </w:tcBorders>
            <w:vAlign w:val="center"/>
          </w:tcPr>
          <w:p w:rsidR="0036787F" w:rsidRPr="00775DCE" w:rsidRDefault="003438B0" w:rsidP="00EE2B57">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4</w:t>
            </w:r>
          </w:p>
        </w:tc>
        <w:tc>
          <w:tcPr>
            <w:tcW w:w="1197" w:type="dxa"/>
            <w:tcBorders>
              <w:top w:val="nil"/>
              <w:bottom w:val="nil"/>
            </w:tcBorders>
            <w:noWrap/>
            <w:vAlign w:val="center"/>
          </w:tcPr>
          <w:p w:rsidR="0036787F" w:rsidRPr="00775DCE" w:rsidRDefault="003438B0" w:rsidP="00EE2B57">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671</w:t>
            </w:r>
          </w:p>
        </w:tc>
      </w:tr>
      <w:tr w:rsidR="00534246" w:rsidRPr="003F3C75" w:rsidTr="0036787F">
        <w:trPr>
          <w:trHeight w:val="255"/>
        </w:trPr>
        <w:tc>
          <w:tcPr>
            <w:cnfStyle w:val="001000000000" w:firstRow="0" w:lastRow="0" w:firstColumn="1" w:lastColumn="0" w:oddVBand="0" w:evenVBand="0" w:oddHBand="0" w:evenHBand="0" w:firstRowFirstColumn="0" w:firstRowLastColumn="0" w:lastRowFirstColumn="0" w:lastRowLastColumn="0"/>
            <w:tcW w:w="4503" w:type="dxa"/>
            <w:tcBorders>
              <w:top w:val="nil"/>
              <w:bottom w:val="nil"/>
            </w:tcBorders>
            <w:noWrap/>
            <w:vAlign w:val="center"/>
            <w:hideMark/>
          </w:tcPr>
          <w:p w:rsidR="00775DCE" w:rsidRPr="003F3C75" w:rsidRDefault="00775DCE" w:rsidP="0028499A">
            <w:pPr>
              <w:spacing w:after="0"/>
              <w:jc w:val="left"/>
              <w:rPr>
                <w:b w:val="0"/>
                <w:color w:val="auto"/>
                <w:sz w:val="20"/>
                <w:szCs w:val="20"/>
              </w:rPr>
            </w:pPr>
            <w:proofErr w:type="gramStart"/>
            <w:r w:rsidRPr="003F3C75">
              <w:rPr>
                <w:b w:val="0"/>
                <w:color w:val="auto"/>
                <w:sz w:val="20"/>
                <w:szCs w:val="20"/>
              </w:rPr>
              <w:t>C.2 Podpora</w:t>
            </w:r>
            <w:proofErr w:type="gramEnd"/>
            <w:r w:rsidRPr="003F3C75">
              <w:rPr>
                <w:b w:val="0"/>
                <w:color w:val="auto"/>
                <w:sz w:val="20"/>
                <w:szCs w:val="20"/>
              </w:rPr>
              <w:t xml:space="preserve"> znalostní ekonomiky</w:t>
            </w:r>
          </w:p>
        </w:tc>
        <w:tc>
          <w:tcPr>
            <w:tcW w:w="1196" w:type="dxa"/>
            <w:tcBorders>
              <w:top w:val="nil"/>
              <w:bottom w:val="nil"/>
            </w:tcBorders>
            <w:noWrap/>
            <w:vAlign w:val="center"/>
          </w:tcPr>
          <w:p w:rsidR="00775DCE" w:rsidRPr="00775DCE" w:rsidRDefault="00AB31CC" w:rsidP="00775DCE">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0</w:t>
            </w:r>
          </w:p>
        </w:tc>
        <w:tc>
          <w:tcPr>
            <w:tcW w:w="1196" w:type="dxa"/>
            <w:tcBorders>
              <w:top w:val="nil"/>
              <w:bottom w:val="nil"/>
            </w:tcBorders>
            <w:noWrap/>
            <w:vAlign w:val="center"/>
          </w:tcPr>
          <w:p w:rsidR="00775DCE" w:rsidRPr="00775DCE" w:rsidRDefault="00AB31CC" w:rsidP="00775DCE">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0</w:t>
            </w:r>
          </w:p>
        </w:tc>
        <w:tc>
          <w:tcPr>
            <w:tcW w:w="1196" w:type="dxa"/>
            <w:tcBorders>
              <w:top w:val="nil"/>
              <w:bottom w:val="nil"/>
            </w:tcBorders>
            <w:vAlign w:val="center"/>
          </w:tcPr>
          <w:p w:rsidR="00775DCE" w:rsidRPr="00775DCE" w:rsidRDefault="000B4005" w:rsidP="00775DCE">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1</w:t>
            </w:r>
          </w:p>
        </w:tc>
        <w:tc>
          <w:tcPr>
            <w:tcW w:w="1197" w:type="dxa"/>
            <w:tcBorders>
              <w:top w:val="nil"/>
              <w:bottom w:val="nil"/>
            </w:tcBorders>
            <w:noWrap/>
            <w:vAlign w:val="center"/>
          </w:tcPr>
          <w:p w:rsidR="00775DCE" w:rsidRPr="00775DCE" w:rsidRDefault="003438B0" w:rsidP="003438B0">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5</w:t>
            </w:r>
            <w:r w:rsidR="000B4005">
              <w:rPr>
                <w:color w:val="auto"/>
                <w:sz w:val="20"/>
                <w:szCs w:val="20"/>
              </w:rPr>
              <w:t xml:space="preserve"> </w:t>
            </w:r>
            <w:r>
              <w:rPr>
                <w:color w:val="auto"/>
                <w:sz w:val="20"/>
                <w:szCs w:val="20"/>
              </w:rPr>
              <w:t>905</w:t>
            </w:r>
          </w:p>
        </w:tc>
      </w:tr>
      <w:tr w:rsidR="00775DCE" w:rsidRPr="003F3C75" w:rsidTr="0036787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503" w:type="dxa"/>
            <w:tcBorders>
              <w:top w:val="nil"/>
              <w:bottom w:val="nil"/>
            </w:tcBorders>
            <w:noWrap/>
            <w:vAlign w:val="center"/>
            <w:hideMark/>
          </w:tcPr>
          <w:p w:rsidR="00775DCE" w:rsidRPr="003F3C75" w:rsidRDefault="00775DCE" w:rsidP="0028499A">
            <w:pPr>
              <w:spacing w:after="0"/>
              <w:jc w:val="left"/>
              <w:rPr>
                <w:b w:val="0"/>
                <w:color w:val="auto"/>
                <w:sz w:val="20"/>
                <w:szCs w:val="20"/>
              </w:rPr>
            </w:pPr>
            <w:proofErr w:type="gramStart"/>
            <w:r w:rsidRPr="003F3C75">
              <w:rPr>
                <w:b w:val="0"/>
                <w:color w:val="auto"/>
                <w:sz w:val="20"/>
                <w:szCs w:val="20"/>
              </w:rPr>
              <w:t>C.3 Rozvoj</w:t>
            </w:r>
            <w:proofErr w:type="gramEnd"/>
            <w:r w:rsidRPr="003F3C75">
              <w:rPr>
                <w:b w:val="0"/>
                <w:color w:val="auto"/>
                <w:sz w:val="20"/>
                <w:szCs w:val="20"/>
              </w:rPr>
              <w:t xml:space="preserve"> cestovního ruchu</w:t>
            </w:r>
          </w:p>
        </w:tc>
        <w:tc>
          <w:tcPr>
            <w:tcW w:w="1196" w:type="dxa"/>
            <w:tcBorders>
              <w:top w:val="nil"/>
              <w:bottom w:val="nil"/>
            </w:tcBorders>
            <w:noWrap/>
            <w:vAlign w:val="center"/>
          </w:tcPr>
          <w:p w:rsidR="00775DCE" w:rsidRPr="00775DCE" w:rsidRDefault="00AB31CC" w:rsidP="00AB31CC">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w:t>
            </w:r>
          </w:p>
        </w:tc>
        <w:tc>
          <w:tcPr>
            <w:tcW w:w="1196" w:type="dxa"/>
            <w:tcBorders>
              <w:top w:val="nil"/>
              <w:bottom w:val="nil"/>
            </w:tcBorders>
            <w:noWrap/>
            <w:vAlign w:val="center"/>
          </w:tcPr>
          <w:p w:rsidR="00775DCE" w:rsidRPr="00775DCE" w:rsidRDefault="00AB31CC" w:rsidP="00775DCE">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w:t>
            </w:r>
          </w:p>
        </w:tc>
        <w:tc>
          <w:tcPr>
            <w:tcW w:w="1196" w:type="dxa"/>
            <w:tcBorders>
              <w:top w:val="nil"/>
              <w:bottom w:val="nil"/>
            </w:tcBorders>
            <w:vAlign w:val="center"/>
          </w:tcPr>
          <w:p w:rsidR="00775DCE" w:rsidRPr="00775DCE" w:rsidRDefault="003438B0" w:rsidP="00985BCD">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91</w:t>
            </w:r>
          </w:p>
        </w:tc>
        <w:tc>
          <w:tcPr>
            <w:tcW w:w="1197" w:type="dxa"/>
            <w:tcBorders>
              <w:top w:val="nil"/>
              <w:bottom w:val="nil"/>
            </w:tcBorders>
            <w:noWrap/>
            <w:vAlign w:val="center"/>
          </w:tcPr>
          <w:p w:rsidR="00775DCE" w:rsidRPr="00775DCE" w:rsidRDefault="003438B0" w:rsidP="003438B0">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10</w:t>
            </w:r>
            <w:r w:rsidR="000B4005">
              <w:rPr>
                <w:color w:val="auto"/>
                <w:sz w:val="20"/>
                <w:szCs w:val="20"/>
              </w:rPr>
              <w:t xml:space="preserve"> </w:t>
            </w:r>
            <w:r>
              <w:rPr>
                <w:color w:val="auto"/>
                <w:sz w:val="20"/>
                <w:szCs w:val="20"/>
              </w:rPr>
              <w:t>964</w:t>
            </w:r>
          </w:p>
        </w:tc>
      </w:tr>
      <w:tr w:rsidR="00534246" w:rsidRPr="003F3C75" w:rsidTr="0036787F">
        <w:trPr>
          <w:trHeight w:val="255"/>
        </w:trPr>
        <w:tc>
          <w:tcPr>
            <w:cnfStyle w:val="001000000000" w:firstRow="0" w:lastRow="0" w:firstColumn="1" w:lastColumn="0" w:oddVBand="0" w:evenVBand="0" w:oddHBand="0" w:evenHBand="0" w:firstRowFirstColumn="0" w:firstRowLastColumn="0" w:lastRowFirstColumn="0" w:lastRowLastColumn="0"/>
            <w:tcW w:w="4503" w:type="dxa"/>
            <w:tcBorders>
              <w:top w:val="nil"/>
              <w:bottom w:val="nil"/>
            </w:tcBorders>
            <w:noWrap/>
            <w:vAlign w:val="center"/>
            <w:hideMark/>
          </w:tcPr>
          <w:p w:rsidR="00775DCE" w:rsidRPr="003F3C75" w:rsidRDefault="00775DCE" w:rsidP="0028499A">
            <w:pPr>
              <w:spacing w:after="0"/>
              <w:jc w:val="left"/>
              <w:rPr>
                <w:b w:val="0"/>
                <w:color w:val="auto"/>
                <w:sz w:val="20"/>
                <w:szCs w:val="20"/>
              </w:rPr>
            </w:pPr>
            <w:proofErr w:type="gramStart"/>
            <w:r w:rsidRPr="003F3C75">
              <w:rPr>
                <w:b w:val="0"/>
                <w:color w:val="auto"/>
                <w:sz w:val="20"/>
                <w:szCs w:val="20"/>
              </w:rPr>
              <w:t>D.1 Dobudování</w:t>
            </w:r>
            <w:proofErr w:type="gramEnd"/>
            <w:r w:rsidRPr="003F3C75">
              <w:rPr>
                <w:b w:val="0"/>
                <w:color w:val="auto"/>
                <w:sz w:val="20"/>
                <w:szCs w:val="20"/>
              </w:rPr>
              <w:t xml:space="preserve"> a modernizace silniční infrastruktury</w:t>
            </w:r>
          </w:p>
        </w:tc>
        <w:tc>
          <w:tcPr>
            <w:tcW w:w="1196" w:type="dxa"/>
            <w:tcBorders>
              <w:top w:val="nil"/>
              <w:bottom w:val="nil"/>
            </w:tcBorders>
            <w:noWrap/>
            <w:vAlign w:val="center"/>
          </w:tcPr>
          <w:p w:rsidR="00775DCE" w:rsidRPr="00775DCE" w:rsidRDefault="003438B0" w:rsidP="00775DCE">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66</w:t>
            </w:r>
          </w:p>
        </w:tc>
        <w:tc>
          <w:tcPr>
            <w:tcW w:w="1196" w:type="dxa"/>
            <w:tcBorders>
              <w:top w:val="nil"/>
              <w:bottom w:val="nil"/>
            </w:tcBorders>
            <w:noWrap/>
            <w:vAlign w:val="center"/>
          </w:tcPr>
          <w:p w:rsidR="00775DCE" w:rsidRPr="00775DCE" w:rsidRDefault="003438B0" w:rsidP="003438B0">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735</w:t>
            </w:r>
            <w:r w:rsidR="00AB31CC">
              <w:rPr>
                <w:color w:val="auto"/>
                <w:sz w:val="20"/>
                <w:szCs w:val="20"/>
              </w:rPr>
              <w:t xml:space="preserve"> </w:t>
            </w:r>
            <w:r>
              <w:rPr>
                <w:color w:val="auto"/>
                <w:sz w:val="20"/>
                <w:szCs w:val="20"/>
              </w:rPr>
              <w:t>61</w:t>
            </w:r>
            <w:r w:rsidR="00985BCD">
              <w:rPr>
                <w:color w:val="auto"/>
                <w:sz w:val="20"/>
                <w:szCs w:val="20"/>
              </w:rPr>
              <w:t>4</w:t>
            </w:r>
          </w:p>
        </w:tc>
        <w:tc>
          <w:tcPr>
            <w:tcW w:w="1196" w:type="dxa"/>
            <w:tcBorders>
              <w:top w:val="nil"/>
              <w:bottom w:val="nil"/>
            </w:tcBorders>
            <w:vAlign w:val="center"/>
          </w:tcPr>
          <w:p w:rsidR="00775DCE" w:rsidRPr="00775DCE" w:rsidRDefault="007C2925" w:rsidP="00775DCE">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0</w:t>
            </w:r>
          </w:p>
        </w:tc>
        <w:tc>
          <w:tcPr>
            <w:tcW w:w="1197" w:type="dxa"/>
            <w:tcBorders>
              <w:top w:val="nil"/>
              <w:bottom w:val="nil"/>
            </w:tcBorders>
            <w:noWrap/>
            <w:vAlign w:val="center"/>
          </w:tcPr>
          <w:p w:rsidR="00775DCE" w:rsidRPr="00775DCE" w:rsidRDefault="00AB31CC" w:rsidP="00775DCE">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0</w:t>
            </w:r>
          </w:p>
        </w:tc>
      </w:tr>
      <w:tr w:rsidR="00775DCE" w:rsidRPr="003F3C75" w:rsidTr="0036787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503" w:type="dxa"/>
            <w:tcBorders>
              <w:top w:val="nil"/>
            </w:tcBorders>
            <w:noWrap/>
            <w:vAlign w:val="center"/>
            <w:hideMark/>
          </w:tcPr>
          <w:p w:rsidR="00775DCE" w:rsidRPr="003F3C75" w:rsidRDefault="00775DCE" w:rsidP="0028499A">
            <w:pPr>
              <w:spacing w:after="0"/>
              <w:jc w:val="left"/>
              <w:rPr>
                <w:b w:val="0"/>
                <w:color w:val="auto"/>
                <w:sz w:val="20"/>
                <w:szCs w:val="20"/>
              </w:rPr>
            </w:pPr>
            <w:proofErr w:type="gramStart"/>
            <w:r w:rsidRPr="003F3C75">
              <w:rPr>
                <w:b w:val="0"/>
                <w:color w:val="auto"/>
                <w:sz w:val="20"/>
                <w:szCs w:val="20"/>
              </w:rPr>
              <w:t>D.2 Modernizace</w:t>
            </w:r>
            <w:proofErr w:type="gramEnd"/>
            <w:r w:rsidRPr="003F3C75">
              <w:rPr>
                <w:b w:val="0"/>
                <w:color w:val="auto"/>
                <w:sz w:val="20"/>
                <w:szCs w:val="20"/>
              </w:rPr>
              <w:t xml:space="preserve"> železničních tratí</w:t>
            </w:r>
          </w:p>
        </w:tc>
        <w:tc>
          <w:tcPr>
            <w:tcW w:w="1196" w:type="dxa"/>
            <w:tcBorders>
              <w:top w:val="nil"/>
            </w:tcBorders>
            <w:noWrap/>
            <w:vAlign w:val="center"/>
          </w:tcPr>
          <w:p w:rsidR="00775DCE" w:rsidRPr="00775DCE" w:rsidRDefault="00AB31CC" w:rsidP="00775DCE">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w:t>
            </w:r>
          </w:p>
        </w:tc>
        <w:tc>
          <w:tcPr>
            <w:tcW w:w="1196" w:type="dxa"/>
            <w:tcBorders>
              <w:top w:val="nil"/>
            </w:tcBorders>
            <w:noWrap/>
            <w:vAlign w:val="center"/>
          </w:tcPr>
          <w:p w:rsidR="00775DCE" w:rsidRPr="00775DCE" w:rsidRDefault="00AB31CC" w:rsidP="00775DCE">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w:t>
            </w:r>
          </w:p>
        </w:tc>
        <w:tc>
          <w:tcPr>
            <w:tcW w:w="1196" w:type="dxa"/>
            <w:tcBorders>
              <w:top w:val="nil"/>
            </w:tcBorders>
            <w:vAlign w:val="center"/>
          </w:tcPr>
          <w:p w:rsidR="00775DCE" w:rsidRPr="00775DCE" w:rsidRDefault="00AB31CC" w:rsidP="00775DCE">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w:t>
            </w:r>
          </w:p>
        </w:tc>
        <w:tc>
          <w:tcPr>
            <w:tcW w:w="1197" w:type="dxa"/>
            <w:tcBorders>
              <w:top w:val="nil"/>
            </w:tcBorders>
            <w:noWrap/>
            <w:vAlign w:val="center"/>
          </w:tcPr>
          <w:p w:rsidR="00775DCE" w:rsidRPr="00775DCE" w:rsidRDefault="00AB31CC" w:rsidP="00775DCE">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w:t>
            </w:r>
          </w:p>
        </w:tc>
      </w:tr>
      <w:tr w:rsidR="00534246" w:rsidRPr="003F3C75" w:rsidTr="00775DCE">
        <w:trPr>
          <w:trHeight w:val="255"/>
        </w:trPr>
        <w:tc>
          <w:tcPr>
            <w:cnfStyle w:val="001000000000" w:firstRow="0" w:lastRow="0" w:firstColumn="1" w:lastColumn="0" w:oddVBand="0" w:evenVBand="0" w:oddHBand="0" w:evenHBand="0" w:firstRowFirstColumn="0" w:firstRowLastColumn="0" w:lastRowFirstColumn="0" w:lastRowLastColumn="0"/>
            <w:tcW w:w="4503" w:type="dxa"/>
            <w:noWrap/>
            <w:vAlign w:val="center"/>
            <w:hideMark/>
          </w:tcPr>
          <w:p w:rsidR="00775DCE" w:rsidRPr="003F3C75" w:rsidRDefault="00775DCE" w:rsidP="0028499A">
            <w:pPr>
              <w:spacing w:after="0"/>
              <w:jc w:val="left"/>
              <w:rPr>
                <w:b w:val="0"/>
                <w:color w:val="auto"/>
                <w:sz w:val="20"/>
                <w:szCs w:val="20"/>
              </w:rPr>
            </w:pPr>
            <w:proofErr w:type="gramStart"/>
            <w:r w:rsidRPr="003F3C75">
              <w:rPr>
                <w:b w:val="0"/>
                <w:color w:val="auto"/>
                <w:sz w:val="20"/>
                <w:szCs w:val="20"/>
              </w:rPr>
              <w:t>D.3 Zkvalitnění</w:t>
            </w:r>
            <w:proofErr w:type="gramEnd"/>
            <w:r w:rsidRPr="003F3C75">
              <w:rPr>
                <w:b w:val="0"/>
                <w:color w:val="auto"/>
                <w:sz w:val="20"/>
                <w:szCs w:val="20"/>
              </w:rPr>
              <w:t xml:space="preserve"> dopravní obslužnosti území</w:t>
            </w:r>
          </w:p>
        </w:tc>
        <w:tc>
          <w:tcPr>
            <w:tcW w:w="1196" w:type="dxa"/>
            <w:noWrap/>
            <w:vAlign w:val="center"/>
          </w:tcPr>
          <w:p w:rsidR="00775DCE" w:rsidRPr="00775DCE" w:rsidRDefault="00AB31CC" w:rsidP="00775DCE">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0</w:t>
            </w:r>
          </w:p>
        </w:tc>
        <w:tc>
          <w:tcPr>
            <w:tcW w:w="1196" w:type="dxa"/>
            <w:noWrap/>
            <w:vAlign w:val="center"/>
          </w:tcPr>
          <w:p w:rsidR="00775DCE" w:rsidRPr="00775DCE" w:rsidRDefault="00AB31CC" w:rsidP="00775DCE">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0</w:t>
            </w:r>
          </w:p>
        </w:tc>
        <w:tc>
          <w:tcPr>
            <w:tcW w:w="1196" w:type="dxa"/>
            <w:vAlign w:val="center"/>
          </w:tcPr>
          <w:p w:rsidR="00775DCE" w:rsidRPr="00775DCE" w:rsidRDefault="00572998" w:rsidP="00775DCE">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1</w:t>
            </w:r>
          </w:p>
        </w:tc>
        <w:tc>
          <w:tcPr>
            <w:tcW w:w="1197" w:type="dxa"/>
            <w:noWrap/>
            <w:vAlign w:val="center"/>
          </w:tcPr>
          <w:p w:rsidR="00775DCE" w:rsidRPr="00775DCE" w:rsidRDefault="00572998" w:rsidP="00775DCE">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585</w:t>
            </w:r>
          </w:p>
        </w:tc>
      </w:tr>
      <w:tr w:rsidR="00775DCE" w:rsidRPr="003F3C75" w:rsidTr="00775DC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503" w:type="dxa"/>
            <w:noWrap/>
            <w:vAlign w:val="center"/>
            <w:hideMark/>
          </w:tcPr>
          <w:p w:rsidR="00775DCE" w:rsidRPr="003F3C75" w:rsidRDefault="00775DCE" w:rsidP="0028499A">
            <w:pPr>
              <w:spacing w:after="0"/>
              <w:jc w:val="left"/>
              <w:rPr>
                <w:b w:val="0"/>
                <w:color w:val="auto"/>
                <w:sz w:val="20"/>
                <w:szCs w:val="20"/>
              </w:rPr>
            </w:pPr>
            <w:proofErr w:type="gramStart"/>
            <w:r w:rsidRPr="003F3C75">
              <w:rPr>
                <w:b w:val="0"/>
                <w:color w:val="auto"/>
                <w:sz w:val="20"/>
                <w:szCs w:val="20"/>
              </w:rPr>
              <w:t>D.4 Zlepšování</w:t>
            </w:r>
            <w:proofErr w:type="gramEnd"/>
            <w:r w:rsidRPr="003F3C75">
              <w:rPr>
                <w:b w:val="0"/>
                <w:color w:val="auto"/>
                <w:sz w:val="20"/>
                <w:szCs w:val="20"/>
              </w:rPr>
              <w:t xml:space="preserve"> podmínek pro nemotorovou dopravu</w:t>
            </w:r>
          </w:p>
        </w:tc>
        <w:tc>
          <w:tcPr>
            <w:tcW w:w="1196" w:type="dxa"/>
            <w:noWrap/>
            <w:vAlign w:val="center"/>
          </w:tcPr>
          <w:p w:rsidR="00775DCE" w:rsidRPr="00775DCE" w:rsidRDefault="00AB31CC" w:rsidP="00775DCE">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w:t>
            </w:r>
          </w:p>
        </w:tc>
        <w:tc>
          <w:tcPr>
            <w:tcW w:w="1196" w:type="dxa"/>
            <w:noWrap/>
            <w:vAlign w:val="center"/>
          </w:tcPr>
          <w:p w:rsidR="00775DCE" w:rsidRPr="00775DCE" w:rsidRDefault="00AB31CC" w:rsidP="00775DCE">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w:t>
            </w:r>
          </w:p>
        </w:tc>
        <w:tc>
          <w:tcPr>
            <w:tcW w:w="1196" w:type="dxa"/>
            <w:vAlign w:val="center"/>
          </w:tcPr>
          <w:p w:rsidR="00775DCE" w:rsidRPr="00775DCE" w:rsidRDefault="008129A3" w:rsidP="00775DCE">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1</w:t>
            </w:r>
          </w:p>
        </w:tc>
        <w:tc>
          <w:tcPr>
            <w:tcW w:w="1197" w:type="dxa"/>
            <w:noWrap/>
            <w:vAlign w:val="center"/>
          </w:tcPr>
          <w:p w:rsidR="00775DCE" w:rsidRPr="00775DCE" w:rsidRDefault="008129A3" w:rsidP="00775DCE">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642</w:t>
            </w:r>
          </w:p>
        </w:tc>
      </w:tr>
      <w:tr w:rsidR="00534246" w:rsidRPr="003F3C75" w:rsidTr="00775DCE">
        <w:trPr>
          <w:trHeight w:val="255"/>
        </w:trPr>
        <w:tc>
          <w:tcPr>
            <w:cnfStyle w:val="001000000000" w:firstRow="0" w:lastRow="0" w:firstColumn="1" w:lastColumn="0" w:oddVBand="0" w:evenVBand="0" w:oddHBand="0" w:evenHBand="0" w:firstRowFirstColumn="0" w:firstRowLastColumn="0" w:lastRowFirstColumn="0" w:lastRowLastColumn="0"/>
            <w:tcW w:w="4503" w:type="dxa"/>
            <w:noWrap/>
            <w:vAlign w:val="center"/>
            <w:hideMark/>
          </w:tcPr>
          <w:p w:rsidR="00775DCE" w:rsidRPr="003F3C75" w:rsidRDefault="00775DCE" w:rsidP="0028499A">
            <w:pPr>
              <w:spacing w:after="0"/>
              <w:jc w:val="left"/>
              <w:rPr>
                <w:b w:val="0"/>
                <w:color w:val="auto"/>
                <w:sz w:val="20"/>
                <w:szCs w:val="20"/>
              </w:rPr>
            </w:pPr>
            <w:proofErr w:type="gramStart"/>
            <w:r w:rsidRPr="003F3C75">
              <w:rPr>
                <w:b w:val="0"/>
                <w:color w:val="auto"/>
                <w:sz w:val="20"/>
                <w:szCs w:val="20"/>
              </w:rPr>
              <w:t>E.1 Snižování</w:t>
            </w:r>
            <w:proofErr w:type="gramEnd"/>
            <w:r w:rsidRPr="003F3C75">
              <w:rPr>
                <w:b w:val="0"/>
                <w:color w:val="auto"/>
                <w:sz w:val="20"/>
                <w:szCs w:val="20"/>
              </w:rPr>
              <w:t xml:space="preserve"> dopadů lidské činnosti na životní prostředí</w:t>
            </w:r>
          </w:p>
        </w:tc>
        <w:tc>
          <w:tcPr>
            <w:tcW w:w="1196" w:type="dxa"/>
            <w:noWrap/>
            <w:vAlign w:val="center"/>
          </w:tcPr>
          <w:p w:rsidR="00775DCE" w:rsidRPr="00775DCE" w:rsidRDefault="00AB31CC" w:rsidP="00775DCE">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0</w:t>
            </w:r>
          </w:p>
        </w:tc>
        <w:tc>
          <w:tcPr>
            <w:tcW w:w="1196" w:type="dxa"/>
            <w:noWrap/>
            <w:vAlign w:val="center"/>
          </w:tcPr>
          <w:p w:rsidR="00775DCE" w:rsidRPr="00775DCE" w:rsidRDefault="00AB31CC" w:rsidP="00775DCE">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0</w:t>
            </w:r>
          </w:p>
        </w:tc>
        <w:tc>
          <w:tcPr>
            <w:tcW w:w="1196" w:type="dxa"/>
            <w:vAlign w:val="center"/>
          </w:tcPr>
          <w:p w:rsidR="00775DCE" w:rsidRPr="00775DCE" w:rsidRDefault="00572998" w:rsidP="00775DCE">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2</w:t>
            </w:r>
          </w:p>
        </w:tc>
        <w:tc>
          <w:tcPr>
            <w:tcW w:w="1197" w:type="dxa"/>
            <w:noWrap/>
            <w:vAlign w:val="center"/>
          </w:tcPr>
          <w:p w:rsidR="00775DCE" w:rsidRPr="00775DCE" w:rsidRDefault="00572998" w:rsidP="00775DCE">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806</w:t>
            </w:r>
          </w:p>
        </w:tc>
      </w:tr>
      <w:tr w:rsidR="00775DCE" w:rsidRPr="003F3C75" w:rsidTr="00775DC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503" w:type="dxa"/>
            <w:noWrap/>
            <w:vAlign w:val="center"/>
            <w:hideMark/>
          </w:tcPr>
          <w:p w:rsidR="00775DCE" w:rsidRPr="003F3C75" w:rsidRDefault="00775DCE" w:rsidP="0028499A">
            <w:pPr>
              <w:spacing w:after="0"/>
              <w:jc w:val="left"/>
              <w:rPr>
                <w:b w:val="0"/>
                <w:color w:val="auto"/>
                <w:sz w:val="20"/>
                <w:szCs w:val="20"/>
              </w:rPr>
            </w:pPr>
            <w:proofErr w:type="gramStart"/>
            <w:r w:rsidRPr="003F3C75">
              <w:rPr>
                <w:b w:val="0"/>
                <w:color w:val="auto"/>
                <w:sz w:val="20"/>
                <w:szCs w:val="20"/>
              </w:rPr>
              <w:t>E.2 Zefektivnění</w:t>
            </w:r>
            <w:proofErr w:type="gramEnd"/>
            <w:r w:rsidRPr="003F3C75">
              <w:rPr>
                <w:b w:val="0"/>
                <w:color w:val="auto"/>
                <w:sz w:val="20"/>
                <w:szCs w:val="20"/>
              </w:rPr>
              <w:t xml:space="preserve"> odpadového hospodářství</w:t>
            </w:r>
          </w:p>
        </w:tc>
        <w:tc>
          <w:tcPr>
            <w:tcW w:w="1196" w:type="dxa"/>
            <w:noWrap/>
            <w:vAlign w:val="center"/>
          </w:tcPr>
          <w:p w:rsidR="00775DCE" w:rsidRPr="00775DCE" w:rsidRDefault="00AB31CC" w:rsidP="00775DCE">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w:t>
            </w:r>
          </w:p>
        </w:tc>
        <w:tc>
          <w:tcPr>
            <w:tcW w:w="1196" w:type="dxa"/>
            <w:noWrap/>
            <w:vAlign w:val="center"/>
          </w:tcPr>
          <w:p w:rsidR="00775DCE" w:rsidRPr="00775DCE" w:rsidRDefault="00AB31CC" w:rsidP="00775DCE">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w:t>
            </w:r>
          </w:p>
        </w:tc>
        <w:tc>
          <w:tcPr>
            <w:tcW w:w="1196" w:type="dxa"/>
            <w:vAlign w:val="center"/>
          </w:tcPr>
          <w:p w:rsidR="00775DCE" w:rsidRPr="00775DCE" w:rsidRDefault="000B4005" w:rsidP="00775DCE">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w:t>
            </w:r>
          </w:p>
        </w:tc>
        <w:tc>
          <w:tcPr>
            <w:tcW w:w="1197" w:type="dxa"/>
            <w:noWrap/>
            <w:vAlign w:val="center"/>
          </w:tcPr>
          <w:p w:rsidR="00775DCE" w:rsidRPr="00775DCE" w:rsidRDefault="000B4005" w:rsidP="00775DCE">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w:t>
            </w:r>
          </w:p>
        </w:tc>
      </w:tr>
      <w:tr w:rsidR="00534246" w:rsidRPr="003F3C75" w:rsidTr="00775DCE">
        <w:trPr>
          <w:trHeight w:val="255"/>
        </w:trPr>
        <w:tc>
          <w:tcPr>
            <w:cnfStyle w:val="001000000000" w:firstRow="0" w:lastRow="0" w:firstColumn="1" w:lastColumn="0" w:oddVBand="0" w:evenVBand="0" w:oddHBand="0" w:evenHBand="0" w:firstRowFirstColumn="0" w:firstRowLastColumn="0" w:lastRowFirstColumn="0" w:lastRowLastColumn="0"/>
            <w:tcW w:w="4503" w:type="dxa"/>
            <w:noWrap/>
            <w:vAlign w:val="center"/>
            <w:hideMark/>
          </w:tcPr>
          <w:p w:rsidR="00775DCE" w:rsidRPr="003F3C75" w:rsidRDefault="00775DCE" w:rsidP="0028499A">
            <w:pPr>
              <w:spacing w:after="0"/>
              <w:jc w:val="left"/>
              <w:rPr>
                <w:b w:val="0"/>
                <w:color w:val="auto"/>
                <w:sz w:val="20"/>
                <w:szCs w:val="20"/>
              </w:rPr>
            </w:pPr>
            <w:proofErr w:type="gramStart"/>
            <w:r w:rsidRPr="003F3C75">
              <w:rPr>
                <w:b w:val="0"/>
                <w:color w:val="auto"/>
                <w:sz w:val="20"/>
                <w:szCs w:val="20"/>
              </w:rPr>
              <w:t>E.3 Dosažení</w:t>
            </w:r>
            <w:proofErr w:type="gramEnd"/>
            <w:r w:rsidRPr="003F3C75">
              <w:rPr>
                <w:b w:val="0"/>
                <w:color w:val="auto"/>
                <w:sz w:val="20"/>
                <w:szCs w:val="20"/>
              </w:rPr>
              <w:t xml:space="preserve"> energetických úspor</w:t>
            </w:r>
          </w:p>
        </w:tc>
        <w:tc>
          <w:tcPr>
            <w:tcW w:w="1196" w:type="dxa"/>
            <w:noWrap/>
            <w:vAlign w:val="center"/>
          </w:tcPr>
          <w:p w:rsidR="00775DCE" w:rsidRPr="00775DCE" w:rsidRDefault="008129A3" w:rsidP="008962B0">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29</w:t>
            </w:r>
          </w:p>
        </w:tc>
        <w:tc>
          <w:tcPr>
            <w:tcW w:w="1196" w:type="dxa"/>
            <w:noWrap/>
            <w:vAlign w:val="center"/>
          </w:tcPr>
          <w:p w:rsidR="00775DCE" w:rsidRPr="00775DCE" w:rsidRDefault="008129A3" w:rsidP="008129A3">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52 958</w:t>
            </w:r>
          </w:p>
        </w:tc>
        <w:tc>
          <w:tcPr>
            <w:tcW w:w="1196" w:type="dxa"/>
            <w:vAlign w:val="center"/>
          </w:tcPr>
          <w:p w:rsidR="00775DCE" w:rsidRPr="00775DCE" w:rsidRDefault="008129A3" w:rsidP="00775DCE">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9</w:t>
            </w:r>
          </w:p>
        </w:tc>
        <w:tc>
          <w:tcPr>
            <w:tcW w:w="1197" w:type="dxa"/>
            <w:noWrap/>
            <w:vAlign w:val="center"/>
          </w:tcPr>
          <w:p w:rsidR="00775DCE" w:rsidRPr="00775DCE" w:rsidRDefault="008129A3" w:rsidP="00775DCE">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847</w:t>
            </w:r>
          </w:p>
        </w:tc>
      </w:tr>
      <w:tr w:rsidR="00775DCE" w:rsidRPr="003F3C75" w:rsidTr="00775DC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503" w:type="dxa"/>
            <w:noWrap/>
            <w:vAlign w:val="center"/>
            <w:hideMark/>
          </w:tcPr>
          <w:p w:rsidR="00775DCE" w:rsidRPr="003F3C75" w:rsidRDefault="00775DCE" w:rsidP="0028499A">
            <w:pPr>
              <w:spacing w:after="0"/>
              <w:jc w:val="left"/>
              <w:rPr>
                <w:b w:val="0"/>
                <w:color w:val="auto"/>
                <w:sz w:val="20"/>
                <w:szCs w:val="20"/>
              </w:rPr>
            </w:pPr>
            <w:proofErr w:type="gramStart"/>
            <w:r w:rsidRPr="003F3C75">
              <w:rPr>
                <w:b w:val="0"/>
                <w:color w:val="auto"/>
                <w:sz w:val="20"/>
                <w:szCs w:val="20"/>
              </w:rPr>
              <w:t>E.4 Zlepšování</w:t>
            </w:r>
            <w:proofErr w:type="gramEnd"/>
            <w:r w:rsidRPr="003F3C75">
              <w:rPr>
                <w:b w:val="0"/>
                <w:color w:val="auto"/>
                <w:sz w:val="20"/>
                <w:szCs w:val="20"/>
              </w:rPr>
              <w:t xml:space="preserve"> ekologické stability krajiny</w:t>
            </w:r>
          </w:p>
        </w:tc>
        <w:tc>
          <w:tcPr>
            <w:tcW w:w="1196" w:type="dxa"/>
            <w:noWrap/>
            <w:vAlign w:val="center"/>
          </w:tcPr>
          <w:p w:rsidR="00775DCE" w:rsidRPr="00775DCE" w:rsidRDefault="00572998" w:rsidP="00775DCE">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2</w:t>
            </w:r>
          </w:p>
        </w:tc>
        <w:tc>
          <w:tcPr>
            <w:tcW w:w="1196" w:type="dxa"/>
            <w:noWrap/>
            <w:vAlign w:val="center"/>
          </w:tcPr>
          <w:p w:rsidR="00775DCE" w:rsidRPr="00775DCE" w:rsidRDefault="00572998" w:rsidP="00775DCE">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554</w:t>
            </w:r>
          </w:p>
        </w:tc>
        <w:tc>
          <w:tcPr>
            <w:tcW w:w="1196" w:type="dxa"/>
            <w:vAlign w:val="center"/>
          </w:tcPr>
          <w:p w:rsidR="00775DCE" w:rsidRPr="00775DCE" w:rsidRDefault="008962B0" w:rsidP="00775DCE">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w:t>
            </w:r>
          </w:p>
        </w:tc>
        <w:tc>
          <w:tcPr>
            <w:tcW w:w="1197" w:type="dxa"/>
            <w:noWrap/>
            <w:vAlign w:val="center"/>
          </w:tcPr>
          <w:p w:rsidR="00775DCE" w:rsidRPr="00775DCE" w:rsidRDefault="008962B0" w:rsidP="00775DCE">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w:t>
            </w:r>
          </w:p>
        </w:tc>
      </w:tr>
      <w:tr w:rsidR="00534246" w:rsidRPr="003F3C75" w:rsidTr="00775DCE">
        <w:trPr>
          <w:trHeight w:val="255"/>
        </w:trPr>
        <w:tc>
          <w:tcPr>
            <w:cnfStyle w:val="001000000000" w:firstRow="0" w:lastRow="0" w:firstColumn="1" w:lastColumn="0" w:oddVBand="0" w:evenVBand="0" w:oddHBand="0" w:evenHBand="0" w:firstRowFirstColumn="0" w:firstRowLastColumn="0" w:lastRowFirstColumn="0" w:lastRowLastColumn="0"/>
            <w:tcW w:w="4503" w:type="dxa"/>
            <w:noWrap/>
            <w:vAlign w:val="center"/>
            <w:hideMark/>
          </w:tcPr>
          <w:p w:rsidR="00775DCE" w:rsidRPr="003F3C75" w:rsidRDefault="00775DCE" w:rsidP="0028499A">
            <w:pPr>
              <w:spacing w:after="0"/>
              <w:jc w:val="left"/>
              <w:rPr>
                <w:b w:val="0"/>
                <w:color w:val="auto"/>
                <w:sz w:val="20"/>
                <w:szCs w:val="20"/>
              </w:rPr>
            </w:pPr>
            <w:proofErr w:type="gramStart"/>
            <w:r w:rsidRPr="003F3C75">
              <w:rPr>
                <w:b w:val="0"/>
                <w:color w:val="auto"/>
                <w:sz w:val="20"/>
                <w:szCs w:val="20"/>
              </w:rPr>
              <w:t>E.5 Ochrana</w:t>
            </w:r>
            <w:proofErr w:type="gramEnd"/>
            <w:r w:rsidRPr="003F3C75">
              <w:rPr>
                <w:b w:val="0"/>
                <w:color w:val="auto"/>
                <w:sz w:val="20"/>
                <w:szCs w:val="20"/>
              </w:rPr>
              <w:t xml:space="preserve"> přírody a krajinného rázu</w:t>
            </w:r>
          </w:p>
        </w:tc>
        <w:tc>
          <w:tcPr>
            <w:tcW w:w="1196" w:type="dxa"/>
            <w:noWrap/>
            <w:vAlign w:val="center"/>
          </w:tcPr>
          <w:p w:rsidR="00775DCE" w:rsidRPr="00775DCE" w:rsidRDefault="008962B0" w:rsidP="00775DCE">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0</w:t>
            </w:r>
          </w:p>
        </w:tc>
        <w:tc>
          <w:tcPr>
            <w:tcW w:w="1196" w:type="dxa"/>
            <w:noWrap/>
            <w:vAlign w:val="center"/>
          </w:tcPr>
          <w:p w:rsidR="00775DCE" w:rsidRPr="00775DCE" w:rsidRDefault="008962B0" w:rsidP="00775DCE">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0</w:t>
            </w:r>
          </w:p>
        </w:tc>
        <w:tc>
          <w:tcPr>
            <w:tcW w:w="1196" w:type="dxa"/>
            <w:vAlign w:val="center"/>
          </w:tcPr>
          <w:p w:rsidR="00775DCE" w:rsidRPr="00775DCE" w:rsidRDefault="00572998" w:rsidP="008962B0">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40</w:t>
            </w:r>
          </w:p>
        </w:tc>
        <w:tc>
          <w:tcPr>
            <w:tcW w:w="1197" w:type="dxa"/>
            <w:noWrap/>
            <w:vAlign w:val="center"/>
          </w:tcPr>
          <w:p w:rsidR="00775DCE" w:rsidRPr="00775DCE" w:rsidRDefault="00572998" w:rsidP="00775DCE">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2 429</w:t>
            </w:r>
          </w:p>
        </w:tc>
      </w:tr>
      <w:tr w:rsidR="00775DCE" w:rsidRPr="003F3C75" w:rsidTr="00775DC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503" w:type="dxa"/>
            <w:noWrap/>
            <w:vAlign w:val="center"/>
            <w:hideMark/>
          </w:tcPr>
          <w:p w:rsidR="00775DCE" w:rsidRPr="003F3C75" w:rsidRDefault="00775DCE" w:rsidP="0028499A">
            <w:pPr>
              <w:spacing w:after="0"/>
              <w:jc w:val="left"/>
              <w:rPr>
                <w:b w:val="0"/>
                <w:color w:val="auto"/>
                <w:sz w:val="20"/>
                <w:szCs w:val="20"/>
              </w:rPr>
            </w:pPr>
            <w:proofErr w:type="gramStart"/>
            <w:r w:rsidRPr="003F3C75">
              <w:rPr>
                <w:b w:val="0"/>
                <w:color w:val="auto"/>
                <w:sz w:val="20"/>
                <w:szCs w:val="20"/>
              </w:rPr>
              <w:t>F.1 Efektivní</w:t>
            </w:r>
            <w:proofErr w:type="gramEnd"/>
            <w:r w:rsidRPr="003F3C75">
              <w:rPr>
                <w:b w:val="0"/>
                <w:color w:val="auto"/>
                <w:sz w:val="20"/>
                <w:szCs w:val="20"/>
              </w:rPr>
              <w:t xml:space="preserve"> fungování KÚOK a PO</w:t>
            </w:r>
          </w:p>
        </w:tc>
        <w:tc>
          <w:tcPr>
            <w:tcW w:w="1196" w:type="dxa"/>
            <w:noWrap/>
            <w:vAlign w:val="center"/>
          </w:tcPr>
          <w:p w:rsidR="00775DCE" w:rsidRPr="00775DCE" w:rsidRDefault="008962B0" w:rsidP="00775DCE">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w:t>
            </w:r>
          </w:p>
        </w:tc>
        <w:tc>
          <w:tcPr>
            <w:tcW w:w="1196" w:type="dxa"/>
            <w:noWrap/>
            <w:vAlign w:val="center"/>
          </w:tcPr>
          <w:p w:rsidR="00775DCE" w:rsidRPr="00775DCE" w:rsidRDefault="008962B0" w:rsidP="00775DCE">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w:t>
            </w:r>
          </w:p>
        </w:tc>
        <w:tc>
          <w:tcPr>
            <w:tcW w:w="1196" w:type="dxa"/>
            <w:vAlign w:val="center"/>
          </w:tcPr>
          <w:p w:rsidR="00775DCE" w:rsidRPr="00775DCE" w:rsidRDefault="00572998" w:rsidP="001752DC">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2</w:t>
            </w:r>
          </w:p>
        </w:tc>
        <w:tc>
          <w:tcPr>
            <w:tcW w:w="1197" w:type="dxa"/>
            <w:noWrap/>
            <w:vAlign w:val="center"/>
          </w:tcPr>
          <w:p w:rsidR="00775DCE" w:rsidRPr="00775DCE" w:rsidRDefault="00572998" w:rsidP="00572998">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12 566</w:t>
            </w:r>
          </w:p>
        </w:tc>
      </w:tr>
      <w:tr w:rsidR="00534246" w:rsidRPr="003F3C75" w:rsidTr="00775DCE">
        <w:trPr>
          <w:trHeight w:val="255"/>
        </w:trPr>
        <w:tc>
          <w:tcPr>
            <w:cnfStyle w:val="001000000000" w:firstRow="0" w:lastRow="0" w:firstColumn="1" w:lastColumn="0" w:oddVBand="0" w:evenVBand="0" w:oddHBand="0" w:evenHBand="0" w:firstRowFirstColumn="0" w:firstRowLastColumn="0" w:lastRowFirstColumn="0" w:lastRowLastColumn="0"/>
            <w:tcW w:w="4503" w:type="dxa"/>
            <w:noWrap/>
            <w:vAlign w:val="center"/>
            <w:hideMark/>
          </w:tcPr>
          <w:p w:rsidR="00775DCE" w:rsidRPr="003F3C75" w:rsidRDefault="00775DCE" w:rsidP="0028499A">
            <w:pPr>
              <w:spacing w:after="0"/>
              <w:jc w:val="left"/>
              <w:rPr>
                <w:b w:val="0"/>
                <w:color w:val="auto"/>
                <w:sz w:val="20"/>
                <w:szCs w:val="20"/>
              </w:rPr>
            </w:pPr>
            <w:proofErr w:type="gramStart"/>
            <w:r w:rsidRPr="003F3C75">
              <w:rPr>
                <w:b w:val="0"/>
                <w:color w:val="auto"/>
                <w:sz w:val="20"/>
                <w:szCs w:val="20"/>
              </w:rPr>
              <w:t>F.2 Plánování</w:t>
            </w:r>
            <w:proofErr w:type="gramEnd"/>
            <w:r w:rsidRPr="003F3C75">
              <w:rPr>
                <w:b w:val="0"/>
                <w:color w:val="auto"/>
                <w:sz w:val="20"/>
                <w:szCs w:val="20"/>
              </w:rPr>
              <w:t xml:space="preserve"> a řízení rozvoje</w:t>
            </w:r>
          </w:p>
        </w:tc>
        <w:tc>
          <w:tcPr>
            <w:tcW w:w="1196" w:type="dxa"/>
            <w:noWrap/>
            <w:vAlign w:val="center"/>
          </w:tcPr>
          <w:p w:rsidR="00775DCE" w:rsidRPr="00775DCE" w:rsidRDefault="008962B0" w:rsidP="00775DCE">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0</w:t>
            </w:r>
          </w:p>
        </w:tc>
        <w:tc>
          <w:tcPr>
            <w:tcW w:w="1196" w:type="dxa"/>
            <w:noWrap/>
            <w:vAlign w:val="center"/>
          </w:tcPr>
          <w:p w:rsidR="00775DCE" w:rsidRPr="00775DCE" w:rsidRDefault="008962B0" w:rsidP="00775DCE">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0</w:t>
            </w:r>
          </w:p>
        </w:tc>
        <w:tc>
          <w:tcPr>
            <w:tcW w:w="1196" w:type="dxa"/>
            <w:vAlign w:val="center"/>
          </w:tcPr>
          <w:p w:rsidR="00775DCE" w:rsidRPr="00775DCE" w:rsidRDefault="000B4005" w:rsidP="00775DCE">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12</w:t>
            </w:r>
          </w:p>
        </w:tc>
        <w:tc>
          <w:tcPr>
            <w:tcW w:w="1197" w:type="dxa"/>
            <w:noWrap/>
            <w:vAlign w:val="center"/>
          </w:tcPr>
          <w:p w:rsidR="00775DCE" w:rsidRPr="00775DCE" w:rsidRDefault="008129A3" w:rsidP="008129A3">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2</w:t>
            </w:r>
            <w:r w:rsidR="000B4005">
              <w:rPr>
                <w:color w:val="auto"/>
                <w:sz w:val="20"/>
                <w:szCs w:val="20"/>
              </w:rPr>
              <w:t xml:space="preserve"> 2</w:t>
            </w:r>
            <w:r>
              <w:rPr>
                <w:color w:val="auto"/>
                <w:sz w:val="20"/>
                <w:szCs w:val="20"/>
              </w:rPr>
              <w:t>20</w:t>
            </w:r>
          </w:p>
        </w:tc>
      </w:tr>
      <w:tr w:rsidR="00775DCE" w:rsidRPr="003F3C75" w:rsidTr="00775DC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503" w:type="dxa"/>
            <w:noWrap/>
            <w:vAlign w:val="center"/>
            <w:hideMark/>
          </w:tcPr>
          <w:p w:rsidR="00775DCE" w:rsidRPr="003F3C75" w:rsidRDefault="00775DCE" w:rsidP="0028499A">
            <w:pPr>
              <w:spacing w:after="0"/>
              <w:jc w:val="left"/>
              <w:rPr>
                <w:b w:val="0"/>
                <w:color w:val="auto"/>
                <w:sz w:val="20"/>
                <w:szCs w:val="20"/>
              </w:rPr>
            </w:pPr>
            <w:proofErr w:type="gramStart"/>
            <w:r w:rsidRPr="003F3C75">
              <w:rPr>
                <w:b w:val="0"/>
                <w:color w:val="auto"/>
                <w:sz w:val="20"/>
                <w:szCs w:val="20"/>
              </w:rPr>
              <w:t>F.3 Rozvojová</w:t>
            </w:r>
            <w:proofErr w:type="gramEnd"/>
            <w:r w:rsidRPr="003F3C75">
              <w:rPr>
                <w:b w:val="0"/>
                <w:color w:val="auto"/>
                <w:sz w:val="20"/>
                <w:szCs w:val="20"/>
              </w:rPr>
              <w:t xml:space="preserve"> spolupráce</w:t>
            </w:r>
          </w:p>
        </w:tc>
        <w:tc>
          <w:tcPr>
            <w:tcW w:w="1196" w:type="dxa"/>
            <w:noWrap/>
            <w:vAlign w:val="center"/>
          </w:tcPr>
          <w:p w:rsidR="00775DCE" w:rsidRPr="00775DCE" w:rsidRDefault="008962B0" w:rsidP="00775DCE">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w:t>
            </w:r>
          </w:p>
        </w:tc>
        <w:tc>
          <w:tcPr>
            <w:tcW w:w="1196" w:type="dxa"/>
            <w:noWrap/>
            <w:vAlign w:val="center"/>
          </w:tcPr>
          <w:p w:rsidR="00775DCE" w:rsidRPr="00775DCE" w:rsidRDefault="008962B0" w:rsidP="00775DCE">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w:t>
            </w:r>
          </w:p>
        </w:tc>
        <w:tc>
          <w:tcPr>
            <w:tcW w:w="1196" w:type="dxa"/>
            <w:vAlign w:val="center"/>
          </w:tcPr>
          <w:p w:rsidR="00775DCE" w:rsidRPr="00775DCE" w:rsidRDefault="008129A3" w:rsidP="00775DCE">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17</w:t>
            </w:r>
          </w:p>
        </w:tc>
        <w:tc>
          <w:tcPr>
            <w:tcW w:w="1197" w:type="dxa"/>
            <w:noWrap/>
            <w:vAlign w:val="center"/>
          </w:tcPr>
          <w:p w:rsidR="00775DCE" w:rsidRPr="00775DCE" w:rsidRDefault="008129A3" w:rsidP="008129A3">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2</w:t>
            </w:r>
            <w:r w:rsidR="008962B0">
              <w:rPr>
                <w:color w:val="auto"/>
                <w:sz w:val="20"/>
                <w:szCs w:val="20"/>
              </w:rPr>
              <w:t xml:space="preserve"> </w:t>
            </w:r>
            <w:r>
              <w:rPr>
                <w:color w:val="auto"/>
                <w:sz w:val="20"/>
                <w:szCs w:val="20"/>
              </w:rPr>
              <w:t>540</w:t>
            </w:r>
          </w:p>
        </w:tc>
      </w:tr>
      <w:tr w:rsidR="00534246" w:rsidRPr="003F3C75" w:rsidTr="00775DCE">
        <w:trPr>
          <w:trHeight w:val="255"/>
        </w:trPr>
        <w:tc>
          <w:tcPr>
            <w:cnfStyle w:val="001000000000" w:firstRow="0" w:lastRow="0" w:firstColumn="1" w:lastColumn="0" w:oddVBand="0" w:evenVBand="0" w:oddHBand="0" w:evenHBand="0" w:firstRowFirstColumn="0" w:firstRowLastColumn="0" w:lastRowFirstColumn="0" w:lastRowLastColumn="0"/>
            <w:tcW w:w="4503" w:type="dxa"/>
            <w:noWrap/>
            <w:vAlign w:val="center"/>
            <w:hideMark/>
          </w:tcPr>
          <w:p w:rsidR="00775DCE" w:rsidRPr="003F3C75" w:rsidRDefault="00775DCE" w:rsidP="0028499A">
            <w:pPr>
              <w:spacing w:after="0"/>
              <w:jc w:val="left"/>
              <w:rPr>
                <w:b w:val="0"/>
                <w:color w:val="auto"/>
                <w:sz w:val="20"/>
                <w:szCs w:val="20"/>
              </w:rPr>
            </w:pPr>
            <w:proofErr w:type="gramStart"/>
            <w:r w:rsidRPr="003F3C75">
              <w:rPr>
                <w:b w:val="0"/>
                <w:color w:val="auto"/>
                <w:sz w:val="20"/>
                <w:szCs w:val="20"/>
              </w:rPr>
              <w:t>F.4 Rozvoj</w:t>
            </w:r>
            <w:proofErr w:type="gramEnd"/>
            <w:r w:rsidRPr="003F3C75">
              <w:rPr>
                <w:b w:val="0"/>
                <w:color w:val="auto"/>
                <w:sz w:val="20"/>
                <w:szCs w:val="20"/>
              </w:rPr>
              <w:t xml:space="preserve"> krizového řízení a </w:t>
            </w:r>
            <w:proofErr w:type="spellStart"/>
            <w:r w:rsidRPr="003F3C75">
              <w:rPr>
                <w:b w:val="0"/>
                <w:color w:val="auto"/>
                <w:sz w:val="20"/>
                <w:szCs w:val="20"/>
              </w:rPr>
              <w:t>integ</w:t>
            </w:r>
            <w:proofErr w:type="spellEnd"/>
            <w:r w:rsidRPr="003F3C75">
              <w:rPr>
                <w:b w:val="0"/>
                <w:color w:val="auto"/>
                <w:sz w:val="20"/>
                <w:szCs w:val="20"/>
              </w:rPr>
              <w:t>. záchranného systému</w:t>
            </w:r>
          </w:p>
        </w:tc>
        <w:tc>
          <w:tcPr>
            <w:tcW w:w="1196" w:type="dxa"/>
            <w:noWrap/>
            <w:vAlign w:val="center"/>
          </w:tcPr>
          <w:p w:rsidR="00775DCE" w:rsidRPr="00775DCE" w:rsidRDefault="008129A3" w:rsidP="00775DCE">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6</w:t>
            </w:r>
          </w:p>
        </w:tc>
        <w:tc>
          <w:tcPr>
            <w:tcW w:w="1196" w:type="dxa"/>
            <w:noWrap/>
            <w:vAlign w:val="center"/>
          </w:tcPr>
          <w:p w:rsidR="00775DCE" w:rsidRPr="00775DCE" w:rsidRDefault="008129A3" w:rsidP="00775DCE">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851</w:t>
            </w:r>
          </w:p>
        </w:tc>
        <w:tc>
          <w:tcPr>
            <w:tcW w:w="1196" w:type="dxa"/>
            <w:vAlign w:val="center"/>
          </w:tcPr>
          <w:p w:rsidR="00775DCE" w:rsidRPr="00775DCE" w:rsidRDefault="008129A3" w:rsidP="00775DCE">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34</w:t>
            </w:r>
          </w:p>
        </w:tc>
        <w:tc>
          <w:tcPr>
            <w:tcW w:w="1197" w:type="dxa"/>
            <w:noWrap/>
            <w:vAlign w:val="center"/>
          </w:tcPr>
          <w:p w:rsidR="00775DCE" w:rsidRPr="00775DCE" w:rsidRDefault="008129A3" w:rsidP="008129A3">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1 235</w:t>
            </w:r>
          </w:p>
        </w:tc>
      </w:tr>
      <w:tr w:rsidR="00775DCE" w:rsidRPr="00775DCE" w:rsidTr="00775DC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503" w:type="dxa"/>
            <w:noWrap/>
            <w:vAlign w:val="center"/>
            <w:hideMark/>
          </w:tcPr>
          <w:p w:rsidR="00775DCE" w:rsidRPr="00775DCE" w:rsidRDefault="00775DCE" w:rsidP="0028499A">
            <w:pPr>
              <w:spacing w:after="0"/>
              <w:jc w:val="left"/>
              <w:rPr>
                <w:color w:val="auto"/>
                <w:sz w:val="20"/>
                <w:szCs w:val="20"/>
              </w:rPr>
            </w:pPr>
            <w:r w:rsidRPr="00775DCE">
              <w:rPr>
                <w:color w:val="auto"/>
                <w:sz w:val="20"/>
                <w:szCs w:val="20"/>
              </w:rPr>
              <w:t>Celkový součet</w:t>
            </w:r>
          </w:p>
        </w:tc>
        <w:tc>
          <w:tcPr>
            <w:tcW w:w="1196" w:type="dxa"/>
            <w:noWrap/>
            <w:vAlign w:val="center"/>
          </w:tcPr>
          <w:p w:rsidR="00775DCE" w:rsidRPr="00775DCE" w:rsidRDefault="00572998" w:rsidP="005215DE">
            <w:pPr>
              <w:spacing w:after="0"/>
              <w:jc w:val="right"/>
              <w:cnfStyle w:val="000000100000" w:firstRow="0" w:lastRow="0" w:firstColumn="0" w:lastColumn="0" w:oddVBand="0" w:evenVBand="0" w:oddHBand="1" w:evenHBand="0" w:firstRowFirstColumn="0" w:firstRowLastColumn="0" w:lastRowFirstColumn="0" w:lastRowLastColumn="0"/>
              <w:rPr>
                <w:b/>
                <w:color w:val="auto"/>
                <w:sz w:val="20"/>
                <w:szCs w:val="20"/>
              </w:rPr>
            </w:pPr>
            <w:r>
              <w:rPr>
                <w:b/>
                <w:color w:val="auto"/>
                <w:sz w:val="20"/>
                <w:szCs w:val="20"/>
              </w:rPr>
              <w:t>231</w:t>
            </w:r>
          </w:p>
        </w:tc>
        <w:tc>
          <w:tcPr>
            <w:tcW w:w="1196" w:type="dxa"/>
            <w:noWrap/>
            <w:vAlign w:val="center"/>
          </w:tcPr>
          <w:p w:rsidR="00775DCE" w:rsidRPr="00775DCE" w:rsidRDefault="00572998" w:rsidP="00D95B88">
            <w:pPr>
              <w:spacing w:after="0"/>
              <w:jc w:val="right"/>
              <w:cnfStyle w:val="000000100000" w:firstRow="0" w:lastRow="0" w:firstColumn="0" w:lastColumn="0" w:oddVBand="0" w:evenVBand="0" w:oddHBand="1" w:evenHBand="0" w:firstRowFirstColumn="0" w:firstRowLastColumn="0" w:lastRowFirstColumn="0" w:lastRowLastColumn="0"/>
              <w:rPr>
                <w:b/>
                <w:color w:val="auto"/>
                <w:sz w:val="20"/>
                <w:szCs w:val="20"/>
              </w:rPr>
            </w:pPr>
            <w:r>
              <w:rPr>
                <w:b/>
                <w:color w:val="auto"/>
                <w:sz w:val="20"/>
                <w:szCs w:val="20"/>
              </w:rPr>
              <w:t>1 105 584</w:t>
            </w:r>
          </w:p>
        </w:tc>
        <w:tc>
          <w:tcPr>
            <w:tcW w:w="1196" w:type="dxa"/>
            <w:vAlign w:val="center"/>
          </w:tcPr>
          <w:p w:rsidR="00775DCE" w:rsidRPr="00775DCE" w:rsidRDefault="00572998" w:rsidP="00D95B88">
            <w:pPr>
              <w:spacing w:after="0"/>
              <w:jc w:val="right"/>
              <w:cnfStyle w:val="000000100000" w:firstRow="0" w:lastRow="0" w:firstColumn="0" w:lastColumn="0" w:oddVBand="0" w:evenVBand="0" w:oddHBand="1" w:evenHBand="0" w:firstRowFirstColumn="0" w:firstRowLastColumn="0" w:lastRowFirstColumn="0" w:lastRowLastColumn="0"/>
              <w:rPr>
                <w:b/>
                <w:color w:val="auto"/>
                <w:sz w:val="20"/>
                <w:szCs w:val="20"/>
              </w:rPr>
            </w:pPr>
            <w:r>
              <w:rPr>
                <w:b/>
                <w:color w:val="auto"/>
                <w:sz w:val="20"/>
                <w:szCs w:val="20"/>
              </w:rPr>
              <w:t>329</w:t>
            </w:r>
          </w:p>
        </w:tc>
        <w:tc>
          <w:tcPr>
            <w:tcW w:w="1197" w:type="dxa"/>
            <w:noWrap/>
            <w:vAlign w:val="center"/>
          </w:tcPr>
          <w:p w:rsidR="00775DCE" w:rsidRPr="00775DCE" w:rsidRDefault="00572998" w:rsidP="00D95B88">
            <w:pPr>
              <w:spacing w:after="0"/>
              <w:jc w:val="right"/>
              <w:cnfStyle w:val="000000100000" w:firstRow="0" w:lastRow="0" w:firstColumn="0" w:lastColumn="0" w:oddVBand="0" w:evenVBand="0" w:oddHBand="1" w:evenHBand="0" w:firstRowFirstColumn="0" w:firstRowLastColumn="0" w:lastRowFirstColumn="0" w:lastRowLastColumn="0"/>
              <w:rPr>
                <w:b/>
                <w:color w:val="auto"/>
                <w:sz w:val="20"/>
                <w:szCs w:val="20"/>
              </w:rPr>
            </w:pPr>
            <w:r>
              <w:rPr>
                <w:b/>
                <w:color w:val="auto"/>
                <w:sz w:val="20"/>
                <w:szCs w:val="20"/>
              </w:rPr>
              <w:t>168 597</w:t>
            </w:r>
          </w:p>
        </w:tc>
      </w:tr>
    </w:tbl>
    <w:p w:rsidR="00DA7AEB" w:rsidRPr="007D24F3" w:rsidRDefault="00695D8A" w:rsidP="005A3353">
      <w:pPr>
        <w:spacing w:before="120"/>
      </w:pPr>
      <w:r w:rsidRPr="007D24F3">
        <w:t>Dosažené výstupy</w:t>
      </w:r>
    </w:p>
    <w:p w:rsidR="00DA7AEB" w:rsidRPr="007D24F3" w:rsidRDefault="00DA7AEB" w:rsidP="00DA7AEB">
      <w:pPr>
        <w:pStyle w:val="Odstavecseseznamem"/>
        <w:numPr>
          <w:ilvl w:val="0"/>
          <w:numId w:val="11"/>
        </w:numPr>
        <w:spacing w:before="120"/>
        <w:rPr>
          <w:rFonts w:ascii="Arial" w:hAnsi="Arial" w:cs="Arial"/>
        </w:rPr>
      </w:pPr>
      <w:r w:rsidRPr="007D24F3">
        <w:rPr>
          <w:rFonts w:ascii="Arial" w:hAnsi="Arial" w:cs="Arial"/>
        </w:rPr>
        <w:t>U</w:t>
      </w:r>
      <w:r w:rsidR="00654761" w:rsidRPr="007D24F3">
        <w:rPr>
          <w:rFonts w:ascii="Arial" w:hAnsi="Arial" w:cs="Arial"/>
        </w:rPr>
        <w:t>skutečnilo se</w:t>
      </w:r>
      <w:r w:rsidR="005A3353" w:rsidRPr="007D24F3">
        <w:rPr>
          <w:rFonts w:ascii="Arial" w:hAnsi="Arial" w:cs="Arial"/>
        </w:rPr>
        <w:t xml:space="preserve"> </w:t>
      </w:r>
      <w:r w:rsidR="00733EBC" w:rsidRPr="007D24F3">
        <w:rPr>
          <w:rFonts w:ascii="Arial" w:hAnsi="Arial" w:cs="Arial"/>
        </w:rPr>
        <w:t>55</w:t>
      </w:r>
      <w:r w:rsidRPr="007D24F3">
        <w:rPr>
          <w:rFonts w:ascii="Arial" w:hAnsi="Arial" w:cs="Arial"/>
        </w:rPr>
        <w:t xml:space="preserve"> </w:t>
      </w:r>
      <w:r w:rsidR="00654761" w:rsidRPr="007D24F3">
        <w:rPr>
          <w:rFonts w:ascii="Arial" w:hAnsi="Arial" w:cs="Arial"/>
        </w:rPr>
        <w:t>investičních projektů</w:t>
      </w:r>
      <w:r w:rsidRPr="007D24F3">
        <w:rPr>
          <w:rFonts w:ascii="Arial" w:hAnsi="Arial" w:cs="Arial"/>
        </w:rPr>
        <w:t xml:space="preserve"> ke zlepšení zázemí pro výuku, ať již zhodnocením prostor školy nebo přímo vybavením učeben.</w:t>
      </w:r>
    </w:p>
    <w:p w:rsidR="00695D8A" w:rsidRPr="007D24F3" w:rsidRDefault="00695D8A" w:rsidP="00695D8A">
      <w:pPr>
        <w:pStyle w:val="Odstavecseseznamem"/>
        <w:numPr>
          <w:ilvl w:val="0"/>
          <w:numId w:val="11"/>
        </w:numPr>
        <w:spacing w:before="120"/>
        <w:rPr>
          <w:rFonts w:ascii="Arial" w:hAnsi="Arial" w:cs="Arial"/>
        </w:rPr>
      </w:pPr>
      <w:r w:rsidRPr="007D24F3">
        <w:rPr>
          <w:rFonts w:ascii="Arial" w:hAnsi="Arial" w:cs="Arial"/>
        </w:rPr>
        <w:t xml:space="preserve">Spolu se Středomoravskou nemocniční, a. s., kraj uskutečnil </w:t>
      </w:r>
      <w:r w:rsidR="00733EBC" w:rsidRPr="007D24F3">
        <w:rPr>
          <w:rFonts w:ascii="Arial" w:hAnsi="Arial" w:cs="Arial"/>
        </w:rPr>
        <w:t>22</w:t>
      </w:r>
      <w:r w:rsidRPr="007D24F3">
        <w:rPr>
          <w:rFonts w:ascii="Arial" w:hAnsi="Arial" w:cs="Arial"/>
        </w:rPr>
        <w:t xml:space="preserve"> investičních projektů v oblasti zdravotnictví.</w:t>
      </w:r>
    </w:p>
    <w:p w:rsidR="00695D8A" w:rsidRPr="007D24F3" w:rsidRDefault="00695D8A" w:rsidP="00695D8A">
      <w:pPr>
        <w:pStyle w:val="Odstavecseseznamem"/>
        <w:numPr>
          <w:ilvl w:val="0"/>
          <w:numId w:val="11"/>
        </w:numPr>
        <w:spacing w:before="120"/>
        <w:rPr>
          <w:rFonts w:ascii="Arial" w:hAnsi="Arial" w:cs="Arial"/>
        </w:rPr>
      </w:pPr>
      <w:r w:rsidRPr="007D24F3">
        <w:rPr>
          <w:rFonts w:ascii="Arial" w:hAnsi="Arial" w:cs="Arial"/>
        </w:rPr>
        <w:t xml:space="preserve">Olomoucký kraj uskutečnil </w:t>
      </w:r>
      <w:r w:rsidR="00733EBC" w:rsidRPr="007D24F3">
        <w:rPr>
          <w:rFonts w:ascii="Arial" w:hAnsi="Arial" w:cs="Arial"/>
        </w:rPr>
        <w:t>28</w:t>
      </w:r>
      <w:r w:rsidRPr="007D24F3">
        <w:rPr>
          <w:rFonts w:ascii="Arial" w:hAnsi="Arial" w:cs="Arial"/>
        </w:rPr>
        <w:t xml:space="preserve"> investičních projektů v oblasti sociálních služeb.</w:t>
      </w:r>
    </w:p>
    <w:p w:rsidR="00264C60" w:rsidRPr="007D24F3" w:rsidRDefault="00264C60" w:rsidP="00695D8A">
      <w:pPr>
        <w:pStyle w:val="Odstavecseseznamem"/>
        <w:numPr>
          <w:ilvl w:val="0"/>
          <w:numId w:val="11"/>
        </w:numPr>
        <w:spacing w:before="120"/>
        <w:rPr>
          <w:rFonts w:ascii="Arial" w:hAnsi="Arial" w:cs="Arial"/>
        </w:rPr>
      </w:pPr>
      <w:r w:rsidRPr="007D24F3">
        <w:rPr>
          <w:rFonts w:ascii="Arial" w:hAnsi="Arial" w:cs="Arial"/>
        </w:rPr>
        <w:t xml:space="preserve">Olomoucký kraj podpořil fungování přes </w:t>
      </w:r>
      <w:r w:rsidR="00733EBC" w:rsidRPr="007D24F3">
        <w:rPr>
          <w:rFonts w:ascii="Arial" w:hAnsi="Arial" w:cs="Arial"/>
        </w:rPr>
        <w:t>240</w:t>
      </w:r>
      <w:r w:rsidRPr="007D24F3">
        <w:rPr>
          <w:rFonts w:ascii="Arial" w:hAnsi="Arial" w:cs="Arial"/>
        </w:rPr>
        <w:t xml:space="preserve"> sociálních služeb.</w:t>
      </w:r>
    </w:p>
    <w:p w:rsidR="00A40CD5" w:rsidRPr="007D24F3" w:rsidRDefault="00A40CD5" w:rsidP="00695D8A">
      <w:pPr>
        <w:pStyle w:val="Odstavecseseznamem"/>
        <w:numPr>
          <w:ilvl w:val="0"/>
          <w:numId w:val="11"/>
        </w:numPr>
        <w:spacing w:before="120"/>
        <w:rPr>
          <w:rFonts w:ascii="Arial" w:hAnsi="Arial" w:cs="Arial"/>
        </w:rPr>
      </w:pPr>
      <w:r w:rsidRPr="007D24F3">
        <w:rPr>
          <w:rFonts w:ascii="Arial" w:hAnsi="Arial" w:cs="Arial"/>
        </w:rPr>
        <w:t>Bylo opr</w:t>
      </w:r>
      <w:r w:rsidR="00733EBC" w:rsidRPr="007D24F3">
        <w:rPr>
          <w:rFonts w:ascii="Arial" w:hAnsi="Arial" w:cs="Arial"/>
        </w:rPr>
        <w:t>aveno nebo zrekonstruováno asi</w:t>
      </w:r>
      <w:r w:rsidRPr="007D24F3">
        <w:rPr>
          <w:rFonts w:ascii="Arial" w:hAnsi="Arial" w:cs="Arial"/>
        </w:rPr>
        <w:t xml:space="preserve"> </w:t>
      </w:r>
      <w:r w:rsidR="00733EBC" w:rsidRPr="007D24F3">
        <w:rPr>
          <w:rFonts w:ascii="Arial" w:hAnsi="Arial" w:cs="Arial"/>
        </w:rPr>
        <w:t>87,5</w:t>
      </w:r>
      <w:r w:rsidR="00592EAC" w:rsidRPr="007D24F3">
        <w:rPr>
          <w:rFonts w:ascii="Arial" w:hAnsi="Arial" w:cs="Arial"/>
        </w:rPr>
        <w:t> </w:t>
      </w:r>
      <w:r w:rsidRPr="007D24F3">
        <w:rPr>
          <w:rFonts w:ascii="Arial" w:hAnsi="Arial" w:cs="Arial"/>
        </w:rPr>
        <w:t>km silnic II. a III. třídy.</w:t>
      </w:r>
    </w:p>
    <w:p w:rsidR="00A40CD5" w:rsidRPr="007D24F3" w:rsidRDefault="000A068D" w:rsidP="00D0665A">
      <w:pPr>
        <w:pStyle w:val="Odstavecseseznamem"/>
        <w:numPr>
          <w:ilvl w:val="0"/>
          <w:numId w:val="11"/>
        </w:numPr>
        <w:spacing w:before="120"/>
        <w:rPr>
          <w:rFonts w:ascii="Arial" w:hAnsi="Arial" w:cs="Arial"/>
        </w:rPr>
      </w:pPr>
      <w:r w:rsidRPr="007D24F3">
        <w:rPr>
          <w:rFonts w:ascii="Arial" w:hAnsi="Arial" w:cs="Arial"/>
        </w:rPr>
        <w:t xml:space="preserve">Bylo zrekonstruováno </w:t>
      </w:r>
      <w:r w:rsidR="00733EBC" w:rsidRPr="007D24F3">
        <w:rPr>
          <w:rFonts w:ascii="Arial" w:hAnsi="Arial" w:cs="Arial"/>
        </w:rPr>
        <w:t>8</w:t>
      </w:r>
      <w:r w:rsidR="00A40CD5" w:rsidRPr="007D24F3">
        <w:rPr>
          <w:rFonts w:ascii="Arial" w:hAnsi="Arial" w:cs="Arial"/>
        </w:rPr>
        <w:t xml:space="preserve"> mostů.</w:t>
      </w:r>
    </w:p>
    <w:p w:rsidR="00DA7AEB" w:rsidRPr="007D24F3" w:rsidRDefault="00DA7AEB" w:rsidP="00DA7AEB">
      <w:pPr>
        <w:pStyle w:val="Odstavecseseznamem"/>
        <w:numPr>
          <w:ilvl w:val="0"/>
          <w:numId w:val="11"/>
        </w:numPr>
        <w:spacing w:before="120"/>
        <w:rPr>
          <w:rFonts w:ascii="Arial" w:hAnsi="Arial" w:cs="Arial"/>
        </w:rPr>
      </w:pPr>
      <w:r w:rsidRPr="007D24F3">
        <w:rPr>
          <w:rFonts w:ascii="Arial" w:hAnsi="Arial" w:cs="Arial"/>
        </w:rPr>
        <w:t>Asi 1</w:t>
      </w:r>
      <w:r w:rsidR="00AB44F2" w:rsidRPr="007D24F3">
        <w:rPr>
          <w:rFonts w:ascii="Arial" w:hAnsi="Arial" w:cs="Arial"/>
        </w:rPr>
        <w:t>2</w:t>
      </w:r>
      <w:r w:rsidRPr="007D24F3">
        <w:rPr>
          <w:rFonts w:ascii="Arial" w:hAnsi="Arial" w:cs="Arial"/>
        </w:rPr>
        <w:t> </w:t>
      </w:r>
      <w:r w:rsidR="00733EBC" w:rsidRPr="007D24F3">
        <w:rPr>
          <w:rFonts w:ascii="Arial" w:hAnsi="Arial" w:cs="Arial"/>
        </w:rPr>
        <w:t>8</w:t>
      </w:r>
      <w:r w:rsidRPr="007D24F3">
        <w:rPr>
          <w:rFonts w:ascii="Arial" w:hAnsi="Arial" w:cs="Arial"/>
        </w:rPr>
        <w:t>00 osob využilo rodinných pasů.</w:t>
      </w:r>
    </w:p>
    <w:p w:rsidR="00A40CD5" w:rsidRPr="007D24F3" w:rsidRDefault="00A40CD5" w:rsidP="00DA7AEB">
      <w:pPr>
        <w:pStyle w:val="Odstavecseseznamem"/>
        <w:numPr>
          <w:ilvl w:val="0"/>
          <w:numId w:val="11"/>
        </w:numPr>
        <w:spacing w:before="120"/>
        <w:rPr>
          <w:rFonts w:ascii="Arial" w:hAnsi="Arial" w:cs="Arial"/>
        </w:rPr>
      </w:pPr>
      <w:r w:rsidRPr="007D24F3">
        <w:rPr>
          <w:rFonts w:ascii="Arial" w:hAnsi="Arial" w:cs="Arial"/>
        </w:rPr>
        <w:t xml:space="preserve">Přes </w:t>
      </w:r>
      <w:r w:rsidR="00733EBC" w:rsidRPr="007D24F3">
        <w:rPr>
          <w:rFonts w:ascii="Arial" w:hAnsi="Arial" w:cs="Arial"/>
        </w:rPr>
        <w:t>4</w:t>
      </w:r>
      <w:r w:rsidRPr="007D24F3">
        <w:rPr>
          <w:rFonts w:ascii="Arial" w:hAnsi="Arial" w:cs="Arial"/>
        </w:rPr>
        <w:t> </w:t>
      </w:r>
      <w:r w:rsidR="00733EBC" w:rsidRPr="007D24F3">
        <w:rPr>
          <w:rFonts w:ascii="Arial" w:hAnsi="Arial" w:cs="Arial"/>
        </w:rPr>
        <w:t>2</w:t>
      </w:r>
      <w:r w:rsidRPr="007D24F3">
        <w:rPr>
          <w:rFonts w:ascii="Arial" w:hAnsi="Arial" w:cs="Arial"/>
        </w:rPr>
        <w:t xml:space="preserve">00 osob využilo Olomouc region </w:t>
      </w:r>
      <w:proofErr w:type="spellStart"/>
      <w:r w:rsidRPr="007D24F3">
        <w:rPr>
          <w:rFonts w:ascii="Arial" w:hAnsi="Arial" w:cs="Arial"/>
        </w:rPr>
        <w:t>card</w:t>
      </w:r>
      <w:proofErr w:type="spellEnd"/>
      <w:r w:rsidRPr="007D24F3">
        <w:rPr>
          <w:rFonts w:ascii="Arial" w:hAnsi="Arial" w:cs="Arial"/>
        </w:rPr>
        <w:t>.</w:t>
      </w:r>
    </w:p>
    <w:p w:rsidR="00264C60" w:rsidRPr="007D24F3" w:rsidRDefault="00A40CD5" w:rsidP="00264C60">
      <w:pPr>
        <w:pStyle w:val="Odstavecseseznamem"/>
        <w:numPr>
          <w:ilvl w:val="0"/>
          <w:numId w:val="11"/>
        </w:numPr>
        <w:spacing w:before="120"/>
        <w:rPr>
          <w:rFonts w:ascii="Arial" w:hAnsi="Arial" w:cs="Arial"/>
        </w:rPr>
      </w:pPr>
      <w:r w:rsidRPr="007D24F3">
        <w:rPr>
          <w:rFonts w:ascii="Arial" w:hAnsi="Arial" w:cs="Arial"/>
        </w:rPr>
        <w:t xml:space="preserve">Asi </w:t>
      </w:r>
      <w:r w:rsidR="00733EBC" w:rsidRPr="007D24F3">
        <w:rPr>
          <w:rFonts w:ascii="Arial" w:hAnsi="Arial" w:cs="Arial"/>
        </w:rPr>
        <w:t>3</w:t>
      </w:r>
      <w:r w:rsidRPr="007D24F3">
        <w:rPr>
          <w:rFonts w:ascii="Arial" w:hAnsi="Arial" w:cs="Arial"/>
        </w:rPr>
        <w:t> </w:t>
      </w:r>
      <w:r w:rsidR="00733EBC" w:rsidRPr="007D24F3">
        <w:rPr>
          <w:rFonts w:ascii="Arial" w:hAnsi="Arial" w:cs="Arial"/>
        </w:rPr>
        <w:t>0</w:t>
      </w:r>
      <w:r w:rsidRPr="007D24F3">
        <w:rPr>
          <w:rFonts w:ascii="Arial" w:hAnsi="Arial" w:cs="Arial"/>
        </w:rPr>
        <w:t>00 seniorů se zapojilo do seniorského cestování.</w:t>
      </w:r>
    </w:p>
    <w:p w:rsidR="00695D8A" w:rsidRPr="007D24F3" w:rsidRDefault="00695D8A" w:rsidP="00695D8A">
      <w:pPr>
        <w:pStyle w:val="Odstavecseseznamem"/>
        <w:numPr>
          <w:ilvl w:val="0"/>
          <w:numId w:val="11"/>
        </w:numPr>
        <w:spacing w:before="120"/>
        <w:rPr>
          <w:rFonts w:ascii="Arial" w:hAnsi="Arial" w:cs="Arial"/>
        </w:rPr>
      </w:pPr>
      <w:r w:rsidRPr="007D24F3">
        <w:rPr>
          <w:rFonts w:ascii="Arial" w:hAnsi="Arial" w:cs="Arial"/>
        </w:rPr>
        <w:t xml:space="preserve">Olomoucký kraj vydal přes </w:t>
      </w:r>
      <w:r w:rsidR="00733EBC" w:rsidRPr="007D24F3">
        <w:rPr>
          <w:rFonts w:ascii="Arial" w:hAnsi="Arial" w:cs="Arial"/>
        </w:rPr>
        <w:t>13</w:t>
      </w:r>
      <w:r w:rsidRPr="007D24F3">
        <w:rPr>
          <w:rFonts w:ascii="Arial" w:hAnsi="Arial" w:cs="Arial"/>
        </w:rPr>
        <w:t xml:space="preserve"> publikací</w:t>
      </w:r>
      <w:r w:rsidR="00A40CD5" w:rsidRPr="007D24F3">
        <w:rPr>
          <w:rFonts w:ascii="Arial" w:hAnsi="Arial" w:cs="Arial"/>
        </w:rPr>
        <w:t xml:space="preserve"> a propagačních materiálů</w:t>
      </w:r>
      <w:r w:rsidRPr="007D24F3">
        <w:rPr>
          <w:rFonts w:ascii="Arial" w:hAnsi="Arial" w:cs="Arial"/>
        </w:rPr>
        <w:t>.</w:t>
      </w:r>
    </w:p>
    <w:p w:rsidR="00695D8A" w:rsidRPr="007D24F3" w:rsidRDefault="00D0665A" w:rsidP="00D0665A">
      <w:pPr>
        <w:pStyle w:val="Odstavecseseznamem"/>
        <w:numPr>
          <w:ilvl w:val="0"/>
          <w:numId w:val="11"/>
        </w:numPr>
        <w:spacing w:before="120"/>
        <w:rPr>
          <w:rFonts w:ascii="Arial" w:hAnsi="Arial" w:cs="Arial"/>
        </w:rPr>
      </w:pPr>
      <w:r w:rsidRPr="007D24F3">
        <w:rPr>
          <w:rFonts w:ascii="Arial" w:hAnsi="Arial" w:cs="Arial"/>
        </w:rPr>
        <w:t>Olomoucký kraj prezentoval investiční příležitosti i atraktivity cestovního ruchu na</w:t>
      </w:r>
      <w:r w:rsidR="00695D8A" w:rsidRPr="007D24F3">
        <w:rPr>
          <w:rFonts w:ascii="Arial" w:hAnsi="Arial" w:cs="Arial"/>
        </w:rPr>
        <w:t xml:space="preserve"> </w:t>
      </w:r>
      <w:r w:rsidR="007D24F3" w:rsidRPr="007D24F3">
        <w:rPr>
          <w:rFonts w:ascii="Arial" w:hAnsi="Arial" w:cs="Arial"/>
        </w:rPr>
        <w:t>20</w:t>
      </w:r>
      <w:r w:rsidR="00695D8A" w:rsidRPr="007D24F3">
        <w:rPr>
          <w:rFonts w:ascii="Arial" w:hAnsi="Arial" w:cs="Arial"/>
        </w:rPr>
        <w:t xml:space="preserve"> propagačních akcí</w:t>
      </w:r>
      <w:r w:rsidRPr="007D24F3">
        <w:rPr>
          <w:rFonts w:ascii="Arial" w:hAnsi="Arial" w:cs="Arial"/>
        </w:rPr>
        <w:t>ch</w:t>
      </w:r>
      <w:r w:rsidR="00695D8A" w:rsidRPr="007D24F3">
        <w:rPr>
          <w:rFonts w:ascii="Arial" w:hAnsi="Arial" w:cs="Arial"/>
        </w:rPr>
        <w:t>.</w:t>
      </w:r>
    </w:p>
    <w:p w:rsidR="0020298D" w:rsidRDefault="0020298D" w:rsidP="00E477C7">
      <w:pPr>
        <w:pStyle w:val="IVnadpis2"/>
        <w:numPr>
          <w:ilvl w:val="0"/>
          <w:numId w:val="8"/>
        </w:numPr>
      </w:pPr>
      <w:bookmarkStart w:id="7" w:name="_Toc477348258"/>
      <w:r>
        <w:t>Využívání dotačních titulů</w:t>
      </w:r>
      <w:bookmarkEnd w:id="7"/>
    </w:p>
    <w:p w:rsidR="002C611B" w:rsidRDefault="004F0639" w:rsidP="0028499A">
      <w:r>
        <w:t>V roce 2017 začalo čerpání dotačních titulů EU pro období 2014 - 2020</w:t>
      </w:r>
      <w:r w:rsidR="0028499A">
        <w:t>.</w:t>
      </w:r>
      <w:r w:rsidR="002C611B">
        <w:t xml:space="preserve"> </w:t>
      </w:r>
      <w:r>
        <w:t>Naopak se opět trochu utlumilo čerpání národních dotací.</w:t>
      </w:r>
    </w:p>
    <w:p w:rsidR="00F51FEC" w:rsidRDefault="002C611B" w:rsidP="002C611B">
      <w:r>
        <w:t>Olomoucký kraj získal v roce 201</w:t>
      </w:r>
      <w:r w:rsidR="00F51FEC">
        <w:t>7</w:t>
      </w:r>
      <w:r>
        <w:t xml:space="preserve"> </w:t>
      </w:r>
      <w:r w:rsidR="00F51FEC">
        <w:t>asi 6</w:t>
      </w:r>
      <w:r w:rsidR="001A1688">
        <w:t>40</w:t>
      </w:r>
      <w:r w:rsidR="00592EAC">
        <w:t> </w:t>
      </w:r>
      <w:r>
        <w:t>m</w:t>
      </w:r>
      <w:r w:rsidR="001A1688">
        <w:t>i</w:t>
      </w:r>
      <w:r>
        <w:t>l.</w:t>
      </w:r>
      <w:r w:rsidR="00592EAC">
        <w:t> </w:t>
      </w:r>
      <w:r>
        <w:t>Kč z externích zdrojů.</w:t>
      </w:r>
      <w:r w:rsidRPr="002C611B">
        <w:t xml:space="preserve"> </w:t>
      </w:r>
      <w:r w:rsidR="00F51FEC">
        <w:t>Odpočítáme-li kotlíkové dotace a dotace na stabilizaci nelékařských pracovníků, jedná se o 480 mil. Kč na projekty Olomouckého kraje. To je výrazný nárůst proti asi 370 mil. Kč v roce 2016. Protože velká část projektů se teprve začíná realizovat, lze v roce 2018 očekávat další nárůst čerpání dotací. To samozřejmě klade zvýšený tlak na zajištění jejich předfinancování.</w:t>
      </w:r>
    </w:p>
    <w:p w:rsidR="002C611B" w:rsidRDefault="00F51FEC" w:rsidP="002C611B">
      <w:r>
        <w:lastRenderedPageBreak/>
        <w:t>Po větším objemu čerpání národních dotačních titulů v roce 2016 došlo v minulém roce k jejich útlumu</w:t>
      </w:r>
      <w:r w:rsidR="001742A1">
        <w:t>.</w:t>
      </w:r>
      <w:r w:rsidR="00D57A6B">
        <w:t xml:space="preserve"> </w:t>
      </w:r>
      <w:r w:rsidR="00952EBE">
        <w:t>Pro kraj nejdůležitější</w:t>
      </w:r>
      <w:r w:rsidR="004A53C6">
        <w:t xml:space="preserve"> je zachování dotací ze</w:t>
      </w:r>
      <w:r w:rsidR="002C611B">
        <w:t xml:space="preserve"> Státní</w:t>
      </w:r>
      <w:r w:rsidR="004A53C6">
        <w:t>ho</w:t>
      </w:r>
      <w:r w:rsidR="002C611B">
        <w:t xml:space="preserve"> fond</w:t>
      </w:r>
      <w:r w:rsidR="004A53C6">
        <w:t>u</w:t>
      </w:r>
      <w:r w:rsidR="002C611B">
        <w:t xml:space="preserve"> dopravní infrastruktury</w:t>
      </w:r>
      <w:r w:rsidR="009D6C58">
        <w:t xml:space="preserve"> na opravy silnic II. a I</w:t>
      </w:r>
      <w:r w:rsidR="000A502A">
        <w:t>I</w:t>
      </w:r>
      <w:r w:rsidR="009D6C58">
        <w:t xml:space="preserve">I. </w:t>
      </w:r>
      <w:r w:rsidR="000A502A">
        <w:t>třídy</w:t>
      </w:r>
      <w:r w:rsidR="009D6C58">
        <w:t>.</w:t>
      </w:r>
      <w:r w:rsidR="00C66B16" w:rsidRPr="00C66B16">
        <w:t xml:space="preserve"> </w:t>
      </w:r>
      <w:r w:rsidR="00C66B16">
        <w:t xml:space="preserve">Dále pak zavedení </w:t>
      </w:r>
      <w:r w:rsidR="000A502A">
        <w:t xml:space="preserve">systematické </w:t>
      </w:r>
      <w:r w:rsidR="00C66B16">
        <w:t>dotační politiky státu v oblasti cestovního ruchu.</w:t>
      </w:r>
    </w:p>
    <w:tbl>
      <w:tblPr>
        <w:tblStyle w:val="Svtlstnovnzvraznn1"/>
        <w:tblW w:w="0" w:type="auto"/>
        <w:tblLayout w:type="fixed"/>
        <w:tblLook w:val="04A0" w:firstRow="1" w:lastRow="0" w:firstColumn="1" w:lastColumn="0" w:noHBand="0" w:noVBand="1"/>
      </w:tblPr>
      <w:tblGrid>
        <w:gridCol w:w="5659"/>
        <w:gridCol w:w="1209"/>
        <w:gridCol w:w="1210"/>
        <w:gridCol w:w="1210"/>
      </w:tblGrid>
      <w:tr w:rsidR="002A3062" w:rsidRPr="003F3C75" w:rsidTr="000C7F0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2A3062" w:rsidRDefault="002A3062" w:rsidP="000C7F04">
            <w:pPr>
              <w:spacing w:after="0"/>
              <w:jc w:val="center"/>
              <w:rPr>
                <w:bCs w:val="0"/>
                <w:color w:val="auto"/>
                <w:sz w:val="20"/>
                <w:szCs w:val="20"/>
              </w:rPr>
            </w:pPr>
            <w:r w:rsidRPr="003F3C75">
              <w:rPr>
                <w:bCs w:val="0"/>
                <w:color w:val="auto"/>
                <w:sz w:val="20"/>
                <w:szCs w:val="20"/>
              </w:rPr>
              <w:t xml:space="preserve">Plnění priorit </w:t>
            </w:r>
            <w:r w:rsidR="00E22661">
              <w:rPr>
                <w:bCs w:val="0"/>
                <w:color w:val="auto"/>
                <w:sz w:val="20"/>
                <w:szCs w:val="20"/>
              </w:rPr>
              <w:t>SROK</w:t>
            </w:r>
            <w:r w:rsidRPr="003F3C75">
              <w:rPr>
                <w:bCs w:val="0"/>
                <w:color w:val="auto"/>
                <w:sz w:val="20"/>
                <w:szCs w:val="20"/>
              </w:rPr>
              <w:t xml:space="preserve"> v roce </w:t>
            </w:r>
            <w:r w:rsidR="00041757">
              <w:rPr>
                <w:bCs w:val="0"/>
                <w:color w:val="auto"/>
                <w:sz w:val="20"/>
                <w:szCs w:val="20"/>
              </w:rPr>
              <w:t>201</w:t>
            </w:r>
            <w:r w:rsidR="002D7DA8">
              <w:rPr>
                <w:bCs w:val="0"/>
                <w:color w:val="auto"/>
                <w:sz w:val="20"/>
                <w:szCs w:val="20"/>
              </w:rPr>
              <w:t>7</w:t>
            </w:r>
            <w:r>
              <w:rPr>
                <w:bCs w:val="0"/>
                <w:color w:val="auto"/>
                <w:sz w:val="20"/>
                <w:szCs w:val="20"/>
              </w:rPr>
              <w:t>:</w:t>
            </w:r>
          </w:p>
          <w:p w:rsidR="002A3062" w:rsidRPr="003F3C75" w:rsidRDefault="002A3062" w:rsidP="000C7F04">
            <w:pPr>
              <w:spacing w:after="0"/>
              <w:jc w:val="center"/>
              <w:rPr>
                <w:color w:val="auto"/>
                <w:sz w:val="20"/>
                <w:szCs w:val="20"/>
              </w:rPr>
            </w:pPr>
            <w:r>
              <w:rPr>
                <w:bCs w:val="0"/>
                <w:color w:val="auto"/>
                <w:sz w:val="20"/>
                <w:szCs w:val="20"/>
              </w:rPr>
              <w:t>dotace využité Olomouckým krajem</w:t>
            </w:r>
          </w:p>
        </w:tc>
        <w:tc>
          <w:tcPr>
            <w:tcW w:w="1209" w:type="dxa"/>
            <w:noWrap/>
            <w:vAlign w:val="center"/>
            <w:hideMark/>
          </w:tcPr>
          <w:p w:rsidR="002A3062" w:rsidRPr="003F3C75" w:rsidRDefault="002A3062" w:rsidP="009D6C58">
            <w:pPr>
              <w:spacing w:after="0"/>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3F3C75">
              <w:rPr>
                <w:bCs w:val="0"/>
                <w:color w:val="auto"/>
                <w:sz w:val="20"/>
                <w:szCs w:val="20"/>
              </w:rPr>
              <w:t>Počet podp</w:t>
            </w:r>
            <w:r w:rsidR="009D6C58">
              <w:rPr>
                <w:bCs w:val="0"/>
                <w:color w:val="auto"/>
                <w:sz w:val="20"/>
                <w:szCs w:val="20"/>
              </w:rPr>
              <w:t>orovaných</w:t>
            </w:r>
            <w:r w:rsidRPr="003F3C75">
              <w:rPr>
                <w:bCs w:val="0"/>
                <w:color w:val="auto"/>
                <w:sz w:val="20"/>
                <w:szCs w:val="20"/>
              </w:rPr>
              <w:t xml:space="preserve"> činností</w:t>
            </w:r>
          </w:p>
        </w:tc>
        <w:tc>
          <w:tcPr>
            <w:tcW w:w="1210" w:type="dxa"/>
            <w:noWrap/>
            <w:vAlign w:val="center"/>
            <w:hideMark/>
          </w:tcPr>
          <w:p w:rsidR="002A3062" w:rsidRPr="003F3C75" w:rsidRDefault="00597687" w:rsidP="000C7F04">
            <w:pPr>
              <w:spacing w:after="0"/>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Pr>
                <w:color w:val="auto"/>
                <w:sz w:val="20"/>
                <w:szCs w:val="20"/>
              </w:rPr>
              <w:t>Výdaje</w:t>
            </w:r>
            <w:r w:rsidR="002A3062" w:rsidRPr="003F3C75">
              <w:rPr>
                <w:color w:val="auto"/>
                <w:sz w:val="20"/>
                <w:szCs w:val="20"/>
              </w:rPr>
              <w:t xml:space="preserve"> OK </w:t>
            </w:r>
            <w:r w:rsidR="002A3062" w:rsidRPr="003F3C75">
              <w:rPr>
                <w:b w:val="0"/>
                <w:bCs w:val="0"/>
                <w:color w:val="auto"/>
                <w:sz w:val="20"/>
                <w:szCs w:val="20"/>
              </w:rPr>
              <w:br/>
            </w:r>
            <w:r w:rsidR="002A3062" w:rsidRPr="003F3C75">
              <w:rPr>
                <w:color w:val="auto"/>
                <w:sz w:val="20"/>
                <w:szCs w:val="20"/>
              </w:rPr>
              <w:t>(v tis. Kč)</w:t>
            </w:r>
          </w:p>
        </w:tc>
        <w:tc>
          <w:tcPr>
            <w:tcW w:w="1210" w:type="dxa"/>
            <w:noWrap/>
            <w:vAlign w:val="center"/>
            <w:hideMark/>
          </w:tcPr>
          <w:p w:rsidR="002A3062" w:rsidRPr="003F3C75" w:rsidRDefault="002A3062" w:rsidP="000C7F04">
            <w:pPr>
              <w:spacing w:after="0"/>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3F3C75">
              <w:rPr>
                <w:color w:val="auto"/>
                <w:sz w:val="20"/>
                <w:szCs w:val="20"/>
              </w:rPr>
              <w:t xml:space="preserve">Celkové </w:t>
            </w:r>
            <w:r w:rsidR="00597687">
              <w:rPr>
                <w:color w:val="auto"/>
                <w:sz w:val="20"/>
                <w:szCs w:val="20"/>
              </w:rPr>
              <w:t>výdaje</w:t>
            </w:r>
            <w:r w:rsidRPr="003F3C75">
              <w:rPr>
                <w:color w:val="auto"/>
                <w:sz w:val="20"/>
                <w:szCs w:val="20"/>
              </w:rPr>
              <w:t xml:space="preserve"> </w:t>
            </w:r>
            <w:r w:rsidRPr="003F3C75">
              <w:rPr>
                <w:b w:val="0"/>
                <w:bCs w:val="0"/>
                <w:color w:val="auto"/>
                <w:sz w:val="20"/>
                <w:szCs w:val="20"/>
              </w:rPr>
              <w:br/>
            </w:r>
            <w:r w:rsidRPr="003F3C75">
              <w:rPr>
                <w:color w:val="auto"/>
                <w:sz w:val="20"/>
                <w:szCs w:val="20"/>
              </w:rPr>
              <w:t>(v tis. Kč)</w:t>
            </w:r>
          </w:p>
        </w:tc>
      </w:tr>
      <w:tr w:rsidR="002A3062" w:rsidRPr="003F3C75" w:rsidTr="002A306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tcPr>
          <w:p w:rsidR="002A3062" w:rsidRPr="003F3C75" w:rsidRDefault="00E922B5" w:rsidP="000C7F04">
            <w:pPr>
              <w:spacing w:after="0"/>
              <w:jc w:val="left"/>
              <w:rPr>
                <w:b w:val="0"/>
                <w:color w:val="auto"/>
                <w:sz w:val="20"/>
                <w:szCs w:val="20"/>
              </w:rPr>
            </w:pPr>
            <w:r>
              <w:rPr>
                <w:b w:val="0"/>
                <w:color w:val="auto"/>
                <w:sz w:val="20"/>
                <w:szCs w:val="20"/>
              </w:rPr>
              <w:t>Integrovaný regionální operační program</w:t>
            </w:r>
          </w:p>
        </w:tc>
        <w:tc>
          <w:tcPr>
            <w:tcW w:w="1209" w:type="dxa"/>
            <w:noWrap/>
            <w:vAlign w:val="center"/>
          </w:tcPr>
          <w:p w:rsidR="002A3062" w:rsidRPr="003F3C75" w:rsidRDefault="00F24B9A" w:rsidP="002D50DB">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2</w:t>
            </w:r>
            <w:r w:rsidR="002D50DB">
              <w:rPr>
                <w:color w:val="auto"/>
                <w:sz w:val="20"/>
                <w:szCs w:val="20"/>
              </w:rPr>
              <w:t>2</w:t>
            </w:r>
          </w:p>
        </w:tc>
        <w:tc>
          <w:tcPr>
            <w:tcW w:w="1210" w:type="dxa"/>
            <w:noWrap/>
            <w:vAlign w:val="center"/>
          </w:tcPr>
          <w:p w:rsidR="002A3062" w:rsidRPr="003F3C75" w:rsidRDefault="00A571FE" w:rsidP="00A571FE">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3</w:t>
            </w:r>
            <w:r w:rsidR="00E922B5">
              <w:rPr>
                <w:color w:val="auto"/>
                <w:sz w:val="20"/>
                <w:szCs w:val="20"/>
              </w:rPr>
              <w:t>5 9</w:t>
            </w:r>
            <w:r>
              <w:rPr>
                <w:color w:val="auto"/>
                <w:sz w:val="20"/>
                <w:szCs w:val="20"/>
              </w:rPr>
              <w:t>83</w:t>
            </w:r>
          </w:p>
        </w:tc>
        <w:tc>
          <w:tcPr>
            <w:tcW w:w="1210" w:type="dxa"/>
            <w:noWrap/>
            <w:vAlign w:val="center"/>
          </w:tcPr>
          <w:p w:rsidR="002A3062" w:rsidRPr="003F3C75" w:rsidRDefault="00E922B5" w:rsidP="00A571FE">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14</w:t>
            </w:r>
            <w:r w:rsidR="00A571FE">
              <w:rPr>
                <w:color w:val="auto"/>
                <w:sz w:val="20"/>
                <w:szCs w:val="20"/>
              </w:rPr>
              <w:t>9</w:t>
            </w:r>
            <w:r>
              <w:rPr>
                <w:color w:val="auto"/>
                <w:sz w:val="20"/>
                <w:szCs w:val="20"/>
              </w:rPr>
              <w:t xml:space="preserve"> </w:t>
            </w:r>
            <w:r w:rsidR="00A571FE">
              <w:rPr>
                <w:color w:val="auto"/>
                <w:sz w:val="20"/>
                <w:szCs w:val="20"/>
              </w:rPr>
              <w:t>427</w:t>
            </w:r>
          </w:p>
        </w:tc>
      </w:tr>
      <w:tr w:rsidR="002A3062" w:rsidRPr="003F3C75" w:rsidTr="002A3062">
        <w:trPr>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tcPr>
          <w:p w:rsidR="002A3062" w:rsidRPr="003F3C75" w:rsidRDefault="00E922B5" w:rsidP="00E922B5">
            <w:pPr>
              <w:spacing w:after="0"/>
              <w:jc w:val="left"/>
              <w:rPr>
                <w:b w:val="0"/>
                <w:color w:val="auto"/>
                <w:sz w:val="20"/>
                <w:szCs w:val="20"/>
              </w:rPr>
            </w:pPr>
            <w:r>
              <w:rPr>
                <w:b w:val="0"/>
                <w:color w:val="auto"/>
                <w:sz w:val="20"/>
                <w:szCs w:val="20"/>
              </w:rPr>
              <w:t>Operační program</w:t>
            </w:r>
            <w:r>
              <w:t xml:space="preserve"> </w:t>
            </w:r>
            <w:r>
              <w:rPr>
                <w:b w:val="0"/>
                <w:color w:val="auto"/>
                <w:sz w:val="20"/>
                <w:szCs w:val="20"/>
              </w:rPr>
              <w:t>Věda výzkum vzdělávání</w:t>
            </w:r>
          </w:p>
        </w:tc>
        <w:tc>
          <w:tcPr>
            <w:tcW w:w="1209" w:type="dxa"/>
            <w:noWrap/>
            <w:vAlign w:val="center"/>
          </w:tcPr>
          <w:p w:rsidR="002A3062" w:rsidRPr="003F3C75" w:rsidRDefault="00A571FE" w:rsidP="000C7F04">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2</w:t>
            </w:r>
          </w:p>
        </w:tc>
        <w:tc>
          <w:tcPr>
            <w:tcW w:w="1210" w:type="dxa"/>
            <w:noWrap/>
            <w:vAlign w:val="center"/>
          </w:tcPr>
          <w:p w:rsidR="002A3062" w:rsidRPr="003F3C75" w:rsidRDefault="00A571FE" w:rsidP="000C7F04">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1 274</w:t>
            </w:r>
          </w:p>
        </w:tc>
        <w:tc>
          <w:tcPr>
            <w:tcW w:w="1210" w:type="dxa"/>
            <w:noWrap/>
            <w:vAlign w:val="center"/>
          </w:tcPr>
          <w:p w:rsidR="002A3062" w:rsidRPr="003F3C75" w:rsidRDefault="00A571FE" w:rsidP="00A571FE">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1</w:t>
            </w:r>
            <w:r w:rsidR="00E922B5">
              <w:rPr>
                <w:color w:val="auto"/>
                <w:sz w:val="20"/>
                <w:szCs w:val="20"/>
              </w:rPr>
              <w:t xml:space="preserve">3 </w:t>
            </w:r>
            <w:r>
              <w:rPr>
                <w:color w:val="auto"/>
                <w:sz w:val="20"/>
                <w:szCs w:val="20"/>
              </w:rPr>
              <w:t>664</w:t>
            </w:r>
          </w:p>
        </w:tc>
      </w:tr>
      <w:tr w:rsidR="002A3062" w:rsidRPr="003F3C75" w:rsidTr="002A306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tcPr>
          <w:p w:rsidR="002A3062" w:rsidRPr="003F3C75" w:rsidRDefault="00E922B5" w:rsidP="00E922B5">
            <w:pPr>
              <w:spacing w:after="0"/>
              <w:jc w:val="left"/>
              <w:rPr>
                <w:b w:val="0"/>
                <w:color w:val="auto"/>
                <w:sz w:val="20"/>
                <w:szCs w:val="20"/>
              </w:rPr>
            </w:pPr>
            <w:r>
              <w:rPr>
                <w:b w:val="0"/>
                <w:color w:val="auto"/>
                <w:sz w:val="20"/>
                <w:szCs w:val="20"/>
              </w:rPr>
              <w:t>Operační program Z</w:t>
            </w:r>
            <w:r w:rsidRPr="002A3062">
              <w:rPr>
                <w:b w:val="0"/>
                <w:color w:val="auto"/>
                <w:sz w:val="20"/>
                <w:szCs w:val="20"/>
              </w:rPr>
              <w:t>aměstnanost</w:t>
            </w:r>
          </w:p>
        </w:tc>
        <w:tc>
          <w:tcPr>
            <w:tcW w:w="1209" w:type="dxa"/>
            <w:noWrap/>
            <w:vAlign w:val="center"/>
          </w:tcPr>
          <w:p w:rsidR="002A3062" w:rsidRPr="003F3C75" w:rsidRDefault="003B7B0F" w:rsidP="000C7F04">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70</w:t>
            </w:r>
          </w:p>
        </w:tc>
        <w:tc>
          <w:tcPr>
            <w:tcW w:w="1210" w:type="dxa"/>
            <w:noWrap/>
            <w:vAlign w:val="center"/>
          </w:tcPr>
          <w:p w:rsidR="002A3062" w:rsidRPr="003F3C75" w:rsidRDefault="003B7B0F" w:rsidP="000C7F04">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5 969</w:t>
            </w:r>
          </w:p>
        </w:tc>
        <w:tc>
          <w:tcPr>
            <w:tcW w:w="1210" w:type="dxa"/>
            <w:noWrap/>
            <w:vAlign w:val="center"/>
          </w:tcPr>
          <w:p w:rsidR="002A3062" w:rsidRPr="003F3C75" w:rsidRDefault="003B7B0F" w:rsidP="000C7F04">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116 373</w:t>
            </w:r>
          </w:p>
        </w:tc>
      </w:tr>
      <w:tr w:rsidR="002A3062" w:rsidRPr="003F3C75" w:rsidTr="002A3062">
        <w:trPr>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tcPr>
          <w:p w:rsidR="002A3062" w:rsidRPr="003F3C75" w:rsidRDefault="002A3062" w:rsidP="000C7F04">
            <w:pPr>
              <w:spacing w:after="0"/>
              <w:jc w:val="left"/>
              <w:rPr>
                <w:b w:val="0"/>
                <w:color w:val="auto"/>
                <w:sz w:val="20"/>
                <w:szCs w:val="20"/>
              </w:rPr>
            </w:pPr>
            <w:r>
              <w:rPr>
                <w:b w:val="0"/>
                <w:color w:val="auto"/>
                <w:sz w:val="20"/>
                <w:szCs w:val="20"/>
              </w:rPr>
              <w:t xml:space="preserve">Operační program </w:t>
            </w:r>
            <w:r w:rsidRPr="002A3062">
              <w:rPr>
                <w:b w:val="0"/>
                <w:color w:val="auto"/>
                <w:sz w:val="20"/>
                <w:szCs w:val="20"/>
              </w:rPr>
              <w:t>Životní prostředí</w:t>
            </w:r>
          </w:p>
        </w:tc>
        <w:tc>
          <w:tcPr>
            <w:tcW w:w="1209" w:type="dxa"/>
            <w:noWrap/>
            <w:vAlign w:val="center"/>
          </w:tcPr>
          <w:p w:rsidR="002A3062" w:rsidRPr="003F3C75" w:rsidRDefault="00EF12E6" w:rsidP="00F24B9A">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1 26</w:t>
            </w:r>
            <w:r w:rsidR="00F24B9A">
              <w:rPr>
                <w:color w:val="auto"/>
                <w:sz w:val="20"/>
                <w:szCs w:val="20"/>
              </w:rPr>
              <w:t>8</w:t>
            </w:r>
          </w:p>
        </w:tc>
        <w:tc>
          <w:tcPr>
            <w:tcW w:w="1210" w:type="dxa"/>
            <w:noWrap/>
            <w:vAlign w:val="center"/>
          </w:tcPr>
          <w:p w:rsidR="002A3062" w:rsidRPr="003F3C75" w:rsidRDefault="00EF12E6" w:rsidP="000C7F04">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33 847</w:t>
            </w:r>
          </w:p>
        </w:tc>
        <w:tc>
          <w:tcPr>
            <w:tcW w:w="1210" w:type="dxa"/>
            <w:noWrap/>
            <w:vAlign w:val="center"/>
          </w:tcPr>
          <w:p w:rsidR="002A3062" w:rsidRPr="003F3C75" w:rsidRDefault="00EF12E6" w:rsidP="000C7F04">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EF12E6">
              <w:rPr>
                <w:color w:val="auto"/>
                <w:sz w:val="20"/>
                <w:szCs w:val="20"/>
              </w:rPr>
              <w:t>190</w:t>
            </w:r>
            <w:r>
              <w:rPr>
                <w:color w:val="auto"/>
                <w:sz w:val="20"/>
                <w:szCs w:val="20"/>
              </w:rPr>
              <w:t xml:space="preserve"> </w:t>
            </w:r>
            <w:r w:rsidRPr="00EF12E6">
              <w:rPr>
                <w:color w:val="auto"/>
                <w:sz w:val="20"/>
                <w:szCs w:val="20"/>
              </w:rPr>
              <w:t>348</w:t>
            </w:r>
          </w:p>
        </w:tc>
      </w:tr>
      <w:tr w:rsidR="002A3062" w:rsidRPr="003F3C75" w:rsidTr="002A306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tcPr>
          <w:p w:rsidR="002A3062" w:rsidRPr="003F3C75" w:rsidRDefault="00497B4B" w:rsidP="001742A1">
            <w:pPr>
              <w:spacing w:after="0"/>
              <w:jc w:val="left"/>
              <w:rPr>
                <w:b w:val="0"/>
                <w:color w:val="auto"/>
                <w:sz w:val="20"/>
                <w:szCs w:val="20"/>
              </w:rPr>
            </w:pPr>
            <w:r>
              <w:rPr>
                <w:b w:val="0"/>
                <w:color w:val="auto"/>
                <w:sz w:val="20"/>
                <w:szCs w:val="20"/>
              </w:rPr>
              <w:t xml:space="preserve">Ostatní programy </w:t>
            </w:r>
            <w:r w:rsidR="001742A1">
              <w:rPr>
                <w:b w:val="0"/>
                <w:color w:val="auto"/>
                <w:sz w:val="20"/>
                <w:szCs w:val="20"/>
              </w:rPr>
              <w:t>(</w:t>
            </w:r>
            <w:proofErr w:type="spellStart"/>
            <w:r w:rsidR="001742A1">
              <w:rPr>
                <w:b w:val="0"/>
                <w:color w:val="auto"/>
                <w:sz w:val="20"/>
                <w:szCs w:val="20"/>
              </w:rPr>
              <w:t>mezin</w:t>
            </w:r>
            <w:proofErr w:type="spellEnd"/>
            <w:r w:rsidR="001742A1">
              <w:rPr>
                <w:b w:val="0"/>
                <w:color w:val="auto"/>
                <w:sz w:val="20"/>
                <w:szCs w:val="20"/>
              </w:rPr>
              <w:t>. spolupráce, technická pomoc)</w:t>
            </w:r>
          </w:p>
        </w:tc>
        <w:tc>
          <w:tcPr>
            <w:tcW w:w="1209" w:type="dxa"/>
            <w:noWrap/>
            <w:vAlign w:val="center"/>
          </w:tcPr>
          <w:p w:rsidR="002A3062" w:rsidRPr="003F3C75" w:rsidRDefault="00EF12E6" w:rsidP="000C7F04">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4</w:t>
            </w:r>
          </w:p>
        </w:tc>
        <w:tc>
          <w:tcPr>
            <w:tcW w:w="1210" w:type="dxa"/>
            <w:noWrap/>
            <w:vAlign w:val="center"/>
          </w:tcPr>
          <w:p w:rsidR="002A3062" w:rsidRPr="003F3C75" w:rsidRDefault="00EF12E6" w:rsidP="000C7F04">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1 719</w:t>
            </w:r>
          </w:p>
        </w:tc>
        <w:tc>
          <w:tcPr>
            <w:tcW w:w="1210" w:type="dxa"/>
            <w:noWrap/>
            <w:vAlign w:val="center"/>
          </w:tcPr>
          <w:p w:rsidR="002A3062" w:rsidRPr="003F3C75" w:rsidRDefault="00EF12E6" w:rsidP="00497B4B">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13 142</w:t>
            </w:r>
          </w:p>
        </w:tc>
      </w:tr>
      <w:tr w:rsidR="00497B4B" w:rsidRPr="003F3C75" w:rsidTr="002A3062">
        <w:trPr>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tcPr>
          <w:p w:rsidR="00497B4B" w:rsidRPr="003F3C75" w:rsidRDefault="00497B4B" w:rsidP="001742A1">
            <w:pPr>
              <w:spacing w:after="0"/>
              <w:jc w:val="left"/>
              <w:rPr>
                <w:b w:val="0"/>
                <w:color w:val="auto"/>
                <w:sz w:val="20"/>
                <w:szCs w:val="20"/>
              </w:rPr>
            </w:pPr>
            <w:r>
              <w:rPr>
                <w:b w:val="0"/>
                <w:color w:val="auto"/>
                <w:sz w:val="20"/>
                <w:szCs w:val="20"/>
              </w:rPr>
              <w:t>Státní fond dopravní infrastruktury</w:t>
            </w:r>
          </w:p>
        </w:tc>
        <w:tc>
          <w:tcPr>
            <w:tcW w:w="1209" w:type="dxa"/>
            <w:noWrap/>
            <w:vAlign w:val="center"/>
          </w:tcPr>
          <w:p w:rsidR="00497B4B" w:rsidRPr="003F3C75" w:rsidRDefault="00EF12E6" w:rsidP="001742A1">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16</w:t>
            </w:r>
          </w:p>
        </w:tc>
        <w:tc>
          <w:tcPr>
            <w:tcW w:w="1210" w:type="dxa"/>
            <w:noWrap/>
            <w:vAlign w:val="center"/>
          </w:tcPr>
          <w:p w:rsidR="00497B4B" w:rsidRPr="003F3C75" w:rsidRDefault="00EF12E6" w:rsidP="00AC6A98">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35 516</w:t>
            </w:r>
          </w:p>
        </w:tc>
        <w:tc>
          <w:tcPr>
            <w:tcW w:w="1210" w:type="dxa"/>
            <w:noWrap/>
            <w:vAlign w:val="center"/>
          </w:tcPr>
          <w:p w:rsidR="00497B4B" w:rsidRPr="003F3C75" w:rsidRDefault="00EF12E6" w:rsidP="00AC6A98">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250 191</w:t>
            </w:r>
          </w:p>
        </w:tc>
      </w:tr>
      <w:tr w:rsidR="00497B4B" w:rsidRPr="003F3C75" w:rsidTr="002A306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tcPr>
          <w:p w:rsidR="00497B4B" w:rsidRPr="003F3C75" w:rsidRDefault="00497B4B" w:rsidP="000C7F04">
            <w:pPr>
              <w:spacing w:after="0"/>
              <w:jc w:val="left"/>
              <w:rPr>
                <w:b w:val="0"/>
                <w:color w:val="auto"/>
                <w:sz w:val="20"/>
                <w:szCs w:val="20"/>
              </w:rPr>
            </w:pPr>
            <w:r>
              <w:rPr>
                <w:b w:val="0"/>
                <w:color w:val="auto"/>
                <w:sz w:val="20"/>
                <w:szCs w:val="20"/>
              </w:rPr>
              <w:t>Národní dotace</w:t>
            </w:r>
          </w:p>
        </w:tc>
        <w:tc>
          <w:tcPr>
            <w:tcW w:w="1209" w:type="dxa"/>
            <w:noWrap/>
            <w:vAlign w:val="center"/>
          </w:tcPr>
          <w:p w:rsidR="00497B4B" w:rsidRPr="003F3C75" w:rsidRDefault="00EF12E6" w:rsidP="00C40D46">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43</w:t>
            </w:r>
          </w:p>
        </w:tc>
        <w:tc>
          <w:tcPr>
            <w:tcW w:w="1210" w:type="dxa"/>
            <w:noWrap/>
            <w:vAlign w:val="center"/>
          </w:tcPr>
          <w:p w:rsidR="00497B4B" w:rsidRPr="003F3C75" w:rsidRDefault="00EF12E6" w:rsidP="00937FAF">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1 253</w:t>
            </w:r>
          </w:p>
        </w:tc>
        <w:tc>
          <w:tcPr>
            <w:tcW w:w="1210" w:type="dxa"/>
            <w:noWrap/>
            <w:vAlign w:val="center"/>
          </w:tcPr>
          <w:p w:rsidR="00497B4B" w:rsidRPr="003F3C75" w:rsidRDefault="00EF12E6" w:rsidP="00937FAF">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22 018</w:t>
            </w:r>
          </w:p>
        </w:tc>
      </w:tr>
      <w:tr w:rsidR="00497B4B" w:rsidRPr="003F3C75" w:rsidTr="000C7F04">
        <w:trPr>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497B4B" w:rsidRPr="003F3C75" w:rsidRDefault="00497B4B" w:rsidP="000C7F04">
            <w:pPr>
              <w:spacing w:after="0"/>
              <w:jc w:val="left"/>
              <w:rPr>
                <w:color w:val="auto"/>
                <w:sz w:val="20"/>
                <w:szCs w:val="20"/>
              </w:rPr>
            </w:pPr>
            <w:r w:rsidRPr="003F3C75">
              <w:rPr>
                <w:color w:val="auto"/>
                <w:sz w:val="20"/>
                <w:szCs w:val="20"/>
              </w:rPr>
              <w:t>Celkový součet</w:t>
            </w:r>
          </w:p>
        </w:tc>
        <w:tc>
          <w:tcPr>
            <w:tcW w:w="1209" w:type="dxa"/>
            <w:noWrap/>
            <w:vAlign w:val="center"/>
          </w:tcPr>
          <w:p w:rsidR="00497B4B" w:rsidRPr="003F3C75" w:rsidRDefault="00305EFF" w:rsidP="00572998">
            <w:pPr>
              <w:spacing w:after="0"/>
              <w:jc w:val="right"/>
              <w:cnfStyle w:val="000000000000" w:firstRow="0" w:lastRow="0" w:firstColumn="0" w:lastColumn="0" w:oddVBand="0" w:evenVBand="0" w:oddHBand="0" w:evenHBand="0" w:firstRowFirstColumn="0" w:firstRowLastColumn="0" w:lastRowFirstColumn="0" w:lastRowLastColumn="0"/>
              <w:rPr>
                <w:b/>
                <w:bCs/>
                <w:color w:val="auto"/>
                <w:sz w:val="20"/>
                <w:szCs w:val="20"/>
              </w:rPr>
            </w:pPr>
            <w:r>
              <w:rPr>
                <w:b/>
                <w:bCs/>
                <w:color w:val="auto"/>
                <w:sz w:val="20"/>
                <w:szCs w:val="20"/>
              </w:rPr>
              <w:t>1 42</w:t>
            </w:r>
            <w:r w:rsidR="00572998">
              <w:rPr>
                <w:b/>
                <w:bCs/>
                <w:color w:val="auto"/>
                <w:sz w:val="20"/>
                <w:szCs w:val="20"/>
              </w:rPr>
              <w:t>5</w:t>
            </w:r>
          </w:p>
        </w:tc>
        <w:tc>
          <w:tcPr>
            <w:tcW w:w="1210" w:type="dxa"/>
            <w:noWrap/>
            <w:vAlign w:val="center"/>
          </w:tcPr>
          <w:p w:rsidR="00497B4B" w:rsidRPr="003F3C75" w:rsidRDefault="00305EFF" w:rsidP="00D2635F">
            <w:pPr>
              <w:spacing w:after="0"/>
              <w:jc w:val="right"/>
              <w:cnfStyle w:val="000000000000" w:firstRow="0" w:lastRow="0" w:firstColumn="0" w:lastColumn="0" w:oddVBand="0" w:evenVBand="0" w:oddHBand="0" w:evenHBand="0" w:firstRowFirstColumn="0" w:firstRowLastColumn="0" w:lastRowFirstColumn="0" w:lastRowLastColumn="0"/>
              <w:rPr>
                <w:b/>
                <w:bCs/>
                <w:color w:val="auto"/>
                <w:sz w:val="20"/>
                <w:szCs w:val="20"/>
              </w:rPr>
            </w:pPr>
            <w:r>
              <w:rPr>
                <w:b/>
                <w:bCs/>
                <w:color w:val="auto"/>
                <w:sz w:val="20"/>
                <w:szCs w:val="20"/>
              </w:rPr>
              <w:t>115 561</w:t>
            </w:r>
          </w:p>
        </w:tc>
        <w:tc>
          <w:tcPr>
            <w:tcW w:w="1210" w:type="dxa"/>
            <w:noWrap/>
            <w:vAlign w:val="center"/>
          </w:tcPr>
          <w:p w:rsidR="00497B4B" w:rsidRPr="003F3C75" w:rsidRDefault="00305EFF" w:rsidP="00D2635F">
            <w:pPr>
              <w:spacing w:after="0"/>
              <w:jc w:val="right"/>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305EFF">
              <w:rPr>
                <w:b/>
                <w:bCs/>
                <w:color w:val="auto"/>
                <w:sz w:val="20"/>
                <w:szCs w:val="20"/>
              </w:rPr>
              <w:t>755</w:t>
            </w:r>
            <w:r>
              <w:rPr>
                <w:b/>
                <w:bCs/>
                <w:color w:val="auto"/>
                <w:sz w:val="20"/>
                <w:szCs w:val="20"/>
              </w:rPr>
              <w:t xml:space="preserve"> </w:t>
            </w:r>
            <w:r w:rsidRPr="00305EFF">
              <w:rPr>
                <w:b/>
                <w:bCs/>
                <w:color w:val="auto"/>
                <w:sz w:val="20"/>
                <w:szCs w:val="20"/>
              </w:rPr>
              <w:t>163</w:t>
            </w:r>
          </w:p>
        </w:tc>
      </w:tr>
    </w:tbl>
    <w:p w:rsidR="004A53C6" w:rsidRDefault="007C0D27" w:rsidP="007151F5">
      <w:pPr>
        <w:spacing w:before="120"/>
      </w:pPr>
      <w:r>
        <w:t xml:space="preserve">Z pohledu podle priorit </w:t>
      </w:r>
      <w:r w:rsidR="00041757">
        <w:t>se ukazuje, že čerpání zaostává zejména v oblasti vzdělávání. Hlavní příčinou je nový systém řízení investic přes Krajský akční plán vzdělávání</w:t>
      </w:r>
      <w:r w:rsidR="004A53C6">
        <w:t xml:space="preserve"> a přes ITI Olomoucké aglomerace. Poněkud se snížily i dotace v oblasti zdravotnictví, a to především z národních zdrojů. </w:t>
      </w:r>
    </w:p>
    <w:p w:rsidR="004A53C6" w:rsidRDefault="004A53C6" w:rsidP="007151F5">
      <w:pPr>
        <w:spacing w:before="120"/>
      </w:pPr>
      <w:r>
        <w:t>Také v oblasti sociální není situace tak příznivá, jak by se mohlo na první pohled zdát. Ze 120 mil. Kč tvoří 114 mil. Kč dotaci na zajištění poskytování sociálních služeb, dalo by se říci zajištění fungování sociálních služeb. Rozvoj krajské infrastruktury je realizován především z vlastního rozpočtu.</w:t>
      </w:r>
    </w:p>
    <w:tbl>
      <w:tblPr>
        <w:tblStyle w:val="Svtlstnovnzvraznn1"/>
        <w:tblW w:w="0" w:type="auto"/>
        <w:tblLayout w:type="fixed"/>
        <w:tblLook w:val="04A0" w:firstRow="1" w:lastRow="0" w:firstColumn="1" w:lastColumn="0" w:noHBand="0" w:noVBand="1"/>
      </w:tblPr>
      <w:tblGrid>
        <w:gridCol w:w="5659"/>
        <w:gridCol w:w="1209"/>
        <w:gridCol w:w="1210"/>
        <w:gridCol w:w="1210"/>
      </w:tblGrid>
      <w:tr w:rsidR="0028499A" w:rsidRPr="003F3C75" w:rsidTr="000C7F04">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28499A" w:rsidRDefault="0028499A" w:rsidP="0028499A">
            <w:pPr>
              <w:spacing w:after="0"/>
              <w:jc w:val="center"/>
              <w:rPr>
                <w:bCs w:val="0"/>
                <w:color w:val="auto"/>
                <w:sz w:val="20"/>
                <w:szCs w:val="20"/>
              </w:rPr>
            </w:pPr>
            <w:r w:rsidRPr="003F3C75">
              <w:rPr>
                <w:bCs w:val="0"/>
                <w:color w:val="auto"/>
                <w:sz w:val="20"/>
                <w:szCs w:val="20"/>
              </w:rPr>
              <w:t xml:space="preserve">Plnění priorit </w:t>
            </w:r>
            <w:r w:rsidR="00E22661">
              <w:rPr>
                <w:bCs w:val="0"/>
                <w:color w:val="auto"/>
                <w:sz w:val="20"/>
                <w:szCs w:val="20"/>
              </w:rPr>
              <w:t>SROK</w:t>
            </w:r>
            <w:r w:rsidRPr="003F3C75">
              <w:rPr>
                <w:bCs w:val="0"/>
                <w:color w:val="auto"/>
                <w:sz w:val="20"/>
                <w:szCs w:val="20"/>
              </w:rPr>
              <w:t xml:space="preserve"> v roce </w:t>
            </w:r>
            <w:r w:rsidR="00041757">
              <w:rPr>
                <w:bCs w:val="0"/>
                <w:color w:val="auto"/>
                <w:sz w:val="20"/>
                <w:szCs w:val="20"/>
              </w:rPr>
              <w:t>2016</w:t>
            </w:r>
            <w:r>
              <w:rPr>
                <w:bCs w:val="0"/>
                <w:color w:val="auto"/>
                <w:sz w:val="20"/>
                <w:szCs w:val="20"/>
              </w:rPr>
              <w:t>:</w:t>
            </w:r>
          </w:p>
          <w:p w:rsidR="0028499A" w:rsidRPr="003F3C75" w:rsidRDefault="0028499A" w:rsidP="0028499A">
            <w:pPr>
              <w:spacing w:after="0"/>
              <w:jc w:val="center"/>
              <w:rPr>
                <w:color w:val="auto"/>
                <w:sz w:val="20"/>
                <w:szCs w:val="20"/>
              </w:rPr>
            </w:pPr>
            <w:r>
              <w:rPr>
                <w:bCs w:val="0"/>
                <w:color w:val="auto"/>
                <w:sz w:val="20"/>
                <w:szCs w:val="20"/>
              </w:rPr>
              <w:t>dotace využité Olomouckým krajem</w:t>
            </w:r>
          </w:p>
        </w:tc>
        <w:tc>
          <w:tcPr>
            <w:tcW w:w="1209" w:type="dxa"/>
            <w:noWrap/>
            <w:vAlign w:val="center"/>
            <w:hideMark/>
          </w:tcPr>
          <w:p w:rsidR="0028499A" w:rsidRPr="003F3C75" w:rsidRDefault="0028499A" w:rsidP="009D6C58">
            <w:pPr>
              <w:spacing w:after="0"/>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3F3C75">
              <w:rPr>
                <w:bCs w:val="0"/>
                <w:color w:val="auto"/>
                <w:sz w:val="20"/>
                <w:szCs w:val="20"/>
              </w:rPr>
              <w:t xml:space="preserve">Počet </w:t>
            </w:r>
            <w:r w:rsidR="009D6C58" w:rsidRPr="003F3C75">
              <w:rPr>
                <w:bCs w:val="0"/>
                <w:color w:val="auto"/>
                <w:sz w:val="20"/>
                <w:szCs w:val="20"/>
              </w:rPr>
              <w:t>podp</w:t>
            </w:r>
            <w:r w:rsidR="009D6C58">
              <w:rPr>
                <w:bCs w:val="0"/>
                <w:color w:val="auto"/>
                <w:sz w:val="20"/>
                <w:szCs w:val="20"/>
              </w:rPr>
              <w:t>orovaných</w:t>
            </w:r>
            <w:r w:rsidR="009D6C58" w:rsidRPr="003F3C75">
              <w:rPr>
                <w:bCs w:val="0"/>
                <w:color w:val="auto"/>
                <w:sz w:val="20"/>
                <w:szCs w:val="20"/>
              </w:rPr>
              <w:t xml:space="preserve"> </w:t>
            </w:r>
            <w:r w:rsidRPr="003F3C75">
              <w:rPr>
                <w:bCs w:val="0"/>
                <w:color w:val="auto"/>
                <w:sz w:val="20"/>
                <w:szCs w:val="20"/>
              </w:rPr>
              <w:t>činností</w:t>
            </w:r>
          </w:p>
        </w:tc>
        <w:tc>
          <w:tcPr>
            <w:tcW w:w="1210" w:type="dxa"/>
            <w:noWrap/>
            <w:vAlign w:val="center"/>
            <w:hideMark/>
          </w:tcPr>
          <w:p w:rsidR="0028499A" w:rsidRPr="003F3C75" w:rsidRDefault="00597687" w:rsidP="0028499A">
            <w:pPr>
              <w:spacing w:after="0"/>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Pr>
                <w:color w:val="auto"/>
                <w:sz w:val="20"/>
                <w:szCs w:val="20"/>
              </w:rPr>
              <w:t>Výdaje</w:t>
            </w:r>
            <w:r w:rsidR="0028499A" w:rsidRPr="003F3C75">
              <w:rPr>
                <w:color w:val="auto"/>
                <w:sz w:val="20"/>
                <w:szCs w:val="20"/>
              </w:rPr>
              <w:t xml:space="preserve"> OK </w:t>
            </w:r>
            <w:r w:rsidR="0028499A" w:rsidRPr="003F3C75">
              <w:rPr>
                <w:b w:val="0"/>
                <w:bCs w:val="0"/>
                <w:color w:val="auto"/>
                <w:sz w:val="20"/>
                <w:szCs w:val="20"/>
              </w:rPr>
              <w:br/>
            </w:r>
            <w:r w:rsidR="0028499A" w:rsidRPr="003F3C75">
              <w:rPr>
                <w:color w:val="auto"/>
                <w:sz w:val="20"/>
                <w:szCs w:val="20"/>
              </w:rPr>
              <w:t>(v tis. Kč)</w:t>
            </w:r>
          </w:p>
        </w:tc>
        <w:tc>
          <w:tcPr>
            <w:tcW w:w="1210" w:type="dxa"/>
            <w:noWrap/>
            <w:vAlign w:val="center"/>
            <w:hideMark/>
          </w:tcPr>
          <w:p w:rsidR="0028499A" w:rsidRPr="003F3C75" w:rsidRDefault="0028499A" w:rsidP="0028499A">
            <w:pPr>
              <w:spacing w:after="0"/>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3F3C75">
              <w:rPr>
                <w:color w:val="auto"/>
                <w:sz w:val="20"/>
                <w:szCs w:val="20"/>
              </w:rPr>
              <w:t xml:space="preserve">Celkové </w:t>
            </w:r>
            <w:r w:rsidR="00597687">
              <w:rPr>
                <w:color w:val="auto"/>
                <w:sz w:val="20"/>
                <w:szCs w:val="20"/>
              </w:rPr>
              <w:t>výdaje</w:t>
            </w:r>
            <w:r w:rsidRPr="003F3C75">
              <w:rPr>
                <w:color w:val="auto"/>
                <w:sz w:val="20"/>
                <w:szCs w:val="20"/>
              </w:rPr>
              <w:t xml:space="preserve"> </w:t>
            </w:r>
            <w:r w:rsidRPr="003F3C75">
              <w:rPr>
                <w:b w:val="0"/>
                <w:bCs w:val="0"/>
                <w:color w:val="auto"/>
                <w:sz w:val="20"/>
                <w:szCs w:val="20"/>
              </w:rPr>
              <w:br/>
            </w:r>
            <w:r w:rsidRPr="003F3C75">
              <w:rPr>
                <w:color w:val="auto"/>
                <w:sz w:val="20"/>
                <w:szCs w:val="20"/>
              </w:rPr>
              <w:t>(v tis. Kč)</w:t>
            </w:r>
          </w:p>
        </w:tc>
      </w:tr>
      <w:tr w:rsidR="007151F5" w:rsidRPr="003F3C75" w:rsidTr="001742A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7151F5" w:rsidRPr="003F3C75" w:rsidRDefault="007151F5" w:rsidP="0028499A">
            <w:pPr>
              <w:spacing w:after="0"/>
              <w:jc w:val="left"/>
              <w:rPr>
                <w:b w:val="0"/>
                <w:color w:val="auto"/>
                <w:sz w:val="20"/>
                <w:szCs w:val="20"/>
              </w:rPr>
            </w:pPr>
            <w:proofErr w:type="gramStart"/>
            <w:r w:rsidRPr="003F3C75">
              <w:rPr>
                <w:b w:val="0"/>
                <w:color w:val="auto"/>
                <w:sz w:val="20"/>
                <w:szCs w:val="20"/>
              </w:rPr>
              <w:t xml:space="preserve">A.1 </w:t>
            </w:r>
            <w:proofErr w:type="spellStart"/>
            <w:r w:rsidRPr="003F3C75">
              <w:rPr>
                <w:b w:val="0"/>
                <w:color w:val="auto"/>
                <w:sz w:val="20"/>
                <w:szCs w:val="20"/>
              </w:rPr>
              <w:t>Opt</w:t>
            </w:r>
            <w:proofErr w:type="spellEnd"/>
            <w:proofErr w:type="gramEnd"/>
            <w:r w:rsidRPr="003F3C75">
              <w:rPr>
                <w:b w:val="0"/>
                <w:color w:val="auto"/>
                <w:sz w:val="20"/>
                <w:szCs w:val="20"/>
              </w:rPr>
              <w:t>. systému škol a zvyšování kvality vzdělávání</w:t>
            </w:r>
          </w:p>
        </w:tc>
        <w:tc>
          <w:tcPr>
            <w:tcW w:w="1209" w:type="dxa"/>
            <w:noWrap/>
            <w:vAlign w:val="bottom"/>
          </w:tcPr>
          <w:p w:rsidR="007151F5" w:rsidRPr="007151F5" w:rsidRDefault="00993747" w:rsidP="00597B97">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33</w:t>
            </w:r>
          </w:p>
        </w:tc>
        <w:tc>
          <w:tcPr>
            <w:tcW w:w="1210" w:type="dxa"/>
            <w:noWrap/>
            <w:vAlign w:val="bottom"/>
          </w:tcPr>
          <w:p w:rsidR="007151F5" w:rsidRPr="007151F5" w:rsidRDefault="002D7DA8" w:rsidP="00937FAF">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3 39</w:t>
            </w:r>
            <w:r w:rsidR="007151F5" w:rsidRPr="007151F5">
              <w:rPr>
                <w:color w:val="auto"/>
                <w:sz w:val="20"/>
                <w:szCs w:val="20"/>
              </w:rPr>
              <w:t>9</w:t>
            </w:r>
          </w:p>
        </w:tc>
        <w:tc>
          <w:tcPr>
            <w:tcW w:w="1210" w:type="dxa"/>
            <w:noWrap/>
            <w:vAlign w:val="bottom"/>
          </w:tcPr>
          <w:p w:rsidR="007151F5" w:rsidRPr="007151F5" w:rsidRDefault="002D7DA8" w:rsidP="002D7DA8">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1</w:t>
            </w:r>
            <w:r w:rsidR="007151F5" w:rsidRPr="007151F5">
              <w:rPr>
                <w:color w:val="auto"/>
                <w:sz w:val="20"/>
                <w:szCs w:val="20"/>
              </w:rPr>
              <w:t>1</w:t>
            </w:r>
            <w:r w:rsidR="007151F5">
              <w:rPr>
                <w:color w:val="auto"/>
                <w:sz w:val="20"/>
                <w:szCs w:val="20"/>
              </w:rPr>
              <w:t xml:space="preserve"> </w:t>
            </w:r>
            <w:r>
              <w:rPr>
                <w:color w:val="auto"/>
                <w:sz w:val="20"/>
                <w:szCs w:val="20"/>
              </w:rPr>
              <w:t>193</w:t>
            </w:r>
          </w:p>
        </w:tc>
      </w:tr>
      <w:tr w:rsidR="007151F5" w:rsidRPr="003F3C75" w:rsidTr="001742A1">
        <w:trPr>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7151F5" w:rsidRPr="003F3C75" w:rsidRDefault="007151F5" w:rsidP="0028499A">
            <w:pPr>
              <w:spacing w:after="0"/>
              <w:jc w:val="left"/>
              <w:rPr>
                <w:b w:val="0"/>
                <w:color w:val="auto"/>
                <w:sz w:val="20"/>
                <w:szCs w:val="20"/>
              </w:rPr>
            </w:pPr>
            <w:proofErr w:type="gramStart"/>
            <w:r w:rsidRPr="003F3C75">
              <w:rPr>
                <w:b w:val="0"/>
                <w:color w:val="auto"/>
                <w:sz w:val="20"/>
                <w:szCs w:val="20"/>
              </w:rPr>
              <w:t>A.2 Podpora</w:t>
            </w:r>
            <w:proofErr w:type="gramEnd"/>
            <w:r w:rsidRPr="003F3C75">
              <w:rPr>
                <w:b w:val="0"/>
                <w:color w:val="auto"/>
                <w:sz w:val="20"/>
                <w:szCs w:val="20"/>
              </w:rPr>
              <w:t xml:space="preserve"> zaměstnanosti</w:t>
            </w:r>
          </w:p>
        </w:tc>
        <w:tc>
          <w:tcPr>
            <w:tcW w:w="1209" w:type="dxa"/>
            <w:noWrap/>
            <w:vAlign w:val="bottom"/>
          </w:tcPr>
          <w:p w:rsidR="007151F5" w:rsidRPr="007151F5" w:rsidRDefault="00041757" w:rsidP="007151F5">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0</w:t>
            </w:r>
          </w:p>
        </w:tc>
        <w:tc>
          <w:tcPr>
            <w:tcW w:w="1210" w:type="dxa"/>
            <w:noWrap/>
            <w:vAlign w:val="bottom"/>
          </w:tcPr>
          <w:p w:rsidR="007151F5" w:rsidRPr="007151F5" w:rsidRDefault="00041757" w:rsidP="007151F5">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0</w:t>
            </w:r>
          </w:p>
        </w:tc>
        <w:tc>
          <w:tcPr>
            <w:tcW w:w="1210" w:type="dxa"/>
            <w:noWrap/>
            <w:vAlign w:val="bottom"/>
          </w:tcPr>
          <w:p w:rsidR="007151F5" w:rsidRPr="007151F5" w:rsidRDefault="00041757" w:rsidP="007151F5">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0</w:t>
            </w:r>
          </w:p>
        </w:tc>
      </w:tr>
      <w:tr w:rsidR="007151F5" w:rsidRPr="003F3C75" w:rsidTr="001742A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7151F5" w:rsidRPr="003F3C75" w:rsidRDefault="007151F5" w:rsidP="0028499A">
            <w:pPr>
              <w:spacing w:after="0"/>
              <w:jc w:val="left"/>
              <w:rPr>
                <w:b w:val="0"/>
                <w:color w:val="auto"/>
                <w:sz w:val="20"/>
                <w:szCs w:val="20"/>
              </w:rPr>
            </w:pPr>
            <w:proofErr w:type="gramStart"/>
            <w:r w:rsidRPr="003F3C75">
              <w:rPr>
                <w:b w:val="0"/>
                <w:color w:val="auto"/>
                <w:sz w:val="20"/>
                <w:szCs w:val="20"/>
              </w:rPr>
              <w:t>A.3 Podpora</w:t>
            </w:r>
            <w:proofErr w:type="gramEnd"/>
            <w:r w:rsidRPr="003F3C75">
              <w:rPr>
                <w:b w:val="0"/>
                <w:color w:val="auto"/>
                <w:sz w:val="20"/>
                <w:szCs w:val="20"/>
              </w:rPr>
              <w:t xml:space="preserve"> rovných příležitostí a prorodinných aktivit</w:t>
            </w:r>
          </w:p>
        </w:tc>
        <w:tc>
          <w:tcPr>
            <w:tcW w:w="1209" w:type="dxa"/>
            <w:noWrap/>
            <w:vAlign w:val="bottom"/>
          </w:tcPr>
          <w:p w:rsidR="007151F5" w:rsidRPr="007151F5" w:rsidRDefault="002D7DA8" w:rsidP="007151F5">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w:t>
            </w:r>
          </w:p>
        </w:tc>
        <w:tc>
          <w:tcPr>
            <w:tcW w:w="1210" w:type="dxa"/>
            <w:noWrap/>
            <w:vAlign w:val="bottom"/>
          </w:tcPr>
          <w:p w:rsidR="007151F5" w:rsidRPr="007151F5" w:rsidRDefault="002D7DA8" w:rsidP="007151F5">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w:t>
            </w:r>
          </w:p>
        </w:tc>
        <w:tc>
          <w:tcPr>
            <w:tcW w:w="1210" w:type="dxa"/>
            <w:noWrap/>
            <w:vAlign w:val="bottom"/>
          </w:tcPr>
          <w:p w:rsidR="007151F5" w:rsidRPr="007151F5" w:rsidRDefault="002D7DA8" w:rsidP="007151F5">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w:t>
            </w:r>
          </w:p>
        </w:tc>
      </w:tr>
      <w:tr w:rsidR="007151F5" w:rsidRPr="003F3C75" w:rsidTr="001742A1">
        <w:trPr>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7151F5" w:rsidRPr="003F3C75" w:rsidRDefault="007151F5" w:rsidP="0028499A">
            <w:pPr>
              <w:spacing w:after="0"/>
              <w:jc w:val="left"/>
              <w:rPr>
                <w:b w:val="0"/>
                <w:color w:val="auto"/>
                <w:sz w:val="20"/>
                <w:szCs w:val="20"/>
              </w:rPr>
            </w:pPr>
            <w:proofErr w:type="gramStart"/>
            <w:r w:rsidRPr="003F3C75">
              <w:rPr>
                <w:b w:val="0"/>
                <w:color w:val="auto"/>
                <w:sz w:val="20"/>
                <w:szCs w:val="20"/>
              </w:rPr>
              <w:t xml:space="preserve">A.4 </w:t>
            </w:r>
            <w:proofErr w:type="spellStart"/>
            <w:r w:rsidRPr="003F3C75">
              <w:rPr>
                <w:b w:val="0"/>
                <w:color w:val="auto"/>
                <w:sz w:val="20"/>
                <w:szCs w:val="20"/>
              </w:rPr>
              <w:t>Zlep</w:t>
            </w:r>
            <w:proofErr w:type="spellEnd"/>
            <w:proofErr w:type="gramEnd"/>
            <w:r w:rsidRPr="003F3C75">
              <w:rPr>
                <w:b w:val="0"/>
                <w:color w:val="auto"/>
                <w:sz w:val="20"/>
                <w:szCs w:val="20"/>
              </w:rPr>
              <w:t>. podmínek pro kult., sport</w:t>
            </w:r>
            <w:r>
              <w:rPr>
                <w:b w:val="0"/>
                <w:color w:val="auto"/>
                <w:sz w:val="20"/>
                <w:szCs w:val="20"/>
              </w:rPr>
              <w:t>.</w:t>
            </w:r>
            <w:r w:rsidRPr="003F3C75">
              <w:rPr>
                <w:b w:val="0"/>
                <w:color w:val="auto"/>
                <w:sz w:val="20"/>
                <w:szCs w:val="20"/>
              </w:rPr>
              <w:t xml:space="preserve"> a volnočasové aktivity</w:t>
            </w:r>
          </w:p>
        </w:tc>
        <w:tc>
          <w:tcPr>
            <w:tcW w:w="1209" w:type="dxa"/>
            <w:noWrap/>
            <w:vAlign w:val="bottom"/>
          </w:tcPr>
          <w:p w:rsidR="007151F5" w:rsidRPr="007151F5" w:rsidRDefault="002D7DA8" w:rsidP="007151F5">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0</w:t>
            </w:r>
          </w:p>
        </w:tc>
        <w:tc>
          <w:tcPr>
            <w:tcW w:w="1210" w:type="dxa"/>
            <w:noWrap/>
            <w:vAlign w:val="bottom"/>
          </w:tcPr>
          <w:p w:rsidR="007151F5" w:rsidRPr="007151F5" w:rsidRDefault="002D7DA8" w:rsidP="007151F5">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0</w:t>
            </w:r>
          </w:p>
        </w:tc>
        <w:tc>
          <w:tcPr>
            <w:tcW w:w="1210" w:type="dxa"/>
            <w:noWrap/>
            <w:vAlign w:val="bottom"/>
          </w:tcPr>
          <w:p w:rsidR="007151F5" w:rsidRPr="007151F5" w:rsidRDefault="002D7DA8" w:rsidP="007151F5">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0</w:t>
            </w:r>
          </w:p>
        </w:tc>
      </w:tr>
      <w:tr w:rsidR="007151F5" w:rsidRPr="003F3C75" w:rsidTr="001742A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7151F5" w:rsidRPr="003F3C75" w:rsidRDefault="007151F5" w:rsidP="0028499A">
            <w:pPr>
              <w:spacing w:after="0"/>
              <w:jc w:val="left"/>
              <w:rPr>
                <w:b w:val="0"/>
                <w:color w:val="auto"/>
                <w:sz w:val="20"/>
                <w:szCs w:val="20"/>
              </w:rPr>
            </w:pPr>
            <w:proofErr w:type="gramStart"/>
            <w:r w:rsidRPr="003F3C75">
              <w:rPr>
                <w:b w:val="0"/>
                <w:color w:val="auto"/>
                <w:sz w:val="20"/>
                <w:szCs w:val="20"/>
              </w:rPr>
              <w:t>A.5 Péče</w:t>
            </w:r>
            <w:proofErr w:type="gramEnd"/>
            <w:r w:rsidRPr="003F3C75">
              <w:rPr>
                <w:b w:val="0"/>
                <w:color w:val="auto"/>
                <w:sz w:val="20"/>
                <w:szCs w:val="20"/>
              </w:rPr>
              <w:t xml:space="preserve"> o kulturní dědictví</w:t>
            </w:r>
          </w:p>
        </w:tc>
        <w:tc>
          <w:tcPr>
            <w:tcW w:w="1209" w:type="dxa"/>
            <w:noWrap/>
            <w:vAlign w:val="bottom"/>
          </w:tcPr>
          <w:p w:rsidR="007151F5" w:rsidRPr="007151F5" w:rsidRDefault="00F1737E" w:rsidP="007151F5">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3</w:t>
            </w:r>
          </w:p>
        </w:tc>
        <w:tc>
          <w:tcPr>
            <w:tcW w:w="1210" w:type="dxa"/>
            <w:noWrap/>
            <w:vAlign w:val="bottom"/>
          </w:tcPr>
          <w:p w:rsidR="007151F5" w:rsidRPr="007151F5" w:rsidRDefault="00F1737E" w:rsidP="007151F5">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3 616</w:t>
            </w:r>
          </w:p>
        </w:tc>
        <w:tc>
          <w:tcPr>
            <w:tcW w:w="1210" w:type="dxa"/>
            <w:noWrap/>
            <w:vAlign w:val="bottom"/>
          </w:tcPr>
          <w:p w:rsidR="007151F5" w:rsidRPr="007151F5" w:rsidRDefault="00F1737E" w:rsidP="007151F5">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26 128</w:t>
            </w:r>
          </w:p>
        </w:tc>
      </w:tr>
      <w:tr w:rsidR="007151F5" w:rsidRPr="003F3C75" w:rsidTr="001742A1">
        <w:trPr>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7151F5" w:rsidRPr="003F3C75" w:rsidRDefault="007151F5" w:rsidP="0028499A">
            <w:pPr>
              <w:spacing w:after="0"/>
              <w:jc w:val="left"/>
              <w:rPr>
                <w:b w:val="0"/>
                <w:color w:val="auto"/>
                <w:sz w:val="20"/>
                <w:szCs w:val="20"/>
              </w:rPr>
            </w:pPr>
            <w:proofErr w:type="gramStart"/>
            <w:r w:rsidRPr="003F3C75">
              <w:rPr>
                <w:b w:val="0"/>
                <w:color w:val="auto"/>
                <w:sz w:val="20"/>
                <w:szCs w:val="20"/>
              </w:rPr>
              <w:t>B.1 Optimalizace</w:t>
            </w:r>
            <w:proofErr w:type="gramEnd"/>
            <w:r w:rsidRPr="003F3C75">
              <w:rPr>
                <w:b w:val="0"/>
                <w:color w:val="auto"/>
                <w:sz w:val="20"/>
                <w:szCs w:val="20"/>
              </w:rPr>
              <w:t xml:space="preserve"> systému zajišťování zdravotní péče</w:t>
            </w:r>
          </w:p>
        </w:tc>
        <w:tc>
          <w:tcPr>
            <w:tcW w:w="1209" w:type="dxa"/>
            <w:noWrap/>
            <w:vAlign w:val="bottom"/>
          </w:tcPr>
          <w:p w:rsidR="007151F5" w:rsidRPr="007151F5" w:rsidRDefault="00F1737E" w:rsidP="007151F5">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11</w:t>
            </w:r>
          </w:p>
        </w:tc>
        <w:tc>
          <w:tcPr>
            <w:tcW w:w="1210" w:type="dxa"/>
            <w:noWrap/>
            <w:vAlign w:val="bottom"/>
          </w:tcPr>
          <w:p w:rsidR="007151F5" w:rsidRPr="007151F5" w:rsidRDefault="00F1737E" w:rsidP="00D2635F">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0</w:t>
            </w:r>
          </w:p>
        </w:tc>
        <w:tc>
          <w:tcPr>
            <w:tcW w:w="1210" w:type="dxa"/>
            <w:noWrap/>
            <w:vAlign w:val="bottom"/>
          </w:tcPr>
          <w:p w:rsidR="007151F5" w:rsidRPr="007151F5" w:rsidRDefault="00F1737E" w:rsidP="00D2635F">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15 975</w:t>
            </w:r>
          </w:p>
        </w:tc>
      </w:tr>
      <w:tr w:rsidR="007151F5" w:rsidRPr="003F3C75" w:rsidTr="001742A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7151F5" w:rsidRPr="003F3C75" w:rsidRDefault="007151F5" w:rsidP="0028499A">
            <w:pPr>
              <w:spacing w:after="0"/>
              <w:jc w:val="left"/>
              <w:rPr>
                <w:b w:val="0"/>
                <w:color w:val="auto"/>
                <w:sz w:val="20"/>
                <w:szCs w:val="20"/>
              </w:rPr>
            </w:pPr>
            <w:proofErr w:type="gramStart"/>
            <w:r w:rsidRPr="003F3C75">
              <w:rPr>
                <w:b w:val="0"/>
                <w:color w:val="auto"/>
                <w:sz w:val="20"/>
                <w:szCs w:val="20"/>
              </w:rPr>
              <w:t>B.2 Zkvalitňování</w:t>
            </w:r>
            <w:proofErr w:type="gramEnd"/>
            <w:r w:rsidRPr="003F3C75">
              <w:rPr>
                <w:b w:val="0"/>
                <w:color w:val="auto"/>
                <w:sz w:val="20"/>
                <w:szCs w:val="20"/>
              </w:rPr>
              <w:t xml:space="preserve"> a rozvoj sítě sociálních služeb</w:t>
            </w:r>
          </w:p>
        </w:tc>
        <w:tc>
          <w:tcPr>
            <w:tcW w:w="1209" w:type="dxa"/>
            <w:noWrap/>
            <w:vAlign w:val="bottom"/>
          </w:tcPr>
          <w:p w:rsidR="007151F5" w:rsidRPr="007151F5" w:rsidRDefault="00F1737E" w:rsidP="007151F5">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72</w:t>
            </w:r>
          </w:p>
        </w:tc>
        <w:tc>
          <w:tcPr>
            <w:tcW w:w="1210" w:type="dxa"/>
            <w:noWrap/>
            <w:vAlign w:val="bottom"/>
          </w:tcPr>
          <w:p w:rsidR="007151F5" w:rsidRPr="007151F5" w:rsidRDefault="00F1737E" w:rsidP="007151F5">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6 644</w:t>
            </w:r>
          </w:p>
        </w:tc>
        <w:tc>
          <w:tcPr>
            <w:tcW w:w="1210" w:type="dxa"/>
            <w:noWrap/>
            <w:vAlign w:val="bottom"/>
          </w:tcPr>
          <w:p w:rsidR="007151F5" w:rsidRPr="007151F5" w:rsidRDefault="00F1737E" w:rsidP="007151F5">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120 383</w:t>
            </w:r>
          </w:p>
        </w:tc>
      </w:tr>
      <w:tr w:rsidR="007151F5" w:rsidRPr="003F3C75" w:rsidTr="001742A1">
        <w:trPr>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7151F5" w:rsidRPr="003F3C75" w:rsidRDefault="007151F5" w:rsidP="0028499A">
            <w:pPr>
              <w:spacing w:after="0"/>
              <w:jc w:val="left"/>
              <w:rPr>
                <w:b w:val="0"/>
                <w:color w:val="auto"/>
                <w:sz w:val="20"/>
                <w:szCs w:val="20"/>
              </w:rPr>
            </w:pPr>
            <w:proofErr w:type="gramStart"/>
            <w:r w:rsidRPr="003F3C75">
              <w:rPr>
                <w:b w:val="0"/>
                <w:color w:val="auto"/>
                <w:sz w:val="20"/>
                <w:szCs w:val="20"/>
              </w:rPr>
              <w:t>B.3 Zmírňování</w:t>
            </w:r>
            <w:proofErr w:type="gramEnd"/>
            <w:r w:rsidRPr="003F3C75">
              <w:rPr>
                <w:b w:val="0"/>
                <w:color w:val="auto"/>
                <w:sz w:val="20"/>
                <w:szCs w:val="20"/>
              </w:rPr>
              <w:t xml:space="preserve"> sociálního vyloučení</w:t>
            </w:r>
          </w:p>
        </w:tc>
        <w:tc>
          <w:tcPr>
            <w:tcW w:w="1209" w:type="dxa"/>
            <w:noWrap/>
            <w:vAlign w:val="bottom"/>
          </w:tcPr>
          <w:p w:rsidR="007151F5" w:rsidRPr="007151F5" w:rsidRDefault="00F1737E" w:rsidP="007151F5">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7</w:t>
            </w:r>
          </w:p>
        </w:tc>
        <w:tc>
          <w:tcPr>
            <w:tcW w:w="1210" w:type="dxa"/>
            <w:noWrap/>
            <w:vAlign w:val="bottom"/>
          </w:tcPr>
          <w:p w:rsidR="007151F5" w:rsidRPr="007151F5" w:rsidRDefault="00F1737E" w:rsidP="007151F5">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476</w:t>
            </w:r>
          </w:p>
        </w:tc>
        <w:tc>
          <w:tcPr>
            <w:tcW w:w="1210" w:type="dxa"/>
            <w:noWrap/>
            <w:vAlign w:val="bottom"/>
          </w:tcPr>
          <w:p w:rsidR="007151F5" w:rsidRPr="007151F5" w:rsidRDefault="00F1737E" w:rsidP="00F1737E">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 xml:space="preserve">1 </w:t>
            </w:r>
            <w:r w:rsidR="007151F5" w:rsidRPr="007151F5">
              <w:rPr>
                <w:color w:val="auto"/>
                <w:sz w:val="20"/>
                <w:szCs w:val="20"/>
              </w:rPr>
              <w:t>2</w:t>
            </w:r>
            <w:r>
              <w:rPr>
                <w:color w:val="auto"/>
                <w:sz w:val="20"/>
                <w:szCs w:val="20"/>
              </w:rPr>
              <w:t>92</w:t>
            </w:r>
          </w:p>
        </w:tc>
      </w:tr>
      <w:tr w:rsidR="007151F5" w:rsidRPr="003F3C75" w:rsidTr="001742A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7151F5" w:rsidRPr="003F3C75" w:rsidRDefault="007151F5" w:rsidP="0028499A">
            <w:pPr>
              <w:spacing w:after="0"/>
              <w:jc w:val="left"/>
              <w:rPr>
                <w:b w:val="0"/>
                <w:color w:val="auto"/>
                <w:sz w:val="20"/>
                <w:szCs w:val="20"/>
              </w:rPr>
            </w:pPr>
            <w:proofErr w:type="gramStart"/>
            <w:r w:rsidRPr="003F3C75">
              <w:rPr>
                <w:b w:val="0"/>
                <w:color w:val="auto"/>
                <w:sz w:val="20"/>
                <w:szCs w:val="20"/>
              </w:rPr>
              <w:t>B.4 Podpora</w:t>
            </w:r>
            <w:proofErr w:type="gramEnd"/>
            <w:r w:rsidRPr="003F3C75">
              <w:rPr>
                <w:b w:val="0"/>
                <w:color w:val="auto"/>
                <w:sz w:val="20"/>
                <w:szCs w:val="20"/>
              </w:rPr>
              <w:t xml:space="preserve"> dalších veřejných služeb</w:t>
            </w:r>
          </w:p>
        </w:tc>
        <w:tc>
          <w:tcPr>
            <w:tcW w:w="1209" w:type="dxa"/>
            <w:noWrap/>
            <w:vAlign w:val="bottom"/>
          </w:tcPr>
          <w:p w:rsidR="007151F5" w:rsidRPr="007151F5" w:rsidRDefault="00041757" w:rsidP="007151F5">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w:t>
            </w:r>
          </w:p>
        </w:tc>
        <w:tc>
          <w:tcPr>
            <w:tcW w:w="1210" w:type="dxa"/>
            <w:noWrap/>
            <w:vAlign w:val="bottom"/>
          </w:tcPr>
          <w:p w:rsidR="007151F5" w:rsidRPr="007151F5" w:rsidRDefault="00041757" w:rsidP="007151F5">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w:t>
            </w:r>
          </w:p>
        </w:tc>
        <w:tc>
          <w:tcPr>
            <w:tcW w:w="1210" w:type="dxa"/>
            <w:noWrap/>
            <w:vAlign w:val="bottom"/>
          </w:tcPr>
          <w:p w:rsidR="007151F5" w:rsidRPr="007151F5" w:rsidRDefault="00041757" w:rsidP="007151F5">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w:t>
            </w:r>
          </w:p>
        </w:tc>
      </w:tr>
      <w:tr w:rsidR="007151F5" w:rsidRPr="003F3C75" w:rsidTr="001742A1">
        <w:trPr>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7151F5" w:rsidRPr="003F3C75" w:rsidRDefault="007151F5" w:rsidP="0028499A">
            <w:pPr>
              <w:spacing w:after="0"/>
              <w:jc w:val="left"/>
              <w:rPr>
                <w:b w:val="0"/>
                <w:color w:val="auto"/>
                <w:sz w:val="20"/>
                <w:szCs w:val="20"/>
              </w:rPr>
            </w:pPr>
            <w:proofErr w:type="gramStart"/>
            <w:r w:rsidRPr="003F3C75">
              <w:rPr>
                <w:b w:val="0"/>
                <w:color w:val="auto"/>
                <w:sz w:val="20"/>
                <w:szCs w:val="20"/>
              </w:rPr>
              <w:t>C.1 Zlepšování</w:t>
            </w:r>
            <w:proofErr w:type="gramEnd"/>
            <w:r w:rsidRPr="003F3C75">
              <w:rPr>
                <w:b w:val="0"/>
                <w:color w:val="auto"/>
                <w:sz w:val="20"/>
                <w:szCs w:val="20"/>
              </w:rPr>
              <w:t xml:space="preserve"> podmínek pro podnikání</w:t>
            </w:r>
          </w:p>
        </w:tc>
        <w:tc>
          <w:tcPr>
            <w:tcW w:w="1209" w:type="dxa"/>
            <w:noWrap/>
            <w:vAlign w:val="bottom"/>
          </w:tcPr>
          <w:p w:rsidR="007151F5" w:rsidRPr="007151F5" w:rsidRDefault="00041757" w:rsidP="007151F5">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0</w:t>
            </w:r>
          </w:p>
        </w:tc>
        <w:tc>
          <w:tcPr>
            <w:tcW w:w="1210" w:type="dxa"/>
            <w:noWrap/>
            <w:vAlign w:val="bottom"/>
          </w:tcPr>
          <w:p w:rsidR="007151F5" w:rsidRPr="007151F5" w:rsidRDefault="00041757" w:rsidP="007151F5">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0</w:t>
            </w:r>
          </w:p>
        </w:tc>
        <w:tc>
          <w:tcPr>
            <w:tcW w:w="1210" w:type="dxa"/>
            <w:noWrap/>
            <w:vAlign w:val="bottom"/>
          </w:tcPr>
          <w:p w:rsidR="007151F5" w:rsidRPr="007151F5" w:rsidRDefault="00041757" w:rsidP="007151F5">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0</w:t>
            </w:r>
          </w:p>
        </w:tc>
      </w:tr>
      <w:tr w:rsidR="007151F5" w:rsidRPr="003F3C75" w:rsidTr="001742A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7151F5" w:rsidRPr="003F3C75" w:rsidRDefault="007151F5" w:rsidP="0028499A">
            <w:pPr>
              <w:spacing w:after="0"/>
              <w:jc w:val="left"/>
              <w:rPr>
                <w:b w:val="0"/>
                <w:color w:val="auto"/>
                <w:sz w:val="20"/>
                <w:szCs w:val="20"/>
              </w:rPr>
            </w:pPr>
            <w:proofErr w:type="gramStart"/>
            <w:r w:rsidRPr="003F3C75">
              <w:rPr>
                <w:b w:val="0"/>
                <w:color w:val="auto"/>
                <w:sz w:val="20"/>
                <w:szCs w:val="20"/>
              </w:rPr>
              <w:t>C.2 Podpora</w:t>
            </w:r>
            <w:proofErr w:type="gramEnd"/>
            <w:r w:rsidRPr="003F3C75">
              <w:rPr>
                <w:b w:val="0"/>
                <w:color w:val="auto"/>
                <w:sz w:val="20"/>
                <w:szCs w:val="20"/>
              </w:rPr>
              <w:t xml:space="preserve"> znalostní ekonomiky</w:t>
            </w:r>
          </w:p>
        </w:tc>
        <w:tc>
          <w:tcPr>
            <w:tcW w:w="1209" w:type="dxa"/>
            <w:noWrap/>
            <w:vAlign w:val="bottom"/>
          </w:tcPr>
          <w:p w:rsidR="007151F5" w:rsidRPr="007151F5" w:rsidRDefault="007151F5" w:rsidP="007151F5">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7151F5">
              <w:rPr>
                <w:color w:val="auto"/>
                <w:sz w:val="20"/>
                <w:szCs w:val="20"/>
              </w:rPr>
              <w:t>1</w:t>
            </w:r>
          </w:p>
        </w:tc>
        <w:tc>
          <w:tcPr>
            <w:tcW w:w="1210" w:type="dxa"/>
            <w:noWrap/>
            <w:vAlign w:val="bottom"/>
          </w:tcPr>
          <w:p w:rsidR="007151F5" w:rsidRPr="007151F5" w:rsidRDefault="00F1737E" w:rsidP="007151F5">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886</w:t>
            </w:r>
          </w:p>
        </w:tc>
        <w:tc>
          <w:tcPr>
            <w:tcW w:w="1210" w:type="dxa"/>
            <w:noWrap/>
            <w:vAlign w:val="bottom"/>
          </w:tcPr>
          <w:p w:rsidR="007151F5" w:rsidRPr="007151F5" w:rsidRDefault="002D50DB" w:rsidP="00F1737E">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5</w:t>
            </w:r>
            <w:r w:rsidR="007151F5">
              <w:rPr>
                <w:color w:val="auto"/>
                <w:sz w:val="20"/>
                <w:szCs w:val="20"/>
              </w:rPr>
              <w:t xml:space="preserve"> </w:t>
            </w:r>
            <w:r w:rsidR="00F1737E">
              <w:rPr>
                <w:color w:val="auto"/>
                <w:sz w:val="20"/>
                <w:szCs w:val="20"/>
              </w:rPr>
              <w:t>90</w:t>
            </w:r>
            <w:r w:rsidR="007151F5" w:rsidRPr="007151F5">
              <w:rPr>
                <w:color w:val="auto"/>
                <w:sz w:val="20"/>
                <w:szCs w:val="20"/>
              </w:rPr>
              <w:t>5</w:t>
            </w:r>
          </w:p>
        </w:tc>
      </w:tr>
      <w:tr w:rsidR="007151F5" w:rsidRPr="003F3C75" w:rsidTr="001742A1">
        <w:trPr>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7151F5" w:rsidRPr="003F3C75" w:rsidRDefault="007151F5" w:rsidP="0028499A">
            <w:pPr>
              <w:spacing w:after="0"/>
              <w:jc w:val="left"/>
              <w:rPr>
                <w:b w:val="0"/>
                <w:color w:val="auto"/>
                <w:sz w:val="20"/>
                <w:szCs w:val="20"/>
              </w:rPr>
            </w:pPr>
            <w:proofErr w:type="gramStart"/>
            <w:r w:rsidRPr="003F3C75">
              <w:rPr>
                <w:b w:val="0"/>
                <w:color w:val="auto"/>
                <w:sz w:val="20"/>
                <w:szCs w:val="20"/>
              </w:rPr>
              <w:t>C.3 Rozvoj</w:t>
            </w:r>
            <w:proofErr w:type="gramEnd"/>
            <w:r w:rsidRPr="003F3C75">
              <w:rPr>
                <w:b w:val="0"/>
                <w:color w:val="auto"/>
                <w:sz w:val="20"/>
                <w:szCs w:val="20"/>
              </w:rPr>
              <w:t xml:space="preserve"> cestovního ruchu</w:t>
            </w:r>
          </w:p>
        </w:tc>
        <w:tc>
          <w:tcPr>
            <w:tcW w:w="1209" w:type="dxa"/>
            <w:noWrap/>
            <w:vAlign w:val="bottom"/>
          </w:tcPr>
          <w:p w:rsidR="007151F5" w:rsidRPr="007151F5" w:rsidRDefault="001B7962" w:rsidP="007151F5">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2</w:t>
            </w:r>
          </w:p>
        </w:tc>
        <w:tc>
          <w:tcPr>
            <w:tcW w:w="1210" w:type="dxa"/>
            <w:noWrap/>
            <w:vAlign w:val="bottom"/>
          </w:tcPr>
          <w:p w:rsidR="007151F5" w:rsidRPr="007151F5" w:rsidRDefault="001B7962" w:rsidP="007151F5">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737</w:t>
            </w:r>
          </w:p>
        </w:tc>
        <w:tc>
          <w:tcPr>
            <w:tcW w:w="1210" w:type="dxa"/>
            <w:noWrap/>
            <w:vAlign w:val="bottom"/>
          </w:tcPr>
          <w:p w:rsidR="007151F5" w:rsidRPr="007151F5" w:rsidRDefault="001B7962" w:rsidP="007151F5">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4 291</w:t>
            </w:r>
          </w:p>
        </w:tc>
      </w:tr>
      <w:tr w:rsidR="007151F5" w:rsidRPr="003F3C75" w:rsidTr="001742A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7151F5" w:rsidRPr="003F3C75" w:rsidRDefault="007151F5" w:rsidP="0028499A">
            <w:pPr>
              <w:spacing w:after="0"/>
              <w:jc w:val="left"/>
              <w:rPr>
                <w:b w:val="0"/>
                <w:color w:val="auto"/>
                <w:sz w:val="20"/>
                <w:szCs w:val="20"/>
              </w:rPr>
            </w:pPr>
            <w:proofErr w:type="gramStart"/>
            <w:r w:rsidRPr="003F3C75">
              <w:rPr>
                <w:b w:val="0"/>
                <w:color w:val="auto"/>
                <w:sz w:val="20"/>
                <w:szCs w:val="20"/>
              </w:rPr>
              <w:t>D.1 Dobudování</w:t>
            </w:r>
            <w:proofErr w:type="gramEnd"/>
            <w:r w:rsidRPr="003F3C75">
              <w:rPr>
                <w:b w:val="0"/>
                <w:color w:val="auto"/>
                <w:sz w:val="20"/>
                <w:szCs w:val="20"/>
              </w:rPr>
              <w:t xml:space="preserve"> a modernizace silniční infrastruktury</w:t>
            </w:r>
          </w:p>
        </w:tc>
        <w:tc>
          <w:tcPr>
            <w:tcW w:w="1209" w:type="dxa"/>
            <w:noWrap/>
            <w:vAlign w:val="bottom"/>
          </w:tcPr>
          <w:p w:rsidR="007151F5" w:rsidRPr="007151F5" w:rsidRDefault="001B7962" w:rsidP="007151F5">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23</w:t>
            </w:r>
          </w:p>
        </w:tc>
        <w:tc>
          <w:tcPr>
            <w:tcW w:w="1210" w:type="dxa"/>
            <w:noWrap/>
            <w:vAlign w:val="bottom"/>
          </w:tcPr>
          <w:p w:rsidR="007151F5" w:rsidRPr="007151F5" w:rsidRDefault="001B7962" w:rsidP="00937FAF">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65 408</w:t>
            </w:r>
          </w:p>
        </w:tc>
        <w:tc>
          <w:tcPr>
            <w:tcW w:w="1210" w:type="dxa"/>
            <w:noWrap/>
            <w:vAlign w:val="bottom"/>
          </w:tcPr>
          <w:p w:rsidR="007151F5" w:rsidRPr="007151F5" w:rsidRDefault="001B7962" w:rsidP="00937FAF">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377 094</w:t>
            </w:r>
          </w:p>
        </w:tc>
      </w:tr>
      <w:tr w:rsidR="007151F5" w:rsidRPr="003F3C75" w:rsidTr="001742A1">
        <w:trPr>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7151F5" w:rsidRPr="003F3C75" w:rsidRDefault="007151F5" w:rsidP="0028499A">
            <w:pPr>
              <w:spacing w:after="0"/>
              <w:jc w:val="left"/>
              <w:rPr>
                <w:b w:val="0"/>
                <w:color w:val="auto"/>
                <w:sz w:val="20"/>
                <w:szCs w:val="20"/>
              </w:rPr>
            </w:pPr>
            <w:proofErr w:type="gramStart"/>
            <w:r w:rsidRPr="003F3C75">
              <w:rPr>
                <w:b w:val="0"/>
                <w:color w:val="auto"/>
                <w:sz w:val="20"/>
                <w:szCs w:val="20"/>
              </w:rPr>
              <w:t>D.2 Modernizace</w:t>
            </w:r>
            <w:proofErr w:type="gramEnd"/>
            <w:r w:rsidRPr="003F3C75">
              <w:rPr>
                <w:b w:val="0"/>
                <w:color w:val="auto"/>
                <w:sz w:val="20"/>
                <w:szCs w:val="20"/>
              </w:rPr>
              <w:t xml:space="preserve"> železničních tratí</w:t>
            </w:r>
          </w:p>
        </w:tc>
        <w:tc>
          <w:tcPr>
            <w:tcW w:w="1209" w:type="dxa"/>
            <w:noWrap/>
            <w:vAlign w:val="bottom"/>
          </w:tcPr>
          <w:p w:rsidR="007151F5" w:rsidRPr="007151F5" w:rsidRDefault="00041757" w:rsidP="007151F5">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0</w:t>
            </w:r>
          </w:p>
        </w:tc>
        <w:tc>
          <w:tcPr>
            <w:tcW w:w="1210" w:type="dxa"/>
            <w:noWrap/>
            <w:vAlign w:val="bottom"/>
          </w:tcPr>
          <w:p w:rsidR="007151F5" w:rsidRPr="007151F5" w:rsidRDefault="001B7962" w:rsidP="007151F5">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0</w:t>
            </w:r>
          </w:p>
        </w:tc>
        <w:tc>
          <w:tcPr>
            <w:tcW w:w="1210" w:type="dxa"/>
            <w:noWrap/>
            <w:vAlign w:val="bottom"/>
          </w:tcPr>
          <w:p w:rsidR="007151F5" w:rsidRPr="007151F5" w:rsidRDefault="00041757" w:rsidP="007151F5">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0</w:t>
            </w:r>
          </w:p>
        </w:tc>
      </w:tr>
      <w:tr w:rsidR="007151F5" w:rsidRPr="003F3C75" w:rsidTr="001742A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7151F5" w:rsidRPr="003F3C75" w:rsidRDefault="007151F5" w:rsidP="0028499A">
            <w:pPr>
              <w:spacing w:after="0"/>
              <w:jc w:val="left"/>
              <w:rPr>
                <w:b w:val="0"/>
                <w:color w:val="auto"/>
                <w:sz w:val="20"/>
                <w:szCs w:val="20"/>
              </w:rPr>
            </w:pPr>
            <w:proofErr w:type="gramStart"/>
            <w:r w:rsidRPr="003F3C75">
              <w:rPr>
                <w:b w:val="0"/>
                <w:color w:val="auto"/>
                <w:sz w:val="20"/>
                <w:szCs w:val="20"/>
              </w:rPr>
              <w:t>D.3 Zkvalitnění</w:t>
            </w:r>
            <w:proofErr w:type="gramEnd"/>
            <w:r w:rsidRPr="003F3C75">
              <w:rPr>
                <w:b w:val="0"/>
                <w:color w:val="auto"/>
                <w:sz w:val="20"/>
                <w:szCs w:val="20"/>
              </w:rPr>
              <w:t xml:space="preserve"> dopravní obslužnosti území</w:t>
            </w:r>
          </w:p>
        </w:tc>
        <w:tc>
          <w:tcPr>
            <w:tcW w:w="1209" w:type="dxa"/>
            <w:noWrap/>
            <w:vAlign w:val="bottom"/>
          </w:tcPr>
          <w:p w:rsidR="007151F5" w:rsidRPr="007151F5" w:rsidRDefault="00041757" w:rsidP="007151F5">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w:t>
            </w:r>
          </w:p>
        </w:tc>
        <w:tc>
          <w:tcPr>
            <w:tcW w:w="1210" w:type="dxa"/>
            <w:noWrap/>
            <w:vAlign w:val="bottom"/>
          </w:tcPr>
          <w:p w:rsidR="007151F5" w:rsidRPr="007151F5" w:rsidRDefault="00041757" w:rsidP="007151F5">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w:t>
            </w:r>
          </w:p>
        </w:tc>
        <w:tc>
          <w:tcPr>
            <w:tcW w:w="1210" w:type="dxa"/>
            <w:noWrap/>
            <w:vAlign w:val="bottom"/>
          </w:tcPr>
          <w:p w:rsidR="007151F5" w:rsidRPr="007151F5" w:rsidRDefault="00041757" w:rsidP="007151F5">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w:t>
            </w:r>
          </w:p>
        </w:tc>
      </w:tr>
      <w:tr w:rsidR="007151F5" w:rsidRPr="003F3C75" w:rsidTr="001742A1">
        <w:trPr>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7151F5" w:rsidRPr="003F3C75" w:rsidRDefault="007151F5" w:rsidP="0028499A">
            <w:pPr>
              <w:spacing w:after="0"/>
              <w:jc w:val="left"/>
              <w:rPr>
                <w:b w:val="0"/>
                <w:color w:val="auto"/>
                <w:sz w:val="20"/>
                <w:szCs w:val="20"/>
              </w:rPr>
            </w:pPr>
            <w:proofErr w:type="gramStart"/>
            <w:r w:rsidRPr="003F3C75">
              <w:rPr>
                <w:b w:val="0"/>
                <w:color w:val="auto"/>
                <w:sz w:val="20"/>
                <w:szCs w:val="20"/>
              </w:rPr>
              <w:t>D.4 Zlepšování</w:t>
            </w:r>
            <w:proofErr w:type="gramEnd"/>
            <w:r w:rsidRPr="003F3C75">
              <w:rPr>
                <w:b w:val="0"/>
                <w:color w:val="auto"/>
                <w:sz w:val="20"/>
                <w:szCs w:val="20"/>
              </w:rPr>
              <w:t xml:space="preserve"> podmínek pro nemotorovou dopravu</w:t>
            </w:r>
          </w:p>
        </w:tc>
        <w:tc>
          <w:tcPr>
            <w:tcW w:w="1209" w:type="dxa"/>
            <w:noWrap/>
            <w:vAlign w:val="bottom"/>
          </w:tcPr>
          <w:p w:rsidR="007151F5" w:rsidRPr="007151F5" w:rsidRDefault="00041757" w:rsidP="007151F5">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0</w:t>
            </w:r>
          </w:p>
        </w:tc>
        <w:tc>
          <w:tcPr>
            <w:tcW w:w="1210" w:type="dxa"/>
            <w:noWrap/>
            <w:vAlign w:val="bottom"/>
          </w:tcPr>
          <w:p w:rsidR="007151F5" w:rsidRPr="007151F5" w:rsidRDefault="00041757" w:rsidP="007151F5">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0</w:t>
            </w:r>
          </w:p>
        </w:tc>
        <w:tc>
          <w:tcPr>
            <w:tcW w:w="1210" w:type="dxa"/>
            <w:noWrap/>
            <w:vAlign w:val="bottom"/>
          </w:tcPr>
          <w:p w:rsidR="007151F5" w:rsidRPr="007151F5" w:rsidRDefault="00041757" w:rsidP="007151F5">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0</w:t>
            </w:r>
          </w:p>
        </w:tc>
      </w:tr>
      <w:tr w:rsidR="007151F5" w:rsidRPr="003F3C75" w:rsidTr="001742A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7151F5" w:rsidRPr="003F3C75" w:rsidRDefault="007151F5" w:rsidP="0028499A">
            <w:pPr>
              <w:spacing w:after="0"/>
              <w:jc w:val="left"/>
              <w:rPr>
                <w:b w:val="0"/>
                <w:color w:val="auto"/>
                <w:sz w:val="20"/>
                <w:szCs w:val="20"/>
              </w:rPr>
            </w:pPr>
            <w:proofErr w:type="gramStart"/>
            <w:r w:rsidRPr="003F3C75">
              <w:rPr>
                <w:b w:val="0"/>
                <w:color w:val="auto"/>
                <w:sz w:val="20"/>
                <w:szCs w:val="20"/>
              </w:rPr>
              <w:t>E.1 Snižování</w:t>
            </w:r>
            <w:proofErr w:type="gramEnd"/>
            <w:r w:rsidRPr="003F3C75">
              <w:rPr>
                <w:b w:val="0"/>
                <w:color w:val="auto"/>
                <w:sz w:val="20"/>
                <w:szCs w:val="20"/>
              </w:rPr>
              <w:t xml:space="preserve"> dopadů lidské činnosti na životní prostředí</w:t>
            </w:r>
          </w:p>
        </w:tc>
        <w:tc>
          <w:tcPr>
            <w:tcW w:w="1209" w:type="dxa"/>
            <w:noWrap/>
            <w:vAlign w:val="bottom"/>
          </w:tcPr>
          <w:p w:rsidR="007151F5" w:rsidRPr="007151F5" w:rsidRDefault="001B7962" w:rsidP="007151F5">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1 250</w:t>
            </w:r>
          </w:p>
        </w:tc>
        <w:tc>
          <w:tcPr>
            <w:tcW w:w="1210" w:type="dxa"/>
            <w:noWrap/>
            <w:vAlign w:val="bottom"/>
          </w:tcPr>
          <w:p w:rsidR="007151F5" w:rsidRPr="007151F5" w:rsidRDefault="007151F5" w:rsidP="007151F5">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7151F5">
              <w:rPr>
                <w:color w:val="auto"/>
                <w:sz w:val="20"/>
                <w:szCs w:val="20"/>
              </w:rPr>
              <w:t>0</w:t>
            </w:r>
          </w:p>
        </w:tc>
        <w:tc>
          <w:tcPr>
            <w:tcW w:w="1210" w:type="dxa"/>
            <w:noWrap/>
            <w:vAlign w:val="bottom"/>
          </w:tcPr>
          <w:p w:rsidR="007151F5" w:rsidRPr="007151F5" w:rsidRDefault="001B7962" w:rsidP="007151F5">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144 492</w:t>
            </w:r>
          </w:p>
        </w:tc>
      </w:tr>
      <w:tr w:rsidR="007151F5" w:rsidRPr="003F3C75" w:rsidTr="001742A1">
        <w:trPr>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7151F5" w:rsidRPr="003F3C75" w:rsidRDefault="007151F5" w:rsidP="0028499A">
            <w:pPr>
              <w:spacing w:after="0"/>
              <w:jc w:val="left"/>
              <w:rPr>
                <w:b w:val="0"/>
                <w:color w:val="auto"/>
                <w:sz w:val="20"/>
                <w:szCs w:val="20"/>
              </w:rPr>
            </w:pPr>
            <w:proofErr w:type="gramStart"/>
            <w:r w:rsidRPr="003F3C75">
              <w:rPr>
                <w:b w:val="0"/>
                <w:color w:val="auto"/>
                <w:sz w:val="20"/>
                <w:szCs w:val="20"/>
              </w:rPr>
              <w:t>E.2 Zefektivnění</w:t>
            </w:r>
            <w:proofErr w:type="gramEnd"/>
            <w:r w:rsidRPr="003F3C75">
              <w:rPr>
                <w:b w:val="0"/>
                <w:color w:val="auto"/>
                <w:sz w:val="20"/>
                <w:szCs w:val="20"/>
              </w:rPr>
              <w:t xml:space="preserve"> odpadového hospodářství</w:t>
            </w:r>
          </w:p>
        </w:tc>
        <w:tc>
          <w:tcPr>
            <w:tcW w:w="1209" w:type="dxa"/>
            <w:noWrap/>
            <w:vAlign w:val="bottom"/>
          </w:tcPr>
          <w:p w:rsidR="007151F5" w:rsidRPr="007151F5" w:rsidRDefault="00041757" w:rsidP="007151F5">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0</w:t>
            </w:r>
          </w:p>
        </w:tc>
        <w:tc>
          <w:tcPr>
            <w:tcW w:w="1210" w:type="dxa"/>
            <w:noWrap/>
            <w:vAlign w:val="bottom"/>
          </w:tcPr>
          <w:p w:rsidR="007151F5" w:rsidRPr="007151F5" w:rsidRDefault="00041757" w:rsidP="007151F5">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0</w:t>
            </w:r>
          </w:p>
        </w:tc>
        <w:tc>
          <w:tcPr>
            <w:tcW w:w="1210" w:type="dxa"/>
            <w:noWrap/>
            <w:vAlign w:val="bottom"/>
          </w:tcPr>
          <w:p w:rsidR="007151F5" w:rsidRPr="007151F5" w:rsidRDefault="00041757" w:rsidP="007151F5">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0</w:t>
            </w:r>
          </w:p>
        </w:tc>
      </w:tr>
      <w:tr w:rsidR="007151F5" w:rsidRPr="003F3C75" w:rsidTr="001742A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7151F5" w:rsidRPr="003F3C75" w:rsidRDefault="007151F5" w:rsidP="0028499A">
            <w:pPr>
              <w:spacing w:after="0"/>
              <w:jc w:val="left"/>
              <w:rPr>
                <w:b w:val="0"/>
                <w:color w:val="auto"/>
                <w:sz w:val="20"/>
                <w:szCs w:val="20"/>
              </w:rPr>
            </w:pPr>
            <w:proofErr w:type="gramStart"/>
            <w:r w:rsidRPr="003F3C75">
              <w:rPr>
                <w:b w:val="0"/>
                <w:color w:val="auto"/>
                <w:sz w:val="20"/>
                <w:szCs w:val="20"/>
              </w:rPr>
              <w:t>E.3 Dosažení</w:t>
            </w:r>
            <w:proofErr w:type="gramEnd"/>
            <w:r w:rsidRPr="003F3C75">
              <w:rPr>
                <w:b w:val="0"/>
                <w:color w:val="auto"/>
                <w:sz w:val="20"/>
                <w:szCs w:val="20"/>
              </w:rPr>
              <w:t xml:space="preserve"> energetických úspor</w:t>
            </w:r>
          </w:p>
        </w:tc>
        <w:tc>
          <w:tcPr>
            <w:tcW w:w="1209" w:type="dxa"/>
            <w:noWrap/>
            <w:vAlign w:val="bottom"/>
          </w:tcPr>
          <w:p w:rsidR="007151F5" w:rsidRPr="007151F5" w:rsidRDefault="001B7962" w:rsidP="007151F5">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16</w:t>
            </w:r>
          </w:p>
        </w:tc>
        <w:tc>
          <w:tcPr>
            <w:tcW w:w="1210" w:type="dxa"/>
            <w:noWrap/>
            <w:vAlign w:val="bottom"/>
          </w:tcPr>
          <w:p w:rsidR="007151F5" w:rsidRPr="007151F5" w:rsidRDefault="001B7962" w:rsidP="001B7962">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33 769</w:t>
            </w:r>
          </w:p>
        </w:tc>
        <w:tc>
          <w:tcPr>
            <w:tcW w:w="1210" w:type="dxa"/>
            <w:noWrap/>
            <w:vAlign w:val="bottom"/>
          </w:tcPr>
          <w:p w:rsidR="007151F5" w:rsidRPr="007151F5" w:rsidRDefault="001B7962" w:rsidP="001B7962">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45 778</w:t>
            </w:r>
          </w:p>
        </w:tc>
      </w:tr>
      <w:tr w:rsidR="007151F5" w:rsidRPr="003F3C75" w:rsidTr="001742A1">
        <w:trPr>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7151F5" w:rsidRPr="003F3C75" w:rsidRDefault="007151F5" w:rsidP="0028499A">
            <w:pPr>
              <w:spacing w:after="0"/>
              <w:jc w:val="left"/>
              <w:rPr>
                <w:b w:val="0"/>
                <w:color w:val="auto"/>
                <w:sz w:val="20"/>
                <w:szCs w:val="20"/>
              </w:rPr>
            </w:pPr>
            <w:proofErr w:type="gramStart"/>
            <w:r w:rsidRPr="003F3C75">
              <w:rPr>
                <w:b w:val="0"/>
                <w:color w:val="auto"/>
                <w:sz w:val="20"/>
                <w:szCs w:val="20"/>
              </w:rPr>
              <w:t>E.4 Zlepšování</w:t>
            </w:r>
            <w:proofErr w:type="gramEnd"/>
            <w:r w:rsidRPr="003F3C75">
              <w:rPr>
                <w:b w:val="0"/>
                <w:color w:val="auto"/>
                <w:sz w:val="20"/>
                <w:szCs w:val="20"/>
              </w:rPr>
              <w:t xml:space="preserve"> ekologické stability krajiny</w:t>
            </w:r>
          </w:p>
        </w:tc>
        <w:tc>
          <w:tcPr>
            <w:tcW w:w="1209" w:type="dxa"/>
            <w:noWrap/>
            <w:vAlign w:val="bottom"/>
          </w:tcPr>
          <w:p w:rsidR="007151F5" w:rsidRPr="007151F5" w:rsidRDefault="00F24B9A" w:rsidP="007151F5">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2</w:t>
            </w:r>
          </w:p>
        </w:tc>
        <w:tc>
          <w:tcPr>
            <w:tcW w:w="1210" w:type="dxa"/>
            <w:noWrap/>
            <w:vAlign w:val="bottom"/>
          </w:tcPr>
          <w:p w:rsidR="007151F5" w:rsidRPr="007151F5" w:rsidRDefault="00F24B9A" w:rsidP="007151F5">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554</w:t>
            </w:r>
          </w:p>
        </w:tc>
        <w:tc>
          <w:tcPr>
            <w:tcW w:w="1210" w:type="dxa"/>
            <w:noWrap/>
            <w:vAlign w:val="bottom"/>
          </w:tcPr>
          <w:p w:rsidR="007151F5" w:rsidRPr="007151F5" w:rsidRDefault="00F24B9A" w:rsidP="007151F5">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554</w:t>
            </w:r>
          </w:p>
        </w:tc>
      </w:tr>
      <w:tr w:rsidR="007151F5" w:rsidRPr="003F3C75" w:rsidTr="001742A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7151F5" w:rsidRPr="003F3C75" w:rsidRDefault="007151F5" w:rsidP="0028499A">
            <w:pPr>
              <w:spacing w:after="0"/>
              <w:jc w:val="left"/>
              <w:rPr>
                <w:b w:val="0"/>
                <w:color w:val="auto"/>
                <w:sz w:val="20"/>
                <w:szCs w:val="20"/>
              </w:rPr>
            </w:pPr>
            <w:proofErr w:type="gramStart"/>
            <w:r w:rsidRPr="003F3C75">
              <w:rPr>
                <w:b w:val="0"/>
                <w:color w:val="auto"/>
                <w:sz w:val="20"/>
                <w:szCs w:val="20"/>
              </w:rPr>
              <w:t>E.5 Ochrana</w:t>
            </w:r>
            <w:proofErr w:type="gramEnd"/>
            <w:r w:rsidRPr="003F3C75">
              <w:rPr>
                <w:b w:val="0"/>
                <w:color w:val="auto"/>
                <w:sz w:val="20"/>
                <w:szCs w:val="20"/>
              </w:rPr>
              <w:t xml:space="preserve"> přírody a krajinného rázu</w:t>
            </w:r>
          </w:p>
        </w:tc>
        <w:tc>
          <w:tcPr>
            <w:tcW w:w="1209" w:type="dxa"/>
            <w:noWrap/>
            <w:vAlign w:val="bottom"/>
          </w:tcPr>
          <w:p w:rsidR="007151F5" w:rsidRPr="007151F5" w:rsidRDefault="00041757" w:rsidP="007151F5">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w:t>
            </w:r>
          </w:p>
        </w:tc>
        <w:tc>
          <w:tcPr>
            <w:tcW w:w="1210" w:type="dxa"/>
            <w:noWrap/>
            <w:vAlign w:val="bottom"/>
          </w:tcPr>
          <w:p w:rsidR="007151F5" w:rsidRPr="007151F5" w:rsidRDefault="00041757" w:rsidP="007151F5">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w:t>
            </w:r>
          </w:p>
        </w:tc>
        <w:tc>
          <w:tcPr>
            <w:tcW w:w="1210" w:type="dxa"/>
            <w:noWrap/>
            <w:vAlign w:val="bottom"/>
          </w:tcPr>
          <w:p w:rsidR="007151F5" w:rsidRPr="007151F5" w:rsidRDefault="00041757" w:rsidP="007151F5">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w:t>
            </w:r>
          </w:p>
        </w:tc>
      </w:tr>
      <w:tr w:rsidR="007151F5" w:rsidRPr="003F3C75" w:rsidTr="001742A1">
        <w:trPr>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7151F5" w:rsidRPr="003F3C75" w:rsidRDefault="007151F5" w:rsidP="0028499A">
            <w:pPr>
              <w:spacing w:after="0"/>
              <w:jc w:val="left"/>
              <w:rPr>
                <w:b w:val="0"/>
                <w:color w:val="auto"/>
                <w:sz w:val="20"/>
                <w:szCs w:val="20"/>
              </w:rPr>
            </w:pPr>
            <w:proofErr w:type="gramStart"/>
            <w:r w:rsidRPr="003F3C75">
              <w:rPr>
                <w:b w:val="0"/>
                <w:color w:val="auto"/>
                <w:sz w:val="20"/>
                <w:szCs w:val="20"/>
              </w:rPr>
              <w:t>F.1 Efektivní</w:t>
            </w:r>
            <w:proofErr w:type="gramEnd"/>
            <w:r w:rsidRPr="003F3C75">
              <w:rPr>
                <w:b w:val="0"/>
                <w:color w:val="auto"/>
                <w:sz w:val="20"/>
                <w:szCs w:val="20"/>
              </w:rPr>
              <w:t xml:space="preserve"> fungování KÚOK a PO</w:t>
            </w:r>
          </w:p>
        </w:tc>
        <w:tc>
          <w:tcPr>
            <w:tcW w:w="1209" w:type="dxa"/>
            <w:noWrap/>
            <w:vAlign w:val="bottom"/>
          </w:tcPr>
          <w:p w:rsidR="007151F5" w:rsidRPr="007151F5" w:rsidRDefault="00993747" w:rsidP="007151F5">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1</w:t>
            </w:r>
          </w:p>
        </w:tc>
        <w:tc>
          <w:tcPr>
            <w:tcW w:w="1210" w:type="dxa"/>
            <w:noWrap/>
            <w:vAlign w:val="bottom"/>
          </w:tcPr>
          <w:p w:rsidR="007151F5" w:rsidRPr="007151F5" w:rsidRDefault="00993747" w:rsidP="00937FAF">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22</w:t>
            </w:r>
          </w:p>
        </w:tc>
        <w:tc>
          <w:tcPr>
            <w:tcW w:w="1210" w:type="dxa"/>
            <w:noWrap/>
            <w:vAlign w:val="bottom"/>
          </w:tcPr>
          <w:p w:rsidR="007151F5" w:rsidRPr="007151F5" w:rsidRDefault="00993747" w:rsidP="007151F5">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22</w:t>
            </w:r>
          </w:p>
        </w:tc>
      </w:tr>
      <w:tr w:rsidR="00937FAF" w:rsidRPr="003F3C75" w:rsidTr="001742A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937FAF" w:rsidRPr="003F3C75" w:rsidRDefault="00937FAF" w:rsidP="0028499A">
            <w:pPr>
              <w:spacing w:after="0"/>
              <w:jc w:val="left"/>
              <w:rPr>
                <w:b w:val="0"/>
                <w:color w:val="auto"/>
                <w:sz w:val="20"/>
                <w:szCs w:val="20"/>
              </w:rPr>
            </w:pPr>
            <w:proofErr w:type="gramStart"/>
            <w:r w:rsidRPr="003F3C75">
              <w:rPr>
                <w:b w:val="0"/>
                <w:color w:val="auto"/>
                <w:sz w:val="20"/>
                <w:szCs w:val="20"/>
              </w:rPr>
              <w:t>F.2 Plánování</w:t>
            </w:r>
            <w:proofErr w:type="gramEnd"/>
            <w:r w:rsidRPr="003F3C75">
              <w:rPr>
                <w:b w:val="0"/>
                <w:color w:val="auto"/>
                <w:sz w:val="20"/>
                <w:szCs w:val="20"/>
              </w:rPr>
              <w:t xml:space="preserve"> a řízení rozvoje</w:t>
            </w:r>
          </w:p>
        </w:tc>
        <w:tc>
          <w:tcPr>
            <w:tcW w:w="1209" w:type="dxa"/>
            <w:noWrap/>
            <w:vAlign w:val="bottom"/>
          </w:tcPr>
          <w:p w:rsidR="00937FAF" w:rsidRPr="007151F5" w:rsidRDefault="001B7962" w:rsidP="00EE2B57">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w:t>
            </w:r>
          </w:p>
        </w:tc>
        <w:tc>
          <w:tcPr>
            <w:tcW w:w="1210" w:type="dxa"/>
            <w:noWrap/>
            <w:vAlign w:val="bottom"/>
          </w:tcPr>
          <w:p w:rsidR="00937FAF" w:rsidRPr="007151F5" w:rsidRDefault="001B7962" w:rsidP="00EE2B57">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w:t>
            </w:r>
          </w:p>
        </w:tc>
        <w:tc>
          <w:tcPr>
            <w:tcW w:w="1210" w:type="dxa"/>
            <w:noWrap/>
            <w:vAlign w:val="bottom"/>
          </w:tcPr>
          <w:p w:rsidR="00937FAF" w:rsidRPr="007151F5" w:rsidRDefault="001B7962" w:rsidP="00EE2B57">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w:t>
            </w:r>
          </w:p>
        </w:tc>
      </w:tr>
      <w:tr w:rsidR="00937FAF" w:rsidRPr="003F3C75" w:rsidTr="001742A1">
        <w:trPr>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937FAF" w:rsidRPr="003F3C75" w:rsidRDefault="00937FAF" w:rsidP="0028499A">
            <w:pPr>
              <w:spacing w:after="0"/>
              <w:jc w:val="left"/>
              <w:rPr>
                <w:b w:val="0"/>
                <w:color w:val="auto"/>
                <w:sz w:val="20"/>
                <w:szCs w:val="20"/>
              </w:rPr>
            </w:pPr>
            <w:proofErr w:type="gramStart"/>
            <w:r w:rsidRPr="003F3C75">
              <w:rPr>
                <w:b w:val="0"/>
                <w:color w:val="auto"/>
                <w:sz w:val="20"/>
                <w:szCs w:val="20"/>
              </w:rPr>
              <w:t>F.3 Rozvojová</w:t>
            </w:r>
            <w:proofErr w:type="gramEnd"/>
            <w:r w:rsidRPr="003F3C75">
              <w:rPr>
                <w:b w:val="0"/>
                <w:color w:val="auto"/>
                <w:sz w:val="20"/>
                <w:szCs w:val="20"/>
              </w:rPr>
              <w:t xml:space="preserve"> spolupráce</w:t>
            </w:r>
          </w:p>
        </w:tc>
        <w:tc>
          <w:tcPr>
            <w:tcW w:w="1209" w:type="dxa"/>
            <w:noWrap/>
            <w:vAlign w:val="bottom"/>
          </w:tcPr>
          <w:p w:rsidR="00937FAF" w:rsidRPr="007151F5" w:rsidRDefault="00937FAF" w:rsidP="00EE2B57">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7151F5">
              <w:rPr>
                <w:color w:val="auto"/>
                <w:sz w:val="20"/>
                <w:szCs w:val="20"/>
              </w:rPr>
              <w:t>2</w:t>
            </w:r>
          </w:p>
        </w:tc>
        <w:tc>
          <w:tcPr>
            <w:tcW w:w="1210" w:type="dxa"/>
            <w:noWrap/>
            <w:vAlign w:val="bottom"/>
          </w:tcPr>
          <w:p w:rsidR="00937FAF" w:rsidRPr="007151F5" w:rsidRDefault="001B7962" w:rsidP="00EE2B57">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3</w:t>
            </w:r>
            <w:r w:rsidR="00937FAF" w:rsidRPr="007151F5">
              <w:rPr>
                <w:color w:val="auto"/>
                <w:sz w:val="20"/>
                <w:szCs w:val="20"/>
              </w:rPr>
              <w:t>8</w:t>
            </w:r>
          </w:p>
        </w:tc>
        <w:tc>
          <w:tcPr>
            <w:tcW w:w="1210" w:type="dxa"/>
            <w:noWrap/>
            <w:vAlign w:val="bottom"/>
          </w:tcPr>
          <w:p w:rsidR="00937FAF" w:rsidRPr="007151F5" w:rsidRDefault="00937FAF" w:rsidP="001B7962">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7151F5">
              <w:rPr>
                <w:color w:val="auto"/>
                <w:sz w:val="20"/>
                <w:szCs w:val="20"/>
              </w:rPr>
              <w:t>1</w:t>
            </w:r>
            <w:r>
              <w:rPr>
                <w:color w:val="auto"/>
                <w:sz w:val="20"/>
                <w:szCs w:val="20"/>
              </w:rPr>
              <w:t xml:space="preserve"> </w:t>
            </w:r>
            <w:r w:rsidR="001B7962">
              <w:rPr>
                <w:color w:val="auto"/>
                <w:sz w:val="20"/>
                <w:szCs w:val="20"/>
              </w:rPr>
              <w:t>93</w:t>
            </w:r>
            <w:r w:rsidRPr="007151F5">
              <w:rPr>
                <w:color w:val="auto"/>
                <w:sz w:val="20"/>
                <w:szCs w:val="20"/>
              </w:rPr>
              <w:t>4</w:t>
            </w:r>
          </w:p>
        </w:tc>
      </w:tr>
      <w:tr w:rsidR="0028499A" w:rsidRPr="003F3C75" w:rsidTr="002A306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28499A" w:rsidRPr="003F3C75" w:rsidRDefault="0028499A" w:rsidP="0028499A">
            <w:pPr>
              <w:spacing w:after="0"/>
              <w:jc w:val="left"/>
              <w:rPr>
                <w:b w:val="0"/>
                <w:color w:val="auto"/>
                <w:sz w:val="20"/>
                <w:szCs w:val="20"/>
              </w:rPr>
            </w:pPr>
            <w:proofErr w:type="gramStart"/>
            <w:r w:rsidRPr="003F3C75">
              <w:rPr>
                <w:b w:val="0"/>
                <w:color w:val="auto"/>
                <w:sz w:val="20"/>
                <w:szCs w:val="20"/>
              </w:rPr>
              <w:lastRenderedPageBreak/>
              <w:t>F.4 Rozvoj</w:t>
            </w:r>
            <w:proofErr w:type="gramEnd"/>
            <w:r w:rsidRPr="003F3C75">
              <w:rPr>
                <w:b w:val="0"/>
                <w:color w:val="auto"/>
                <w:sz w:val="20"/>
                <w:szCs w:val="20"/>
              </w:rPr>
              <w:t xml:space="preserve"> krizového řízení a </w:t>
            </w:r>
            <w:proofErr w:type="spellStart"/>
            <w:r w:rsidRPr="003F3C75">
              <w:rPr>
                <w:b w:val="0"/>
                <w:color w:val="auto"/>
                <w:sz w:val="20"/>
                <w:szCs w:val="20"/>
              </w:rPr>
              <w:t>integ</w:t>
            </w:r>
            <w:proofErr w:type="spellEnd"/>
            <w:r w:rsidRPr="003F3C75">
              <w:rPr>
                <w:b w:val="0"/>
                <w:color w:val="auto"/>
                <w:sz w:val="20"/>
                <w:szCs w:val="20"/>
              </w:rPr>
              <w:t>. záchranného systému</w:t>
            </w:r>
          </w:p>
        </w:tc>
        <w:tc>
          <w:tcPr>
            <w:tcW w:w="1209" w:type="dxa"/>
            <w:noWrap/>
            <w:vAlign w:val="center"/>
          </w:tcPr>
          <w:p w:rsidR="0028499A" w:rsidRPr="003F3C75" w:rsidRDefault="00F24B9A" w:rsidP="0028499A">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2</w:t>
            </w:r>
          </w:p>
        </w:tc>
        <w:tc>
          <w:tcPr>
            <w:tcW w:w="1210" w:type="dxa"/>
            <w:noWrap/>
            <w:vAlign w:val="center"/>
          </w:tcPr>
          <w:p w:rsidR="0028499A" w:rsidRPr="003F3C75" w:rsidRDefault="00F24B9A" w:rsidP="0028499A">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12</w:t>
            </w:r>
          </w:p>
        </w:tc>
        <w:tc>
          <w:tcPr>
            <w:tcW w:w="1210" w:type="dxa"/>
            <w:noWrap/>
            <w:vAlign w:val="center"/>
          </w:tcPr>
          <w:p w:rsidR="0028499A" w:rsidRPr="003F3C75" w:rsidRDefault="00F24B9A" w:rsidP="0028499A">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122</w:t>
            </w:r>
          </w:p>
        </w:tc>
      </w:tr>
      <w:tr w:rsidR="00D2635F" w:rsidRPr="003F3C75" w:rsidTr="002A3062">
        <w:trPr>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D2635F" w:rsidRPr="003F3C75" w:rsidRDefault="00D2635F" w:rsidP="0028499A">
            <w:pPr>
              <w:spacing w:after="0"/>
              <w:jc w:val="left"/>
              <w:rPr>
                <w:color w:val="auto"/>
                <w:sz w:val="20"/>
                <w:szCs w:val="20"/>
              </w:rPr>
            </w:pPr>
            <w:r w:rsidRPr="003F3C75">
              <w:rPr>
                <w:color w:val="auto"/>
                <w:sz w:val="20"/>
                <w:szCs w:val="20"/>
              </w:rPr>
              <w:t>Celkový součet</w:t>
            </w:r>
          </w:p>
        </w:tc>
        <w:tc>
          <w:tcPr>
            <w:tcW w:w="1209" w:type="dxa"/>
            <w:noWrap/>
            <w:vAlign w:val="center"/>
          </w:tcPr>
          <w:p w:rsidR="00D2635F" w:rsidRPr="003F3C75" w:rsidRDefault="00F24B9A" w:rsidP="002D50DB">
            <w:pPr>
              <w:spacing w:after="0"/>
              <w:jc w:val="right"/>
              <w:cnfStyle w:val="000000000000" w:firstRow="0" w:lastRow="0" w:firstColumn="0" w:lastColumn="0" w:oddVBand="0" w:evenVBand="0" w:oddHBand="0" w:evenHBand="0" w:firstRowFirstColumn="0" w:firstRowLastColumn="0" w:lastRowFirstColumn="0" w:lastRowLastColumn="0"/>
              <w:rPr>
                <w:b/>
                <w:bCs/>
                <w:color w:val="auto"/>
                <w:sz w:val="20"/>
                <w:szCs w:val="20"/>
              </w:rPr>
            </w:pPr>
            <w:r>
              <w:rPr>
                <w:b/>
                <w:bCs/>
                <w:color w:val="auto"/>
                <w:sz w:val="20"/>
                <w:szCs w:val="20"/>
              </w:rPr>
              <w:t>142</w:t>
            </w:r>
            <w:r w:rsidR="002D50DB">
              <w:rPr>
                <w:b/>
                <w:bCs/>
                <w:color w:val="auto"/>
                <w:sz w:val="20"/>
                <w:szCs w:val="20"/>
              </w:rPr>
              <w:t>5</w:t>
            </w:r>
          </w:p>
        </w:tc>
        <w:tc>
          <w:tcPr>
            <w:tcW w:w="1210" w:type="dxa"/>
            <w:noWrap/>
            <w:vAlign w:val="center"/>
          </w:tcPr>
          <w:p w:rsidR="00D2635F" w:rsidRPr="003F3C75" w:rsidRDefault="002D50DB" w:rsidP="00EE2B57">
            <w:pPr>
              <w:spacing w:after="0"/>
              <w:jc w:val="right"/>
              <w:cnfStyle w:val="000000000000" w:firstRow="0" w:lastRow="0" w:firstColumn="0" w:lastColumn="0" w:oddVBand="0" w:evenVBand="0" w:oddHBand="0" w:evenHBand="0" w:firstRowFirstColumn="0" w:firstRowLastColumn="0" w:lastRowFirstColumn="0" w:lastRowLastColumn="0"/>
              <w:rPr>
                <w:b/>
                <w:bCs/>
                <w:color w:val="auto"/>
                <w:sz w:val="20"/>
                <w:szCs w:val="20"/>
              </w:rPr>
            </w:pPr>
            <w:r>
              <w:rPr>
                <w:b/>
                <w:bCs/>
                <w:color w:val="auto"/>
                <w:sz w:val="20"/>
                <w:szCs w:val="20"/>
              </w:rPr>
              <w:t>115 561</w:t>
            </w:r>
          </w:p>
        </w:tc>
        <w:tc>
          <w:tcPr>
            <w:tcW w:w="1210" w:type="dxa"/>
            <w:noWrap/>
            <w:vAlign w:val="center"/>
          </w:tcPr>
          <w:p w:rsidR="00D2635F" w:rsidRPr="003F3C75" w:rsidRDefault="002D50DB" w:rsidP="00EE2B57">
            <w:pPr>
              <w:spacing w:after="0"/>
              <w:jc w:val="right"/>
              <w:cnfStyle w:val="000000000000" w:firstRow="0" w:lastRow="0" w:firstColumn="0" w:lastColumn="0" w:oddVBand="0" w:evenVBand="0" w:oddHBand="0" w:evenHBand="0" w:firstRowFirstColumn="0" w:firstRowLastColumn="0" w:lastRowFirstColumn="0" w:lastRowLastColumn="0"/>
              <w:rPr>
                <w:b/>
                <w:bCs/>
                <w:color w:val="auto"/>
                <w:sz w:val="20"/>
                <w:szCs w:val="20"/>
              </w:rPr>
            </w:pPr>
            <w:r>
              <w:rPr>
                <w:b/>
                <w:bCs/>
                <w:color w:val="auto"/>
                <w:sz w:val="20"/>
                <w:szCs w:val="20"/>
              </w:rPr>
              <w:t>755 163</w:t>
            </w:r>
          </w:p>
        </w:tc>
      </w:tr>
    </w:tbl>
    <w:p w:rsidR="008D5674" w:rsidRDefault="008D5674" w:rsidP="008D5674"/>
    <w:p w:rsidR="0020298D" w:rsidRPr="006973D2" w:rsidRDefault="0020298D" w:rsidP="00E477C7">
      <w:pPr>
        <w:pStyle w:val="IVnadpis2"/>
        <w:numPr>
          <w:ilvl w:val="0"/>
          <w:numId w:val="8"/>
        </w:numPr>
      </w:pPr>
      <w:bookmarkStart w:id="8" w:name="_Toc477348259"/>
      <w:r w:rsidRPr="006973D2">
        <w:t>Podpora subjektů v</w:t>
      </w:r>
      <w:r w:rsidR="00B659E3" w:rsidRPr="006973D2">
        <w:t> </w:t>
      </w:r>
      <w:r w:rsidRPr="006973D2">
        <w:t>území</w:t>
      </w:r>
      <w:bookmarkEnd w:id="8"/>
    </w:p>
    <w:p w:rsidR="00B659E3" w:rsidRPr="006973D2" w:rsidRDefault="00941086" w:rsidP="00B659E3">
      <w:r w:rsidRPr="006973D2">
        <w:t xml:space="preserve">Olomoucký kraj nejen čerpá dotace na vlastní činnost, ale současně poskytuje dotace dalším subjektům. </w:t>
      </w:r>
      <w:r w:rsidR="00AF0C68" w:rsidRPr="006973D2">
        <w:t>Stimuluje tak činnosti v oblastech, kde Olomoucký kraj sám nepůsobí, ale také přispívá ke zvýšení atraktivity Olomouckého kraje pro své obyvatele, případně návštěvníky.</w:t>
      </w:r>
    </w:p>
    <w:p w:rsidR="00AF0C68" w:rsidRPr="006973D2" w:rsidRDefault="00AF0C68" w:rsidP="00B659E3">
      <w:r w:rsidRPr="006973D2">
        <w:t>V roce 201</w:t>
      </w:r>
      <w:r w:rsidR="00754AD2" w:rsidRPr="006973D2">
        <w:t>7</w:t>
      </w:r>
      <w:r w:rsidR="00964124" w:rsidRPr="006973D2">
        <w:t xml:space="preserve"> Olomoucký kraj vyplatil na </w:t>
      </w:r>
      <w:r w:rsidR="006973D2" w:rsidRPr="006973D2">
        <w:t xml:space="preserve">3 </w:t>
      </w:r>
      <w:r w:rsidR="009731F5">
        <w:t>803</w:t>
      </w:r>
      <w:r w:rsidR="00964124" w:rsidRPr="006973D2">
        <w:t xml:space="preserve"> dotacích přes 1</w:t>
      </w:r>
      <w:r w:rsidR="009562F0" w:rsidRPr="006973D2">
        <w:t>,</w:t>
      </w:r>
      <w:r w:rsidR="006973D2" w:rsidRPr="006973D2">
        <w:t>4</w:t>
      </w:r>
      <w:r w:rsidR="00592EAC" w:rsidRPr="006973D2">
        <w:t> </w:t>
      </w:r>
      <w:r w:rsidR="00964124" w:rsidRPr="006973D2">
        <w:t>mld.</w:t>
      </w:r>
      <w:r w:rsidR="00592EAC" w:rsidRPr="006973D2">
        <w:t> </w:t>
      </w:r>
      <w:r w:rsidR="00964124" w:rsidRPr="006973D2">
        <w:t>Kč. Největší podíl na to</w:t>
      </w:r>
      <w:r w:rsidR="001C32E0" w:rsidRPr="006973D2">
        <w:t>m</w:t>
      </w:r>
      <w:r w:rsidR="00964124" w:rsidRPr="006973D2">
        <w:t xml:space="preserve"> měla nově zavedená účelová dotace na zajištění sociálních služeb. V tomto případě se jedná novou zákonnou povinnost Olomouckého kraje, kdy přerozděluje finanční prostředky poskytnuté státem. V roce 201</w:t>
      </w:r>
      <w:r w:rsidR="00754AD2" w:rsidRPr="006973D2">
        <w:t>7</w:t>
      </w:r>
      <w:r w:rsidR="00964124" w:rsidRPr="006973D2">
        <w:t xml:space="preserve"> činil souhrn účelových dotací na poskytování sociálních služeb asi </w:t>
      </w:r>
      <w:r w:rsidR="00754AD2" w:rsidRPr="006973D2">
        <w:t>8</w:t>
      </w:r>
      <w:r w:rsidR="009562F0" w:rsidRPr="006973D2">
        <w:t>3</w:t>
      </w:r>
      <w:r w:rsidR="00754AD2" w:rsidRPr="006973D2">
        <w:t>4</w:t>
      </w:r>
      <w:r w:rsidR="00592EAC" w:rsidRPr="006973D2">
        <w:t> </w:t>
      </w:r>
      <w:r w:rsidR="00964124" w:rsidRPr="006973D2">
        <w:t>mil.</w:t>
      </w:r>
      <w:r w:rsidR="00592EAC" w:rsidRPr="006973D2">
        <w:t> </w:t>
      </w:r>
      <w:r w:rsidR="00964124" w:rsidRPr="006973D2">
        <w:t>Kč.</w:t>
      </w:r>
    </w:p>
    <w:p w:rsidR="00964124" w:rsidRPr="006973D2" w:rsidRDefault="006165D3" w:rsidP="00B659E3">
      <w:r w:rsidRPr="006973D2">
        <w:t xml:space="preserve">Tradičně nejvíce dotací (mimo výše zmíněné sociální služby) bylo směřováno na podporu kulturních, sportovních a volnočasových činností. Kraj se významně angažoval i v dalších oblastech jako rozvoj obcí, sociální vyloučení, doprava, památková péče apod. </w:t>
      </w:r>
    </w:p>
    <w:tbl>
      <w:tblPr>
        <w:tblStyle w:val="Svtlstnovnzvraznn1"/>
        <w:tblW w:w="0" w:type="auto"/>
        <w:tblLayout w:type="fixed"/>
        <w:tblLook w:val="04A0" w:firstRow="1" w:lastRow="0" w:firstColumn="1" w:lastColumn="0" w:noHBand="0" w:noVBand="1"/>
      </w:tblPr>
      <w:tblGrid>
        <w:gridCol w:w="5659"/>
        <w:gridCol w:w="1209"/>
        <w:gridCol w:w="1320"/>
      </w:tblGrid>
      <w:tr w:rsidR="00941086" w:rsidRPr="006973D2" w:rsidTr="009562F0">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941086" w:rsidRPr="006973D2" w:rsidRDefault="00941086" w:rsidP="00B45EC1">
            <w:pPr>
              <w:spacing w:after="0"/>
              <w:jc w:val="center"/>
              <w:rPr>
                <w:bCs w:val="0"/>
                <w:color w:val="auto"/>
                <w:sz w:val="20"/>
                <w:szCs w:val="20"/>
              </w:rPr>
            </w:pPr>
            <w:r w:rsidRPr="006973D2">
              <w:rPr>
                <w:bCs w:val="0"/>
                <w:color w:val="auto"/>
                <w:sz w:val="20"/>
                <w:szCs w:val="20"/>
              </w:rPr>
              <w:t xml:space="preserve">Plnění priorit </w:t>
            </w:r>
            <w:r w:rsidR="00E22661" w:rsidRPr="006973D2">
              <w:rPr>
                <w:bCs w:val="0"/>
                <w:color w:val="auto"/>
                <w:sz w:val="20"/>
                <w:szCs w:val="20"/>
              </w:rPr>
              <w:t>SROK</w:t>
            </w:r>
            <w:r w:rsidRPr="006973D2">
              <w:rPr>
                <w:bCs w:val="0"/>
                <w:color w:val="auto"/>
                <w:sz w:val="20"/>
                <w:szCs w:val="20"/>
              </w:rPr>
              <w:t xml:space="preserve"> v roce </w:t>
            </w:r>
            <w:r w:rsidR="00041757" w:rsidRPr="006973D2">
              <w:rPr>
                <w:bCs w:val="0"/>
                <w:color w:val="auto"/>
                <w:sz w:val="20"/>
                <w:szCs w:val="20"/>
              </w:rPr>
              <w:t>2016</w:t>
            </w:r>
            <w:r w:rsidRPr="006973D2">
              <w:rPr>
                <w:bCs w:val="0"/>
                <w:color w:val="auto"/>
                <w:sz w:val="20"/>
                <w:szCs w:val="20"/>
              </w:rPr>
              <w:t>:</w:t>
            </w:r>
          </w:p>
          <w:p w:rsidR="00941086" w:rsidRPr="006973D2" w:rsidRDefault="00941086" w:rsidP="00275908">
            <w:pPr>
              <w:spacing w:after="0"/>
              <w:jc w:val="center"/>
              <w:rPr>
                <w:color w:val="auto"/>
                <w:sz w:val="20"/>
                <w:szCs w:val="20"/>
              </w:rPr>
            </w:pPr>
            <w:r w:rsidRPr="006973D2">
              <w:rPr>
                <w:bCs w:val="0"/>
                <w:color w:val="auto"/>
                <w:sz w:val="20"/>
                <w:szCs w:val="20"/>
              </w:rPr>
              <w:t xml:space="preserve">dotace </w:t>
            </w:r>
            <w:r w:rsidR="00275908" w:rsidRPr="006973D2">
              <w:rPr>
                <w:bCs w:val="0"/>
                <w:color w:val="auto"/>
                <w:sz w:val="20"/>
                <w:szCs w:val="20"/>
              </w:rPr>
              <w:t>jiným subjektům</w:t>
            </w:r>
          </w:p>
        </w:tc>
        <w:tc>
          <w:tcPr>
            <w:tcW w:w="1209" w:type="dxa"/>
            <w:noWrap/>
            <w:vAlign w:val="center"/>
            <w:hideMark/>
          </w:tcPr>
          <w:p w:rsidR="00941086" w:rsidRPr="006973D2" w:rsidRDefault="00941086" w:rsidP="00B45EC1">
            <w:pPr>
              <w:spacing w:after="0"/>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6973D2">
              <w:rPr>
                <w:bCs w:val="0"/>
                <w:color w:val="auto"/>
                <w:sz w:val="20"/>
                <w:szCs w:val="20"/>
              </w:rPr>
              <w:t xml:space="preserve">Počet </w:t>
            </w:r>
            <w:proofErr w:type="spellStart"/>
            <w:r w:rsidRPr="006973D2">
              <w:rPr>
                <w:bCs w:val="0"/>
                <w:color w:val="auto"/>
                <w:sz w:val="20"/>
                <w:szCs w:val="20"/>
              </w:rPr>
              <w:t>podp</w:t>
            </w:r>
            <w:proofErr w:type="spellEnd"/>
            <w:r w:rsidRPr="006973D2">
              <w:rPr>
                <w:bCs w:val="0"/>
                <w:color w:val="auto"/>
                <w:sz w:val="20"/>
                <w:szCs w:val="20"/>
              </w:rPr>
              <w:t>. činností</w:t>
            </w:r>
          </w:p>
        </w:tc>
        <w:tc>
          <w:tcPr>
            <w:tcW w:w="1320" w:type="dxa"/>
            <w:noWrap/>
            <w:vAlign w:val="center"/>
            <w:hideMark/>
          </w:tcPr>
          <w:p w:rsidR="00941086" w:rsidRPr="006973D2" w:rsidRDefault="009562F0" w:rsidP="00B45EC1">
            <w:pPr>
              <w:spacing w:after="0"/>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6973D2">
              <w:rPr>
                <w:color w:val="auto"/>
                <w:sz w:val="20"/>
                <w:szCs w:val="20"/>
              </w:rPr>
              <w:t>Výše dotace OK</w:t>
            </w:r>
            <w:r w:rsidR="00941086" w:rsidRPr="006973D2">
              <w:rPr>
                <w:color w:val="auto"/>
                <w:sz w:val="20"/>
                <w:szCs w:val="20"/>
              </w:rPr>
              <w:t xml:space="preserve"> </w:t>
            </w:r>
            <w:r w:rsidR="00941086" w:rsidRPr="006973D2">
              <w:rPr>
                <w:b w:val="0"/>
                <w:bCs w:val="0"/>
                <w:color w:val="auto"/>
                <w:sz w:val="20"/>
                <w:szCs w:val="20"/>
              </w:rPr>
              <w:br/>
            </w:r>
            <w:r w:rsidR="00941086" w:rsidRPr="006973D2">
              <w:rPr>
                <w:color w:val="auto"/>
                <w:sz w:val="20"/>
                <w:szCs w:val="20"/>
              </w:rPr>
              <w:t>(v tis. Kč)</w:t>
            </w:r>
          </w:p>
        </w:tc>
      </w:tr>
      <w:tr w:rsidR="00D2635F" w:rsidRPr="006973D2" w:rsidTr="009562F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D2635F" w:rsidRPr="006973D2" w:rsidRDefault="00D2635F" w:rsidP="00B45EC1">
            <w:pPr>
              <w:spacing w:after="0"/>
              <w:jc w:val="left"/>
              <w:rPr>
                <w:b w:val="0"/>
                <w:color w:val="auto"/>
                <w:sz w:val="20"/>
                <w:szCs w:val="20"/>
              </w:rPr>
            </w:pPr>
            <w:proofErr w:type="gramStart"/>
            <w:r w:rsidRPr="006973D2">
              <w:rPr>
                <w:b w:val="0"/>
                <w:color w:val="auto"/>
                <w:sz w:val="20"/>
                <w:szCs w:val="20"/>
              </w:rPr>
              <w:t xml:space="preserve">A.1 </w:t>
            </w:r>
            <w:proofErr w:type="spellStart"/>
            <w:r w:rsidRPr="006973D2">
              <w:rPr>
                <w:b w:val="0"/>
                <w:color w:val="auto"/>
                <w:sz w:val="20"/>
                <w:szCs w:val="20"/>
              </w:rPr>
              <w:t>Opt</w:t>
            </w:r>
            <w:proofErr w:type="spellEnd"/>
            <w:proofErr w:type="gramEnd"/>
            <w:r w:rsidRPr="006973D2">
              <w:rPr>
                <w:b w:val="0"/>
                <w:color w:val="auto"/>
                <w:sz w:val="20"/>
                <w:szCs w:val="20"/>
              </w:rPr>
              <w:t>. systému škol a zvyšování kvality vzdělávání</w:t>
            </w:r>
          </w:p>
        </w:tc>
        <w:tc>
          <w:tcPr>
            <w:tcW w:w="1209" w:type="dxa"/>
            <w:noWrap/>
            <w:vAlign w:val="bottom"/>
          </w:tcPr>
          <w:p w:rsidR="00D2635F" w:rsidRPr="006973D2" w:rsidRDefault="00572998" w:rsidP="00D2635F">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6973D2">
              <w:rPr>
                <w:color w:val="auto"/>
                <w:sz w:val="20"/>
                <w:szCs w:val="20"/>
              </w:rPr>
              <w:t>103</w:t>
            </w:r>
          </w:p>
        </w:tc>
        <w:tc>
          <w:tcPr>
            <w:tcW w:w="1320" w:type="dxa"/>
            <w:noWrap/>
            <w:vAlign w:val="bottom"/>
          </w:tcPr>
          <w:p w:rsidR="00D2635F" w:rsidRPr="006973D2" w:rsidRDefault="00572998" w:rsidP="00D2635F">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6973D2">
              <w:rPr>
                <w:color w:val="auto"/>
                <w:sz w:val="20"/>
                <w:szCs w:val="20"/>
              </w:rPr>
              <w:t>11 767</w:t>
            </w:r>
          </w:p>
        </w:tc>
      </w:tr>
      <w:tr w:rsidR="00D2635F" w:rsidRPr="006973D2" w:rsidTr="009562F0">
        <w:trPr>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D2635F" w:rsidRPr="006973D2" w:rsidRDefault="00D2635F" w:rsidP="00B45EC1">
            <w:pPr>
              <w:spacing w:after="0"/>
              <w:jc w:val="left"/>
              <w:rPr>
                <w:b w:val="0"/>
                <w:color w:val="auto"/>
                <w:sz w:val="20"/>
                <w:szCs w:val="20"/>
              </w:rPr>
            </w:pPr>
            <w:proofErr w:type="gramStart"/>
            <w:r w:rsidRPr="006973D2">
              <w:rPr>
                <w:b w:val="0"/>
                <w:color w:val="auto"/>
                <w:sz w:val="20"/>
                <w:szCs w:val="20"/>
              </w:rPr>
              <w:t>A.2 Podpora</w:t>
            </w:r>
            <w:proofErr w:type="gramEnd"/>
            <w:r w:rsidRPr="006973D2">
              <w:rPr>
                <w:b w:val="0"/>
                <w:color w:val="auto"/>
                <w:sz w:val="20"/>
                <w:szCs w:val="20"/>
              </w:rPr>
              <w:t xml:space="preserve"> zaměstnanosti</w:t>
            </w:r>
          </w:p>
        </w:tc>
        <w:tc>
          <w:tcPr>
            <w:tcW w:w="1209" w:type="dxa"/>
            <w:noWrap/>
            <w:vAlign w:val="bottom"/>
          </w:tcPr>
          <w:p w:rsidR="00D2635F" w:rsidRPr="006973D2" w:rsidRDefault="00D2635F" w:rsidP="00572998">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6973D2">
              <w:rPr>
                <w:color w:val="auto"/>
                <w:sz w:val="20"/>
                <w:szCs w:val="20"/>
              </w:rPr>
              <w:t>3</w:t>
            </w:r>
            <w:r w:rsidR="00572998" w:rsidRPr="006973D2">
              <w:rPr>
                <w:color w:val="auto"/>
                <w:sz w:val="20"/>
                <w:szCs w:val="20"/>
              </w:rPr>
              <w:t>7</w:t>
            </w:r>
          </w:p>
        </w:tc>
        <w:tc>
          <w:tcPr>
            <w:tcW w:w="1320" w:type="dxa"/>
            <w:noWrap/>
            <w:vAlign w:val="bottom"/>
          </w:tcPr>
          <w:p w:rsidR="00D2635F" w:rsidRPr="006973D2" w:rsidRDefault="00D2635F" w:rsidP="00572998">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6973D2">
              <w:rPr>
                <w:color w:val="auto"/>
                <w:sz w:val="20"/>
                <w:szCs w:val="20"/>
              </w:rPr>
              <w:t>1</w:t>
            </w:r>
            <w:r w:rsidR="00572998" w:rsidRPr="006973D2">
              <w:rPr>
                <w:color w:val="auto"/>
                <w:sz w:val="20"/>
                <w:szCs w:val="20"/>
              </w:rPr>
              <w:t>6 627</w:t>
            </w:r>
          </w:p>
        </w:tc>
      </w:tr>
      <w:tr w:rsidR="00D2635F" w:rsidRPr="006973D2" w:rsidTr="009562F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D2635F" w:rsidRPr="006973D2" w:rsidRDefault="00D2635F" w:rsidP="00B45EC1">
            <w:pPr>
              <w:spacing w:after="0"/>
              <w:jc w:val="left"/>
              <w:rPr>
                <w:b w:val="0"/>
                <w:color w:val="auto"/>
                <w:sz w:val="20"/>
                <w:szCs w:val="20"/>
              </w:rPr>
            </w:pPr>
            <w:proofErr w:type="gramStart"/>
            <w:r w:rsidRPr="006973D2">
              <w:rPr>
                <w:b w:val="0"/>
                <w:color w:val="auto"/>
                <w:sz w:val="20"/>
                <w:szCs w:val="20"/>
              </w:rPr>
              <w:t>A.3 Podpora</w:t>
            </w:r>
            <w:proofErr w:type="gramEnd"/>
            <w:r w:rsidRPr="006973D2">
              <w:rPr>
                <w:b w:val="0"/>
                <w:color w:val="auto"/>
                <w:sz w:val="20"/>
                <w:szCs w:val="20"/>
              </w:rPr>
              <w:t xml:space="preserve"> rovných příležitostí a prorodinných aktivit</w:t>
            </w:r>
          </w:p>
        </w:tc>
        <w:tc>
          <w:tcPr>
            <w:tcW w:w="1209" w:type="dxa"/>
            <w:noWrap/>
            <w:vAlign w:val="bottom"/>
          </w:tcPr>
          <w:p w:rsidR="00D2635F" w:rsidRPr="006973D2" w:rsidRDefault="00D2635F" w:rsidP="00D2635F">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6973D2">
              <w:rPr>
                <w:color w:val="auto"/>
                <w:sz w:val="20"/>
                <w:szCs w:val="20"/>
              </w:rPr>
              <w:t>0</w:t>
            </w:r>
          </w:p>
        </w:tc>
        <w:tc>
          <w:tcPr>
            <w:tcW w:w="1320" w:type="dxa"/>
            <w:noWrap/>
            <w:vAlign w:val="bottom"/>
          </w:tcPr>
          <w:p w:rsidR="00D2635F" w:rsidRPr="006973D2" w:rsidRDefault="00D2635F" w:rsidP="00D2635F">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6973D2">
              <w:rPr>
                <w:color w:val="auto"/>
                <w:sz w:val="20"/>
                <w:szCs w:val="20"/>
              </w:rPr>
              <w:t>0</w:t>
            </w:r>
          </w:p>
        </w:tc>
      </w:tr>
      <w:tr w:rsidR="009562F0" w:rsidRPr="006973D2" w:rsidTr="00EE2B57">
        <w:trPr>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9562F0" w:rsidRPr="006973D2" w:rsidRDefault="009562F0" w:rsidP="00B45EC1">
            <w:pPr>
              <w:spacing w:after="0"/>
              <w:jc w:val="left"/>
              <w:rPr>
                <w:b w:val="0"/>
                <w:color w:val="auto"/>
                <w:sz w:val="20"/>
                <w:szCs w:val="20"/>
              </w:rPr>
            </w:pPr>
            <w:proofErr w:type="gramStart"/>
            <w:r w:rsidRPr="006973D2">
              <w:rPr>
                <w:b w:val="0"/>
                <w:color w:val="auto"/>
                <w:sz w:val="20"/>
                <w:szCs w:val="20"/>
              </w:rPr>
              <w:t xml:space="preserve">A.4 </w:t>
            </w:r>
            <w:proofErr w:type="spellStart"/>
            <w:r w:rsidRPr="006973D2">
              <w:rPr>
                <w:b w:val="0"/>
                <w:color w:val="auto"/>
                <w:sz w:val="20"/>
                <w:szCs w:val="20"/>
              </w:rPr>
              <w:t>Zlep</w:t>
            </w:r>
            <w:proofErr w:type="spellEnd"/>
            <w:proofErr w:type="gramEnd"/>
            <w:r w:rsidRPr="006973D2">
              <w:rPr>
                <w:b w:val="0"/>
                <w:color w:val="auto"/>
                <w:sz w:val="20"/>
                <w:szCs w:val="20"/>
              </w:rPr>
              <w:t>. podmínek pro kult., sport. a volnočasové aktivity</w:t>
            </w:r>
          </w:p>
        </w:tc>
        <w:tc>
          <w:tcPr>
            <w:tcW w:w="1209" w:type="dxa"/>
            <w:noWrap/>
            <w:vAlign w:val="bottom"/>
          </w:tcPr>
          <w:p w:rsidR="009562F0" w:rsidRPr="006973D2" w:rsidRDefault="009562F0" w:rsidP="00AA1F6C">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6973D2">
              <w:rPr>
                <w:color w:val="auto"/>
                <w:sz w:val="20"/>
                <w:szCs w:val="20"/>
              </w:rPr>
              <w:t>1</w:t>
            </w:r>
            <w:r w:rsidR="00572998" w:rsidRPr="006973D2">
              <w:rPr>
                <w:color w:val="auto"/>
                <w:sz w:val="20"/>
                <w:szCs w:val="20"/>
              </w:rPr>
              <w:t> 1</w:t>
            </w:r>
            <w:r w:rsidR="00AA1F6C">
              <w:rPr>
                <w:color w:val="auto"/>
                <w:sz w:val="20"/>
                <w:szCs w:val="20"/>
              </w:rPr>
              <w:t>83</w:t>
            </w:r>
          </w:p>
        </w:tc>
        <w:tc>
          <w:tcPr>
            <w:tcW w:w="1320" w:type="dxa"/>
            <w:noWrap/>
            <w:vAlign w:val="bottom"/>
          </w:tcPr>
          <w:p w:rsidR="009562F0" w:rsidRPr="006973D2" w:rsidRDefault="00AA1F6C" w:rsidP="00AA1F6C">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210</w:t>
            </w:r>
            <w:r w:rsidR="00572998" w:rsidRPr="006973D2">
              <w:rPr>
                <w:color w:val="auto"/>
                <w:sz w:val="20"/>
                <w:szCs w:val="20"/>
              </w:rPr>
              <w:t xml:space="preserve"> </w:t>
            </w:r>
            <w:r>
              <w:rPr>
                <w:color w:val="auto"/>
                <w:sz w:val="20"/>
                <w:szCs w:val="20"/>
              </w:rPr>
              <w:t>97</w:t>
            </w:r>
            <w:r w:rsidR="00572998" w:rsidRPr="006973D2">
              <w:rPr>
                <w:color w:val="auto"/>
                <w:sz w:val="20"/>
                <w:szCs w:val="20"/>
              </w:rPr>
              <w:t>4</w:t>
            </w:r>
          </w:p>
        </w:tc>
      </w:tr>
      <w:tr w:rsidR="009562F0" w:rsidRPr="006973D2" w:rsidTr="00EE2B5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9562F0" w:rsidRPr="006973D2" w:rsidRDefault="009562F0" w:rsidP="00B45EC1">
            <w:pPr>
              <w:spacing w:after="0"/>
              <w:jc w:val="left"/>
              <w:rPr>
                <w:b w:val="0"/>
                <w:color w:val="auto"/>
                <w:sz w:val="20"/>
                <w:szCs w:val="20"/>
              </w:rPr>
            </w:pPr>
            <w:proofErr w:type="gramStart"/>
            <w:r w:rsidRPr="006973D2">
              <w:rPr>
                <w:b w:val="0"/>
                <w:color w:val="auto"/>
                <w:sz w:val="20"/>
                <w:szCs w:val="20"/>
              </w:rPr>
              <w:t>A.5 Péče</w:t>
            </w:r>
            <w:proofErr w:type="gramEnd"/>
            <w:r w:rsidRPr="006973D2">
              <w:rPr>
                <w:b w:val="0"/>
                <w:color w:val="auto"/>
                <w:sz w:val="20"/>
                <w:szCs w:val="20"/>
              </w:rPr>
              <w:t xml:space="preserve"> o kulturní dědictví</w:t>
            </w:r>
          </w:p>
        </w:tc>
        <w:tc>
          <w:tcPr>
            <w:tcW w:w="1209" w:type="dxa"/>
            <w:noWrap/>
            <w:vAlign w:val="bottom"/>
          </w:tcPr>
          <w:p w:rsidR="009562F0" w:rsidRPr="006973D2" w:rsidRDefault="00572998" w:rsidP="00AA1F6C">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6973D2">
              <w:rPr>
                <w:color w:val="auto"/>
                <w:sz w:val="20"/>
                <w:szCs w:val="20"/>
              </w:rPr>
              <w:t>7</w:t>
            </w:r>
            <w:r w:rsidR="00AA1F6C">
              <w:rPr>
                <w:color w:val="auto"/>
                <w:sz w:val="20"/>
                <w:szCs w:val="20"/>
              </w:rPr>
              <w:t>6</w:t>
            </w:r>
          </w:p>
        </w:tc>
        <w:tc>
          <w:tcPr>
            <w:tcW w:w="1320" w:type="dxa"/>
            <w:noWrap/>
            <w:vAlign w:val="bottom"/>
          </w:tcPr>
          <w:p w:rsidR="009562F0" w:rsidRPr="006973D2" w:rsidRDefault="00AA1F6C" w:rsidP="009562F0">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40 274</w:t>
            </w:r>
          </w:p>
        </w:tc>
      </w:tr>
      <w:tr w:rsidR="009562F0" w:rsidRPr="006973D2" w:rsidTr="00EE2B57">
        <w:trPr>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9562F0" w:rsidRPr="006973D2" w:rsidRDefault="009562F0" w:rsidP="00B45EC1">
            <w:pPr>
              <w:spacing w:after="0"/>
              <w:jc w:val="left"/>
              <w:rPr>
                <w:b w:val="0"/>
                <w:color w:val="auto"/>
                <w:sz w:val="20"/>
                <w:szCs w:val="20"/>
              </w:rPr>
            </w:pPr>
            <w:proofErr w:type="gramStart"/>
            <w:r w:rsidRPr="006973D2">
              <w:rPr>
                <w:b w:val="0"/>
                <w:color w:val="auto"/>
                <w:sz w:val="20"/>
                <w:szCs w:val="20"/>
              </w:rPr>
              <w:t>B.1 Optimalizace</w:t>
            </w:r>
            <w:proofErr w:type="gramEnd"/>
            <w:r w:rsidRPr="006973D2">
              <w:rPr>
                <w:b w:val="0"/>
                <w:color w:val="auto"/>
                <w:sz w:val="20"/>
                <w:szCs w:val="20"/>
              </w:rPr>
              <w:t xml:space="preserve"> systému zajišťování zdravotní péče</w:t>
            </w:r>
          </w:p>
        </w:tc>
        <w:tc>
          <w:tcPr>
            <w:tcW w:w="1209" w:type="dxa"/>
            <w:noWrap/>
            <w:vAlign w:val="bottom"/>
          </w:tcPr>
          <w:p w:rsidR="009562F0" w:rsidRPr="006973D2" w:rsidRDefault="00572998" w:rsidP="009562F0">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6973D2">
              <w:rPr>
                <w:color w:val="auto"/>
                <w:sz w:val="20"/>
                <w:szCs w:val="20"/>
              </w:rPr>
              <w:t>73</w:t>
            </w:r>
          </w:p>
        </w:tc>
        <w:tc>
          <w:tcPr>
            <w:tcW w:w="1320" w:type="dxa"/>
            <w:noWrap/>
            <w:vAlign w:val="bottom"/>
          </w:tcPr>
          <w:p w:rsidR="009562F0" w:rsidRPr="006973D2" w:rsidRDefault="00572998" w:rsidP="009562F0">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6973D2">
              <w:rPr>
                <w:color w:val="auto"/>
                <w:sz w:val="20"/>
                <w:szCs w:val="20"/>
              </w:rPr>
              <w:t>24 893</w:t>
            </w:r>
          </w:p>
        </w:tc>
      </w:tr>
      <w:tr w:rsidR="009562F0" w:rsidRPr="006973D2" w:rsidTr="00EE2B5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9562F0" w:rsidRPr="006973D2" w:rsidRDefault="009562F0" w:rsidP="00B45EC1">
            <w:pPr>
              <w:spacing w:after="0"/>
              <w:jc w:val="left"/>
              <w:rPr>
                <w:b w:val="0"/>
                <w:color w:val="auto"/>
                <w:sz w:val="20"/>
                <w:szCs w:val="20"/>
              </w:rPr>
            </w:pPr>
            <w:proofErr w:type="gramStart"/>
            <w:r w:rsidRPr="006973D2">
              <w:rPr>
                <w:b w:val="0"/>
                <w:color w:val="auto"/>
                <w:sz w:val="20"/>
                <w:szCs w:val="20"/>
              </w:rPr>
              <w:t>B.2 Zkvalitňování</w:t>
            </w:r>
            <w:proofErr w:type="gramEnd"/>
            <w:r w:rsidRPr="006973D2">
              <w:rPr>
                <w:b w:val="0"/>
                <w:color w:val="auto"/>
                <w:sz w:val="20"/>
                <w:szCs w:val="20"/>
              </w:rPr>
              <w:t xml:space="preserve"> a rozvoj sítě sociálních služeb</w:t>
            </w:r>
          </w:p>
        </w:tc>
        <w:tc>
          <w:tcPr>
            <w:tcW w:w="1209" w:type="dxa"/>
            <w:noWrap/>
            <w:vAlign w:val="bottom"/>
          </w:tcPr>
          <w:p w:rsidR="009562F0" w:rsidRPr="006973D2" w:rsidRDefault="009562F0" w:rsidP="00572998">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6973D2">
              <w:rPr>
                <w:color w:val="auto"/>
                <w:sz w:val="20"/>
                <w:szCs w:val="20"/>
              </w:rPr>
              <w:t>15</w:t>
            </w:r>
            <w:r w:rsidR="00572998" w:rsidRPr="006973D2">
              <w:rPr>
                <w:color w:val="auto"/>
                <w:sz w:val="20"/>
                <w:szCs w:val="20"/>
              </w:rPr>
              <w:t>1</w:t>
            </w:r>
          </w:p>
        </w:tc>
        <w:tc>
          <w:tcPr>
            <w:tcW w:w="1320" w:type="dxa"/>
            <w:noWrap/>
            <w:vAlign w:val="bottom"/>
          </w:tcPr>
          <w:p w:rsidR="009562F0" w:rsidRPr="006973D2" w:rsidRDefault="00572998" w:rsidP="00572998">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6973D2">
              <w:rPr>
                <w:color w:val="auto"/>
                <w:sz w:val="20"/>
                <w:szCs w:val="20"/>
              </w:rPr>
              <w:t>853 667</w:t>
            </w:r>
          </w:p>
        </w:tc>
      </w:tr>
      <w:tr w:rsidR="009562F0" w:rsidRPr="006973D2" w:rsidTr="00EE2B57">
        <w:trPr>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9562F0" w:rsidRPr="006973D2" w:rsidRDefault="009562F0" w:rsidP="00B45EC1">
            <w:pPr>
              <w:spacing w:after="0"/>
              <w:jc w:val="left"/>
              <w:rPr>
                <w:b w:val="0"/>
                <w:color w:val="auto"/>
                <w:sz w:val="20"/>
                <w:szCs w:val="20"/>
              </w:rPr>
            </w:pPr>
            <w:proofErr w:type="gramStart"/>
            <w:r w:rsidRPr="006973D2">
              <w:rPr>
                <w:b w:val="0"/>
                <w:color w:val="auto"/>
                <w:sz w:val="20"/>
                <w:szCs w:val="20"/>
              </w:rPr>
              <w:t>B.3 Zmírňování</w:t>
            </w:r>
            <w:proofErr w:type="gramEnd"/>
            <w:r w:rsidRPr="006973D2">
              <w:rPr>
                <w:b w:val="0"/>
                <w:color w:val="auto"/>
                <w:sz w:val="20"/>
                <w:szCs w:val="20"/>
              </w:rPr>
              <w:t xml:space="preserve"> sociálního vyloučení</w:t>
            </w:r>
          </w:p>
        </w:tc>
        <w:tc>
          <w:tcPr>
            <w:tcW w:w="1209" w:type="dxa"/>
            <w:noWrap/>
            <w:vAlign w:val="bottom"/>
          </w:tcPr>
          <w:p w:rsidR="009562F0" w:rsidRPr="006973D2" w:rsidRDefault="006973D2" w:rsidP="009562F0">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6973D2">
              <w:rPr>
                <w:color w:val="auto"/>
                <w:sz w:val="20"/>
                <w:szCs w:val="20"/>
              </w:rPr>
              <w:t>107</w:t>
            </w:r>
          </w:p>
        </w:tc>
        <w:tc>
          <w:tcPr>
            <w:tcW w:w="1320" w:type="dxa"/>
            <w:noWrap/>
            <w:vAlign w:val="bottom"/>
          </w:tcPr>
          <w:p w:rsidR="009562F0" w:rsidRPr="006973D2" w:rsidRDefault="006973D2" w:rsidP="009562F0">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6973D2">
              <w:rPr>
                <w:color w:val="auto"/>
                <w:sz w:val="20"/>
                <w:szCs w:val="20"/>
              </w:rPr>
              <w:t>7 089</w:t>
            </w:r>
          </w:p>
        </w:tc>
      </w:tr>
      <w:tr w:rsidR="009562F0" w:rsidRPr="006973D2" w:rsidTr="00EE2B5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9562F0" w:rsidRPr="006973D2" w:rsidRDefault="009562F0" w:rsidP="00B45EC1">
            <w:pPr>
              <w:spacing w:after="0"/>
              <w:jc w:val="left"/>
              <w:rPr>
                <w:b w:val="0"/>
                <w:color w:val="auto"/>
                <w:sz w:val="20"/>
                <w:szCs w:val="20"/>
              </w:rPr>
            </w:pPr>
            <w:proofErr w:type="gramStart"/>
            <w:r w:rsidRPr="006973D2">
              <w:rPr>
                <w:b w:val="0"/>
                <w:color w:val="auto"/>
                <w:sz w:val="20"/>
                <w:szCs w:val="20"/>
              </w:rPr>
              <w:t>B.4 Podpora</w:t>
            </w:r>
            <w:proofErr w:type="gramEnd"/>
            <w:r w:rsidRPr="006973D2">
              <w:rPr>
                <w:b w:val="0"/>
                <w:color w:val="auto"/>
                <w:sz w:val="20"/>
                <w:szCs w:val="20"/>
              </w:rPr>
              <w:t xml:space="preserve"> dalších veřejných služeb</w:t>
            </w:r>
          </w:p>
        </w:tc>
        <w:tc>
          <w:tcPr>
            <w:tcW w:w="1209" w:type="dxa"/>
            <w:noWrap/>
            <w:vAlign w:val="bottom"/>
          </w:tcPr>
          <w:p w:rsidR="009562F0" w:rsidRPr="006973D2" w:rsidRDefault="009562F0" w:rsidP="006973D2">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6973D2">
              <w:rPr>
                <w:color w:val="auto"/>
                <w:sz w:val="20"/>
                <w:szCs w:val="20"/>
              </w:rPr>
              <w:t>1</w:t>
            </w:r>
            <w:r w:rsidR="006973D2" w:rsidRPr="006973D2">
              <w:rPr>
                <w:color w:val="auto"/>
                <w:sz w:val="20"/>
                <w:szCs w:val="20"/>
              </w:rPr>
              <w:t>20</w:t>
            </w:r>
          </w:p>
        </w:tc>
        <w:tc>
          <w:tcPr>
            <w:tcW w:w="1320" w:type="dxa"/>
            <w:noWrap/>
            <w:vAlign w:val="bottom"/>
          </w:tcPr>
          <w:p w:rsidR="009562F0" w:rsidRPr="006973D2" w:rsidRDefault="006973D2" w:rsidP="009562F0">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6973D2">
              <w:rPr>
                <w:color w:val="auto"/>
                <w:sz w:val="20"/>
                <w:szCs w:val="20"/>
              </w:rPr>
              <w:t>32 244</w:t>
            </w:r>
          </w:p>
        </w:tc>
      </w:tr>
      <w:tr w:rsidR="009562F0" w:rsidRPr="006973D2" w:rsidTr="00EE2B57">
        <w:trPr>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9562F0" w:rsidRPr="006973D2" w:rsidRDefault="009562F0" w:rsidP="00B45EC1">
            <w:pPr>
              <w:spacing w:after="0"/>
              <w:jc w:val="left"/>
              <w:rPr>
                <w:b w:val="0"/>
                <w:color w:val="auto"/>
                <w:sz w:val="20"/>
                <w:szCs w:val="20"/>
              </w:rPr>
            </w:pPr>
            <w:proofErr w:type="gramStart"/>
            <w:r w:rsidRPr="006973D2">
              <w:rPr>
                <w:b w:val="0"/>
                <w:color w:val="auto"/>
                <w:sz w:val="20"/>
                <w:szCs w:val="20"/>
              </w:rPr>
              <w:t>C.1 Zlepšování</w:t>
            </w:r>
            <w:proofErr w:type="gramEnd"/>
            <w:r w:rsidRPr="006973D2">
              <w:rPr>
                <w:b w:val="0"/>
                <w:color w:val="auto"/>
                <w:sz w:val="20"/>
                <w:szCs w:val="20"/>
              </w:rPr>
              <w:t xml:space="preserve"> podmínek pro podnikání</w:t>
            </w:r>
          </w:p>
        </w:tc>
        <w:tc>
          <w:tcPr>
            <w:tcW w:w="1209" w:type="dxa"/>
            <w:noWrap/>
            <w:vAlign w:val="bottom"/>
          </w:tcPr>
          <w:p w:rsidR="009562F0" w:rsidRPr="006973D2" w:rsidRDefault="009562F0" w:rsidP="006973D2">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6973D2">
              <w:rPr>
                <w:color w:val="auto"/>
                <w:sz w:val="20"/>
                <w:szCs w:val="20"/>
              </w:rPr>
              <w:t>1</w:t>
            </w:r>
            <w:r w:rsidR="006973D2" w:rsidRPr="006973D2">
              <w:rPr>
                <w:color w:val="auto"/>
                <w:sz w:val="20"/>
                <w:szCs w:val="20"/>
              </w:rPr>
              <w:t>6</w:t>
            </w:r>
          </w:p>
        </w:tc>
        <w:tc>
          <w:tcPr>
            <w:tcW w:w="1320" w:type="dxa"/>
            <w:noWrap/>
            <w:vAlign w:val="bottom"/>
          </w:tcPr>
          <w:p w:rsidR="009562F0" w:rsidRPr="006973D2" w:rsidRDefault="009562F0" w:rsidP="006973D2">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6973D2">
              <w:rPr>
                <w:color w:val="auto"/>
                <w:sz w:val="20"/>
                <w:szCs w:val="20"/>
              </w:rPr>
              <w:t>1</w:t>
            </w:r>
            <w:r w:rsidR="006973D2" w:rsidRPr="006973D2">
              <w:rPr>
                <w:color w:val="auto"/>
                <w:sz w:val="20"/>
                <w:szCs w:val="20"/>
              </w:rPr>
              <w:t xml:space="preserve"> 279</w:t>
            </w:r>
          </w:p>
        </w:tc>
      </w:tr>
      <w:tr w:rsidR="009562F0" w:rsidRPr="006973D2" w:rsidTr="00EE2B5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9562F0" w:rsidRPr="006973D2" w:rsidRDefault="009562F0" w:rsidP="00B45EC1">
            <w:pPr>
              <w:spacing w:after="0"/>
              <w:jc w:val="left"/>
              <w:rPr>
                <w:b w:val="0"/>
                <w:color w:val="auto"/>
                <w:sz w:val="20"/>
                <w:szCs w:val="20"/>
              </w:rPr>
            </w:pPr>
            <w:proofErr w:type="gramStart"/>
            <w:r w:rsidRPr="006973D2">
              <w:rPr>
                <w:b w:val="0"/>
                <w:color w:val="auto"/>
                <w:sz w:val="20"/>
                <w:szCs w:val="20"/>
              </w:rPr>
              <w:t>C.2 Podpora</w:t>
            </w:r>
            <w:proofErr w:type="gramEnd"/>
            <w:r w:rsidRPr="006973D2">
              <w:rPr>
                <w:b w:val="0"/>
                <w:color w:val="auto"/>
                <w:sz w:val="20"/>
                <w:szCs w:val="20"/>
              </w:rPr>
              <w:t xml:space="preserve"> znalostní ekonomiky</w:t>
            </w:r>
          </w:p>
        </w:tc>
        <w:tc>
          <w:tcPr>
            <w:tcW w:w="1209" w:type="dxa"/>
            <w:noWrap/>
            <w:vAlign w:val="bottom"/>
          </w:tcPr>
          <w:p w:rsidR="009562F0" w:rsidRPr="006973D2" w:rsidRDefault="006973D2" w:rsidP="009562F0">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6973D2">
              <w:rPr>
                <w:color w:val="auto"/>
                <w:sz w:val="20"/>
                <w:szCs w:val="20"/>
              </w:rPr>
              <w:t>1</w:t>
            </w:r>
          </w:p>
        </w:tc>
        <w:tc>
          <w:tcPr>
            <w:tcW w:w="1320" w:type="dxa"/>
            <w:noWrap/>
            <w:vAlign w:val="bottom"/>
          </w:tcPr>
          <w:p w:rsidR="009562F0" w:rsidRPr="006973D2" w:rsidRDefault="006973D2" w:rsidP="009562F0">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6973D2">
              <w:rPr>
                <w:color w:val="auto"/>
                <w:sz w:val="20"/>
                <w:szCs w:val="20"/>
              </w:rPr>
              <w:t>3</w:t>
            </w:r>
            <w:r w:rsidR="009562F0" w:rsidRPr="006973D2">
              <w:rPr>
                <w:color w:val="auto"/>
                <w:sz w:val="20"/>
                <w:szCs w:val="20"/>
              </w:rPr>
              <w:t>00</w:t>
            </w:r>
          </w:p>
        </w:tc>
      </w:tr>
      <w:tr w:rsidR="009562F0" w:rsidRPr="006973D2" w:rsidTr="00EE2B57">
        <w:trPr>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9562F0" w:rsidRPr="006973D2" w:rsidRDefault="009562F0" w:rsidP="00B45EC1">
            <w:pPr>
              <w:spacing w:after="0"/>
              <w:jc w:val="left"/>
              <w:rPr>
                <w:b w:val="0"/>
                <w:color w:val="auto"/>
                <w:sz w:val="20"/>
                <w:szCs w:val="20"/>
              </w:rPr>
            </w:pPr>
            <w:proofErr w:type="gramStart"/>
            <w:r w:rsidRPr="006973D2">
              <w:rPr>
                <w:b w:val="0"/>
                <w:color w:val="auto"/>
                <w:sz w:val="20"/>
                <w:szCs w:val="20"/>
              </w:rPr>
              <w:t>C.3 Rozvoj</w:t>
            </w:r>
            <w:proofErr w:type="gramEnd"/>
            <w:r w:rsidRPr="006973D2">
              <w:rPr>
                <w:b w:val="0"/>
                <w:color w:val="auto"/>
                <w:sz w:val="20"/>
                <w:szCs w:val="20"/>
              </w:rPr>
              <w:t xml:space="preserve"> cestovního ruchu</w:t>
            </w:r>
          </w:p>
        </w:tc>
        <w:tc>
          <w:tcPr>
            <w:tcW w:w="1209" w:type="dxa"/>
            <w:noWrap/>
            <w:vAlign w:val="bottom"/>
          </w:tcPr>
          <w:p w:rsidR="009562F0" w:rsidRPr="006973D2" w:rsidRDefault="006973D2" w:rsidP="009562F0">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6973D2">
              <w:rPr>
                <w:color w:val="auto"/>
                <w:sz w:val="20"/>
                <w:szCs w:val="20"/>
              </w:rPr>
              <w:t>92</w:t>
            </w:r>
          </w:p>
        </w:tc>
        <w:tc>
          <w:tcPr>
            <w:tcW w:w="1320" w:type="dxa"/>
            <w:noWrap/>
            <w:vAlign w:val="bottom"/>
          </w:tcPr>
          <w:p w:rsidR="009562F0" w:rsidRPr="006973D2" w:rsidRDefault="009562F0" w:rsidP="006973D2">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6973D2">
              <w:rPr>
                <w:color w:val="auto"/>
                <w:sz w:val="20"/>
                <w:szCs w:val="20"/>
              </w:rPr>
              <w:t>1</w:t>
            </w:r>
            <w:r w:rsidR="006973D2" w:rsidRPr="006973D2">
              <w:rPr>
                <w:color w:val="auto"/>
                <w:sz w:val="20"/>
                <w:szCs w:val="20"/>
              </w:rPr>
              <w:t>9 596</w:t>
            </w:r>
          </w:p>
        </w:tc>
      </w:tr>
      <w:tr w:rsidR="009562F0" w:rsidRPr="006973D2" w:rsidTr="00EE2B5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9562F0" w:rsidRPr="006973D2" w:rsidRDefault="009562F0" w:rsidP="00B45EC1">
            <w:pPr>
              <w:spacing w:after="0"/>
              <w:jc w:val="left"/>
              <w:rPr>
                <w:b w:val="0"/>
                <w:color w:val="auto"/>
                <w:sz w:val="20"/>
                <w:szCs w:val="20"/>
              </w:rPr>
            </w:pPr>
            <w:proofErr w:type="gramStart"/>
            <w:r w:rsidRPr="006973D2">
              <w:rPr>
                <w:b w:val="0"/>
                <w:color w:val="auto"/>
                <w:sz w:val="20"/>
                <w:szCs w:val="20"/>
              </w:rPr>
              <w:t>D.1 Dobudování</w:t>
            </w:r>
            <w:proofErr w:type="gramEnd"/>
            <w:r w:rsidRPr="006973D2">
              <w:rPr>
                <w:b w:val="0"/>
                <w:color w:val="auto"/>
                <w:sz w:val="20"/>
                <w:szCs w:val="20"/>
              </w:rPr>
              <w:t xml:space="preserve"> a modernizace silniční infrastruktury</w:t>
            </w:r>
          </w:p>
        </w:tc>
        <w:tc>
          <w:tcPr>
            <w:tcW w:w="1209" w:type="dxa"/>
            <w:noWrap/>
            <w:vAlign w:val="bottom"/>
          </w:tcPr>
          <w:p w:rsidR="009562F0" w:rsidRPr="006973D2" w:rsidRDefault="009562F0" w:rsidP="006973D2">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6973D2">
              <w:rPr>
                <w:color w:val="auto"/>
                <w:sz w:val="20"/>
                <w:szCs w:val="20"/>
              </w:rPr>
              <w:t>1</w:t>
            </w:r>
            <w:r w:rsidR="006973D2" w:rsidRPr="006973D2">
              <w:rPr>
                <w:color w:val="auto"/>
                <w:sz w:val="20"/>
                <w:szCs w:val="20"/>
              </w:rPr>
              <w:t>4</w:t>
            </w:r>
          </w:p>
        </w:tc>
        <w:tc>
          <w:tcPr>
            <w:tcW w:w="1320" w:type="dxa"/>
            <w:noWrap/>
            <w:vAlign w:val="bottom"/>
          </w:tcPr>
          <w:p w:rsidR="009562F0" w:rsidRPr="006973D2" w:rsidRDefault="006973D2" w:rsidP="009562F0">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6973D2">
              <w:rPr>
                <w:color w:val="auto"/>
                <w:sz w:val="20"/>
                <w:szCs w:val="20"/>
              </w:rPr>
              <w:t>4 927</w:t>
            </w:r>
          </w:p>
        </w:tc>
      </w:tr>
      <w:tr w:rsidR="00941086" w:rsidRPr="006973D2" w:rsidTr="009562F0">
        <w:trPr>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941086" w:rsidRPr="006973D2" w:rsidRDefault="00941086" w:rsidP="00B45EC1">
            <w:pPr>
              <w:spacing w:after="0"/>
              <w:jc w:val="left"/>
              <w:rPr>
                <w:b w:val="0"/>
                <w:color w:val="auto"/>
                <w:sz w:val="20"/>
                <w:szCs w:val="20"/>
              </w:rPr>
            </w:pPr>
            <w:proofErr w:type="gramStart"/>
            <w:r w:rsidRPr="006973D2">
              <w:rPr>
                <w:b w:val="0"/>
                <w:color w:val="auto"/>
                <w:sz w:val="20"/>
                <w:szCs w:val="20"/>
              </w:rPr>
              <w:t>D.2 Modernizace</w:t>
            </w:r>
            <w:proofErr w:type="gramEnd"/>
            <w:r w:rsidRPr="006973D2">
              <w:rPr>
                <w:b w:val="0"/>
                <w:color w:val="auto"/>
                <w:sz w:val="20"/>
                <w:szCs w:val="20"/>
              </w:rPr>
              <w:t xml:space="preserve"> železničních tratí</w:t>
            </w:r>
          </w:p>
        </w:tc>
        <w:tc>
          <w:tcPr>
            <w:tcW w:w="1209" w:type="dxa"/>
            <w:noWrap/>
            <w:vAlign w:val="center"/>
          </w:tcPr>
          <w:p w:rsidR="00941086" w:rsidRPr="006973D2" w:rsidRDefault="001D61F9" w:rsidP="001D61F9">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6973D2">
              <w:rPr>
                <w:color w:val="auto"/>
                <w:sz w:val="20"/>
                <w:szCs w:val="20"/>
              </w:rPr>
              <w:t>0</w:t>
            </w:r>
          </w:p>
        </w:tc>
        <w:tc>
          <w:tcPr>
            <w:tcW w:w="1320" w:type="dxa"/>
            <w:noWrap/>
            <w:vAlign w:val="center"/>
          </w:tcPr>
          <w:p w:rsidR="00941086" w:rsidRPr="006973D2" w:rsidRDefault="001D61F9" w:rsidP="001D61F9">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6973D2">
              <w:rPr>
                <w:color w:val="auto"/>
                <w:sz w:val="20"/>
                <w:szCs w:val="20"/>
              </w:rPr>
              <w:t>0</w:t>
            </w:r>
          </w:p>
        </w:tc>
      </w:tr>
      <w:tr w:rsidR="009562F0" w:rsidRPr="006973D2" w:rsidTr="00EE2B5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9562F0" w:rsidRPr="006973D2" w:rsidRDefault="009562F0" w:rsidP="00B45EC1">
            <w:pPr>
              <w:spacing w:after="0"/>
              <w:jc w:val="left"/>
              <w:rPr>
                <w:b w:val="0"/>
                <w:color w:val="auto"/>
                <w:sz w:val="20"/>
                <w:szCs w:val="20"/>
              </w:rPr>
            </w:pPr>
            <w:proofErr w:type="gramStart"/>
            <w:r w:rsidRPr="006973D2">
              <w:rPr>
                <w:b w:val="0"/>
                <w:color w:val="auto"/>
                <w:sz w:val="20"/>
                <w:szCs w:val="20"/>
              </w:rPr>
              <w:t>D.3 Zkvalitnění</w:t>
            </w:r>
            <w:proofErr w:type="gramEnd"/>
            <w:r w:rsidRPr="006973D2">
              <w:rPr>
                <w:b w:val="0"/>
                <w:color w:val="auto"/>
                <w:sz w:val="20"/>
                <w:szCs w:val="20"/>
              </w:rPr>
              <w:t xml:space="preserve"> dopravní obslužnosti území</w:t>
            </w:r>
          </w:p>
        </w:tc>
        <w:tc>
          <w:tcPr>
            <w:tcW w:w="1209" w:type="dxa"/>
            <w:noWrap/>
            <w:vAlign w:val="bottom"/>
          </w:tcPr>
          <w:p w:rsidR="009562F0" w:rsidRPr="006973D2" w:rsidRDefault="006973D2" w:rsidP="009562F0">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6973D2">
              <w:rPr>
                <w:color w:val="auto"/>
                <w:sz w:val="20"/>
                <w:szCs w:val="20"/>
              </w:rPr>
              <w:t>0</w:t>
            </w:r>
          </w:p>
        </w:tc>
        <w:tc>
          <w:tcPr>
            <w:tcW w:w="1320" w:type="dxa"/>
            <w:noWrap/>
            <w:vAlign w:val="bottom"/>
          </w:tcPr>
          <w:p w:rsidR="009562F0" w:rsidRPr="006973D2" w:rsidRDefault="009562F0" w:rsidP="009562F0">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6973D2">
              <w:rPr>
                <w:color w:val="auto"/>
                <w:sz w:val="20"/>
                <w:szCs w:val="20"/>
              </w:rPr>
              <w:t>0</w:t>
            </w:r>
          </w:p>
        </w:tc>
      </w:tr>
      <w:tr w:rsidR="009562F0" w:rsidRPr="003F3C75" w:rsidTr="00EE2B57">
        <w:trPr>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9562F0" w:rsidRPr="006973D2" w:rsidRDefault="009562F0" w:rsidP="00B45EC1">
            <w:pPr>
              <w:spacing w:after="0"/>
              <w:jc w:val="left"/>
              <w:rPr>
                <w:b w:val="0"/>
                <w:color w:val="auto"/>
                <w:sz w:val="20"/>
                <w:szCs w:val="20"/>
              </w:rPr>
            </w:pPr>
            <w:proofErr w:type="gramStart"/>
            <w:r w:rsidRPr="006973D2">
              <w:rPr>
                <w:b w:val="0"/>
                <w:color w:val="auto"/>
                <w:sz w:val="20"/>
                <w:szCs w:val="20"/>
              </w:rPr>
              <w:t>D.4 Zlepšování</w:t>
            </w:r>
            <w:proofErr w:type="gramEnd"/>
            <w:r w:rsidRPr="006973D2">
              <w:rPr>
                <w:b w:val="0"/>
                <w:color w:val="auto"/>
                <w:sz w:val="20"/>
                <w:szCs w:val="20"/>
              </w:rPr>
              <w:t xml:space="preserve"> podmínek pro nemotorovou dopravu</w:t>
            </w:r>
          </w:p>
        </w:tc>
        <w:tc>
          <w:tcPr>
            <w:tcW w:w="1209" w:type="dxa"/>
            <w:noWrap/>
            <w:vAlign w:val="bottom"/>
          </w:tcPr>
          <w:p w:rsidR="009562F0" w:rsidRPr="006973D2" w:rsidRDefault="006973D2" w:rsidP="006973D2">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6973D2">
              <w:rPr>
                <w:color w:val="auto"/>
                <w:sz w:val="20"/>
                <w:szCs w:val="20"/>
              </w:rPr>
              <w:t>9</w:t>
            </w:r>
          </w:p>
        </w:tc>
        <w:tc>
          <w:tcPr>
            <w:tcW w:w="1320" w:type="dxa"/>
            <w:noWrap/>
            <w:vAlign w:val="bottom"/>
          </w:tcPr>
          <w:p w:rsidR="009562F0" w:rsidRPr="009562F0" w:rsidRDefault="009562F0" w:rsidP="006973D2">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6973D2">
              <w:rPr>
                <w:color w:val="auto"/>
                <w:sz w:val="20"/>
                <w:szCs w:val="20"/>
              </w:rPr>
              <w:t>1</w:t>
            </w:r>
            <w:r w:rsidR="006973D2" w:rsidRPr="006973D2">
              <w:rPr>
                <w:color w:val="auto"/>
                <w:sz w:val="20"/>
                <w:szCs w:val="20"/>
              </w:rPr>
              <w:t>1 378</w:t>
            </w:r>
          </w:p>
        </w:tc>
      </w:tr>
      <w:tr w:rsidR="009562F0" w:rsidRPr="003F3C75" w:rsidTr="00EE2B5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9562F0" w:rsidRPr="003F3C75" w:rsidRDefault="009562F0" w:rsidP="00B45EC1">
            <w:pPr>
              <w:spacing w:after="0"/>
              <w:jc w:val="left"/>
              <w:rPr>
                <w:b w:val="0"/>
                <w:color w:val="auto"/>
                <w:sz w:val="20"/>
                <w:szCs w:val="20"/>
              </w:rPr>
            </w:pPr>
            <w:proofErr w:type="gramStart"/>
            <w:r w:rsidRPr="003F3C75">
              <w:rPr>
                <w:b w:val="0"/>
                <w:color w:val="auto"/>
                <w:sz w:val="20"/>
                <w:szCs w:val="20"/>
              </w:rPr>
              <w:t>E.1 Snižování</w:t>
            </w:r>
            <w:proofErr w:type="gramEnd"/>
            <w:r w:rsidRPr="003F3C75">
              <w:rPr>
                <w:b w:val="0"/>
                <w:color w:val="auto"/>
                <w:sz w:val="20"/>
                <w:szCs w:val="20"/>
              </w:rPr>
              <w:t xml:space="preserve"> dopadů lidské činnosti na životní prostředí</w:t>
            </w:r>
          </w:p>
        </w:tc>
        <w:tc>
          <w:tcPr>
            <w:tcW w:w="1209" w:type="dxa"/>
            <w:noWrap/>
            <w:vAlign w:val="bottom"/>
          </w:tcPr>
          <w:p w:rsidR="009562F0" w:rsidRPr="009562F0" w:rsidRDefault="006973D2" w:rsidP="009562F0">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1279</w:t>
            </w:r>
          </w:p>
        </w:tc>
        <w:tc>
          <w:tcPr>
            <w:tcW w:w="1320" w:type="dxa"/>
            <w:noWrap/>
            <w:vAlign w:val="bottom"/>
          </w:tcPr>
          <w:p w:rsidR="009562F0" w:rsidRPr="009562F0" w:rsidRDefault="006973D2" w:rsidP="009562F0">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180 588</w:t>
            </w:r>
          </w:p>
        </w:tc>
      </w:tr>
      <w:tr w:rsidR="009562F0" w:rsidRPr="003F3C75" w:rsidTr="00EE2B57">
        <w:trPr>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9562F0" w:rsidRPr="003F3C75" w:rsidRDefault="009562F0" w:rsidP="00B45EC1">
            <w:pPr>
              <w:spacing w:after="0"/>
              <w:jc w:val="left"/>
              <w:rPr>
                <w:b w:val="0"/>
                <w:color w:val="auto"/>
                <w:sz w:val="20"/>
                <w:szCs w:val="20"/>
              </w:rPr>
            </w:pPr>
            <w:proofErr w:type="gramStart"/>
            <w:r w:rsidRPr="003F3C75">
              <w:rPr>
                <w:b w:val="0"/>
                <w:color w:val="auto"/>
                <w:sz w:val="20"/>
                <w:szCs w:val="20"/>
              </w:rPr>
              <w:t>E.2 Zefektivnění</w:t>
            </w:r>
            <w:proofErr w:type="gramEnd"/>
            <w:r w:rsidRPr="003F3C75">
              <w:rPr>
                <w:b w:val="0"/>
                <w:color w:val="auto"/>
                <w:sz w:val="20"/>
                <w:szCs w:val="20"/>
              </w:rPr>
              <w:t xml:space="preserve"> odpadového hospodářství</w:t>
            </w:r>
          </w:p>
        </w:tc>
        <w:tc>
          <w:tcPr>
            <w:tcW w:w="1209" w:type="dxa"/>
            <w:noWrap/>
            <w:vAlign w:val="bottom"/>
          </w:tcPr>
          <w:p w:rsidR="009562F0" w:rsidRPr="009562F0" w:rsidRDefault="006973D2" w:rsidP="009562F0">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7</w:t>
            </w:r>
          </w:p>
        </w:tc>
        <w:tc>
          <w:tcPr>
            <w:tcW w:w="1320" w:type="dxa"/>
            <w:noWrap/>
            <w:vAlign w:val="bottom"/>
          </w:tcPr>
          <w:p w:rsidR="009562F0" w:rsidRPr="009562F0" w:rsidRDefault="006973D2" w:rsidP="009562F0">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2 280</w:t>
            </w:r>
          </w:p>
        </w:tc>
      </w:tr>
      <w:tr w:rsidR="009562F0" w:rsidRPr="003F3C75" w:rsidTr="00EE2B5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9562F0" w:rsidRPr="003F3C75" w:rsidRDefault="009562F0" w:rsidP="00B45EC1">
            <w:pPr>
              <w:spacing w:after="0"/>
              <w:jc w:val="left"/>
              <w:rPr>
                <w:b w:val="0"/>
                <w:color w:val="auto"/>
                <w:sz w:val="20"/>
                <w:szCs w:val="20"/>
              </w:rPr>
            </w:pPr>
            <w:proofErr w:type="gramStart"/>
            <w:r w:rsidRPr="003F3C75">
              <w:rPr>
                <w:b w:val="0"/>
                <w:color w:val="auto"/>
                <w:sz w:val="20"/>
                <w:szCs w:val="20"/>
              </w:rPr>
              <w:t>E.3 Dosažení</w:t>
            </w:r>
            <w:proofErr w:type="gramEnd"/>
            <w:r w:rsidRPr="003F3C75">
              <w:rPr>
                <w:b w:val="0"/>
                <w:color w:val="auto"/>
                <w:sz w:val="20"/>
                <w:szCs w:val="20"/>
              </w:rPr>
              <w:t xml:space="preserve"> energetických úspor</w:t>
            </w:r>
          </w:p>
        </w:tc>
        <w:tc>
          <w:tcPr>
            <w:tcW w:w="1209" w:type="dxa"/>
            <w:noWrap/>
            <w:vAlign w:val="bottom"/>
          </w:tcPr>
          <w:p w:rsidR="009562F0" w:rsidRPr="009562F0" w:rsidRDefault="006973D2" w:rsidP="009562F0">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w:t>
            </w:r>
          </w:p>
        </w:tc>
        <w:tc>
          <w:tcPr>
            <w:tcW w:w="1320" w:type="dxa"/>
            <w:noWrap/>
            <w:vAlign w:val="bottom"/>
          </w:tcPr>
          <w:p w:rsidR="009562F0" w:rsidRPr="009562F0" w:rsidRDefault="006973D2" w:rsidP="009562F0">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w:t>
            </w:r>
          </w:p>
        </w:tc>
      </w:tr>
      <w:tr w:rsidR="009562F0" w:rsidRPr="003F3C75" w:rsidTr="00EE2B57">
        <w:trPr>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9562F0" w:rsidRPr="003F3C75" w:rsidRDefault="009562F0" w:rsidP="00B45EC1">
            <w:pPr>
              <w:spacing w:after="0"/>
              <w:jc w:val="left"/>
              <w:rPr>
                <w:b w:val="0"/>
                <w:color w:val="auto"/>
                <w:sz w:val="20"/>
                <w:szCs w:val="20"/>
              </w:rPr>
            </w:pPr>
            <w:proofErr w:type="gramStart"/>
            <w:r w:rsidRPr="003F3C75">
              <w:rPr>
                <w:b w:val="0"/>
                <w:color w:val="auto"/>
                <w:sz w:val="20"/>
                <w:szCs w:val="20"/>
              </w:rPr>
              <w:t>E.4 Zlepšování</w:t>
            </w:r>
            <w:proofErr w:type="gramEnd"/>
            <w:r w:rsidRPr="003F3C75">
              <w:rPr>
                <w:b w:val="0"/>
                <w:color w:val="auto"/>
                <w:sz w:val="20"/>
                <w:szCs w:val="20"/>
              </w:rPr>
              <w:t xml:space="preserve"> ekologické stability krajiny</w:t>
            </w:r>
          </w:p>
        </w:tc>
        <w:tc>
          <w:tcPr>
            <w:tcW w:w="1209" w:type="dxa"/>
            <w:noWrap/>
            <w:vAlign w:val="bottom"/>
          </w:tcPr>
          <w:p w:rsidR="009562F0" w:rsidRPr="009562F0" w:rsidRDefault="006973D2" w:rsidP="009562F0">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126</w:t>
            </w:r>
          </w:p>
        </w:tc>
        <w:tc>
          <w:tcPr>
            <w:tcW w:w="1320" w:type="dxa"/>
            <w:noWrap/>
            <w:vAlign w:val="bottom"/>
          </w:tcPr>
          <w:p w:rsidR="009562F0" w:rsidRPr="009562F0" w:rsidRDefault="006973D2" w:rsidP="009562F0">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4 563</w:t>
            </w:r>
          </w:p>
        </w:tc>
      </w:tr>
      <w:tr w:rsidR="009562F0" w:rsidRPr="003F3C75" w:rsidTr="00EE2B5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9562F0" w:rsidRPr="003F3C75" w:rsidRDefault="009562F0" w:rsidP="00B45EC1">
            <w:pPr>
              <w:spacing w:after="0"/>
              <w:jc w:val="left"/>
              <w:rPr>
                <w:b w:val="0"/>
                <w:color w:val="auto"/>
                <w:sz w:val="20"/>
                <w:szCs w:val="20"/>
              </w:rPr>
            </w:pPr>
            <w:proofErr w:type="gramStart"/>
            <w:r w:rsidRPr="003F3C75">
              <w:rPr>
                <w:b w:val="0"/>
                <w:color w:val="auto"/>
                <w:sz w:val="20"/>
                <w:szCs w:val="20"/>
              </w:rPr>
              <w:t>E.5 Ochrana</w:t>
            </w:r>
            <w:proofErr w:type="gramEnd"/>
            <w:r w:rsidRPr="003F3C75">
              <w:rPr>
                <w:b w:val="0"/>
                <w:color w:val="auto"/>
                <w:sz w:val="20"/>
                <w:szCs w:val="20"/>
              </w:rPr>
              <w:t xml:space="preserve"> přírody a krajinného rázu</w:t>
            </w:r>
          </w:p>
        </w:tc>
        <w:tc>
          <w:tcPr>
            <w:tcW w:w="1209" w:type="dxa"/>
            <w:noWrap/>
            <w:vAlign w:val="bottom"/>
          </w:tcPr>
          <w:p w:rsidR="009562F0" w:rsidRPr="009562F0" w:rsidRDefault="006973D2" w:rsidP="009562F0">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60</w:t>
            </w:r>
          </w:p>
        </w:tc>
        <w:tc>
          <w:tcPr>
            <w:tcW w:w="1320" w:type="dxa"/>
            <w:noWrap/>
            <w:vAlign w:val="bottom"/>
          </w:tcPr>
          <w:p w:rsidR="009562F0" w:rsidRPr="009562F0" w:rsidRDefault="009562F0" w:rsidP="009562F0">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9562F0">
              <w:rPr>
                <w:color w:val="auto"/>
                <w:sz w:val="20"/>
                <w:szCs w:val="20"/>
              </w:rPr>
              <w:t>3000</w:t>
            </w:r>
          </w:p>
        </w:tc>
      </w:tr>
      <w:tr w:rsidR="00941086" w:rsidRPr="003F3C75" w:rsidTr="009562F0">
        <w:trPr>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941086" w:rsidRPr="003F3C75" w:rsidRDefault="00941086" w:rsidP="00B45EC1">
            <w:pPr>
              <w:spacing w:after="0"/>
              <w:jc w:val="left"/>
              <w:rPr>
                <w:b w:val="0"/>
                <w:color w:val="auto"/>
                <w:sz w:val="20"/>
                <w:szCs w:val="20"/>
              </w:rPr>
            </w:pPr>
            <w:proofErr w:type="gramStart"/>
            <w:r w:rsidRPr="003F3C75">
              <w:rPr>
                <w:b w:val="0"/>
                <w:color w:val="auto"/>
                <w:sz w:val="20"/>
                <w:szCs w:val="20"/>
              </w:rPr>
              <w:t>F.1 Efektivní</w:t>
            </w:r>
            <w:proofErr w:type="gramEnd"/>
            <w:r w:rsidRPr="003F3C75">
              <w:rPr>
                <w:b w:val="0"/>
                <w:color w:val="auto"/>
                <w:sz w:val="20"/>
                <w:szCs w:val="20"/>
              </w:rPr>
              <w:t xml:space="preserve"> fungování KÚOK a PO</w:t>
            </w:r>
          </w:p>
        </w:tc>
        <w:tc>
          <w:tcPr>
            <w:tcW w:w="1209" w:type="dxa"/>
            <w:noWrap/>
            <w:vAlign w:val="center"/>
          </w:tcPr>
          <w:p w:rsidR="00941086" w:rsidRPr="003F3C75" w:rsidRDefault="001D61F9" w:rsidP="001D61F9">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0</w:t>
            </w:r>
          </w:p>
        </w:tc>
        <w:tc>
          <w:tcPr>
            <w:tcW w:w="1320" w:type="dxa"/>
            <w:noWrap/>
            <w:vAlign w:val="center"/>
          </w:tcPr>
          <w:p w:rsidR="00941086" w:rsidRPr="003F3C75" w:rsidRDefault="001D61F9" w:rsidP="001D61F9">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0</w:t>
            </w:r>
          </w:p>
        </w:tc>
      </w:tr>
      <w:tr w:rsidR="00941086" w:rsidRPr="003F3C75" w:rsidTr="009562F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941086" w:rsidRPr="003F3C75" w:rsidRDefault="00941086" w:rsidP="00B45EC1">
            <w:pPr>
              <w:spacing w:after="0"/>
              <w:jc w:val="left"/>
              <w:rPr>
                <w:b w:val="0"/>
                <w:color w:val="auto"/>
                <w:sz w:val="20"/>
                <w:szCs w:val="20"/>
              </w:rPr>
            </w:pPr>
            <w:proofErr w:type="gramStart"/>
            <w:r w:rsidRPr="003F3C75">
              <w:rPr>
                <w:b w:val="0"/>
                <w:color w:val="auto"/>
                <w:sz w:val="20"/>
                <w:szCs w:val="20"/>
              </w:rPr>
              <w:t>F.2 Plánování</w:t>
            </w:r>
            <w:proofErr w:type="gramEnd"/>
            <w:r w:rsidRPr="003F3C75">
              <w:rPr>
                <w:b w:val="0"/>
                <w:color w:val="auto"/>
                <w:sz w:val="20"/>
                <w:szCs w:val="20"/>
              </w:rPr>
              <w:t xml:space="preserve"> a řízení rozvoje</w:t>
            </w:r>
          </w:p>
        </w:tc>
        <w:tc>
          <w:tcPr>
            <w:tcW w:w="1209" w:type="dxa"/>
            <w:noWrap/>
            <w:vAlign w:val="center"/>
          </w:tcPr>
          <w:p w:rsidR="00941086" w:rsidRPr="003F3C75" w:rsidRDefault="001D61F9" w:rsidP="001D61F9">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w:t>
            </w:r>
          </w:p>
        </w:tc>
        <w:tc>
          <w:tcPr>
            <w:tcW w:w="1320" w:type="dxa"/>
            <w:noWrap/>
            <w:vAlign w:val="center"/>
          </w:tcPr>
          <w:p w:rsidR="00941086" w:rsidRPr="003F3C75" w:rsidRDefault="001D61F9" w:rsidP="001D61F9">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w:t>
            </w:r>
          </w:p>
        </w:tc>
      </w:tr>
      <w:tr w:rsidR="009562F0" w:rsidRPr="003F3C75" w:rsidTr="00EE2B57">
        <w:trPr>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9562F0" w:rsidRPr="003F3C75" w:rsidRDefault="009562F0" w:rsidP="00B45EC1">
            <w:pPr>
              <w:spacing w:after="0"/>
              <w:jc w:val="left"/>
              <w:rPr>
                <w:b w:val="0"/>
                <w:color w:val="auto"/>
                <w:sz w:val="20"/>
                <w:szCs w:val="20"/>
              </w:rPr>
            </w:pPr>
            <w:proofErr w:type="gramStart"/>
            <w:r w:rsidRPr="003F3C75">
              <w:rPr>
                <w:b w:val="0"/>
                <w:color w:val="auto"/>
                <w:sz w:val="20"/>
                <w:szCs w:val="20"/>
              </w:rPr>
              <w:t>F.3 Rozvojová</w:t>
            </w:r>
            <w:proofErr w:type="gramEnd"/>
            <w:r w:rsidRPr="003F3C75">
              <w:rPr>
                <w:b w:val="0"/>
                <w:color w:val="auto"/>
                <w:sz w:val="20"/>
                <w:szCs w:val="20"/>
              </w:rPr>
              <w:t xml:space="preserve"> spolupráce</w:t>
            </w:r>
          </w:p>
        </w:tc>
        <w:tc>
          <w:tcPr>
            <w:tcW w:w="1209" w:type="dxa"/>
            <w:noWrap/>
            <w:vAlign w:val="bottom"/>
          </w:tcPr>
          <w:p w:rsidR="009562F0" w:rsidRPr="009562F0" w:rsidRDefault="006973D2" w:rsidP="009562F0">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34</w:t>
            </w:r>
          </w:p>
        </w:tc>
        <w:tc>
          <w:tcPr>
            <w:tcW w:w="1320" w:type="dxa"/>
            <w:noWrap/>
            <w:vAlign w:val="bottom"/>
          </w:tcPr>
          <w:p w:rsidR="009562F0" w:rsidRPr="009562F0" w:rsidRDefault="006973D2" w:rsidP="009562F0">
            <w:pPr>
              <w:spacing w:after="0"/>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2 025</w:t>
            </w:r>
          </w:p>
        </w:tc>
      </w:tr>
      <w:tr w:rsidR="009562F0" w:rsidRPr="003F3C75" w:rsidTr="00EE2B5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9562F0" w:rsidRPr="003F3C75" w:rsidRDefault="009562F0" w:rsidP="00B45EC1">
            <w:pPr>
              <w:spacing w:after="0"/>
              <w:jc w:val="left"/>
              <w:rPr>
                <w:b w:val="0"/>
                <w:color w:val="auto"/>
                <w:sz w:val="20"/>
                <w:szCs w:val="20"/>
              </w:rPr>
            </w:pPr>
            <w:proofErr w:type="gramStart"/>
            <w:r w:rsidRPr="003F3C75">
              <w:rPr>
                <w:b w:val="0"/>
                <w:color w:val="auto"/>
                <w:sz w:val="20"/>
                <w:szCs w:val="20"/>
              </w:rPr>
              <w:t>F.4 Rozvoj</w:t>
            </w:r>
            <w:proofErr w:type="gramEnd"/>
            <w:r w:rsidRPr="003F3C75">
              <w:rPr>
                <w:b w:val="0"/>
                <w:color w:val="auto"/>
                <w:sz w:val="20"/>
                <w:szCs w:val="20"/>
              </w:rPr>
              <w:t xml:space="preserve"> krizového řízení a </w:t>
            </w:r>
            <w:proofErr w:type="spellStart"/>
            <w:r w:rsidRPr="003F3C75">
              <w:rPr>
                <w:b w:val="0"/>
                <w:color w:val="auto"/>
                <w:sz w:val="20"/>
                <w:szCs w:val="20"/>
              </w:rPr>
              <w:t>integ</w:t>
            </w:r>
            <w:proofErr w:type="spellEnd"/>
            <w:r w:rsidRPr="003F3C75">
              <w:rPr>
                <w:b w:val="0"/>
                <w:color w:val="auto"/>
                <w:sz w:val="20"/>
                <w:szCs w:val="20"/>
              </w:rPr>
              <w:t>. záchranného systému</w:t>
            </w:r>
          </w:p>
        </w:tc>
        <w:tc>
          <w:tcPr>
            <w:tcW w:w="1209" w:type="dxa"/>
            <w:noWrap/>
            <w:vAlign w:val="bottom"/>
          </w:tcPr>
          <w:p w:rsidR="009562F0" w:rsidRPr="009562F0" w:rsidRDefault="009562F0" w:rsidP="006973D2">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9562F0">
              <w:rPr>
                <w:color w:val="auto"/>
                <w:sz w:val="20"/>
                <w:szCs w:val="20"/>
              </w:rPr>
              <w:t>3</w:t>
            </w:r>
            <w:r w:rsidR="006973D2">
              <w:rPr>
                <w:color w:val="auto"/>
                <w:sz w:val="20"/>
                <w:szCs w:val="20"/>
              </w:rPr>
              <w:t>15</w:t>
            </w:r>
          </w:p>
        </w:tc>
        <w:tc>
          <w:tcPr>
            <w:tcW w:w="1320" w:type="dxa"/>
            <w:noWrap/>
            <w:vAlign w:val="bottom"/>
          </w:tcPr>
          <w:p w:rsidR="009562F0" w:rsidRPr="009562F0" w:rsidRDefault="006973D2" w:rsidP="009562F0">
            <w:pPr>
              <w:spacing w:after="0"/>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26 661</w:t>
            </w:r>
          </w:p>
        </w:tc>
      </w:tr>
      <w:tr w:rsidR="00941086" w:rsidRPr="003F3C75" w:rsidTr="009562F0">
        <w:trPr>
          <w:trHeight w:val="255"/>
        </w:trPr>
        <w:tc>
          <w:tcPr>
            <w:cnfStyle w:val="001000000000" w:firstRow="0" w:lastRow="0" w:firstColumn="1" w:lastColumn="0" w:oddVBand="0" w:evenVBand="0" w:oddHBand="0" w:evenHBand="0" w:firstRowFirstColumn="0" w:firstRowLastColumn="0" w:lastRowFirstColumn="0" w:lastRowLastColumn="0"/>
            <w:tcW w:w="5659" w:type="dxa"/>
            <w:noWrap/>
            <w:vAlign w:val="center"/>
            <w:hideMark/>
          </w:tcPr>
          <w:p w:rsidR="00941086" w:rsidRPr="003F3C75" w:rsidRDefault="00941086" w:rsidP="00B45EC1">
            <w:pPr>
              <w:spacing w:after="0"/>
              <w:jc w:val="left"/>
              <w:rPr>
                <w:color w:val="auto"/>
                <w:sz w:val="20"/>
                <w:szCs w:val="20"/>
              </w:rPr>
            </w:pPr>
            <w:r w:rsidRPr="003F3C75">
              <w:rPr>
                <w:color w:val="auto"/>
                <w:sz w:val="20"/>
                <w:szCs w:val="20"/>
              </w:rPr>
              <w:t>Celkový součet</w:t>
            </w:r>
          </w:p>
        </w:tc>
        <w:tc>
          <w:tcPr>
            <w:tcW w:w="1209" w:type="dxa"/>
            <w:noWrap/>
            <w:vAlign w:val="center"/>
          </w:tcPr>
          <w:p w:rsidR="00941086" w:rsidRPr="003F3C75" w:rsidRDefault="006973D2" w:rsidP="009731F5">
            <w:pPr>
              <w:spacing w:after="0"/>
              <w:jc w:val="right"/>
              <w:cnfStyle w:val="000000000000" w:firstRow="0" w:lastRow="0" w:firstColumn="0" w:lastColumn="0" w:oddVBand="0" w:evenVBand="0" w:oddHBand="0" w:evenHBand="0" w:firstRowFirstColumn="0" w:firstRowLastColumn="0" w:lastRowFirstColumn="0" w:lastRowLastColumn="0"/>
              <w:rPr>
                <w:b/>
                <w:bCs/>
                <w:color w:val="auto"/>
                <w:sz w:val="20"/>
                <w:szCs w:val="20"/>
              </w:rPr>
            </w:pPr>
            <w:r>
              <w:rPr>
                <w:b/>
                <w:bCs/>
                <w:color w:val="auto"/>
                <w:sz w:val="20"/>
                <w:szCs w:val="20"/>
              </w:rPr>
              <w:t xml:space="preserve">3 </w:t>
            </w:r>
            <w:r w:rsidR="009731F5">
              <w:rPr>
                <w:b/>
                <w:bCs/>
                <w:color w:val="auto"/>
                <w:sz w:val="20"/>
                <w:szCs w:val="20"/>
              </w:rPr>
              <w:t>803</w:t>
            </w:r>
          </w:p>
        </w:tc>
        <w:tc>
          <w:tcPr>
            <w:tcW w:w="1320" w:type="dxa"/>
            <w:noWrap/>
            <w:vAlign w:val="center"/>
          </w:tcPr>
          <w:p w:rsidR="00941086" w:rsidRPr="003F3C75" w:rsidRDefault="001D61F9" w:rsidP="009731F5">
            <w:pPr>
              <w:spacing w:after="0"/>
              <w:jc w:val="right"/>
              <w:cnfStyle w:val="000000000000" w:firstRow="0" w:lastRow="0" w:firstColumn="0" w:lastColumn="0" w:oddVBand="0" w:evenVBand="0" w:oddHBand="0" w:evenHBand="0" w:firstRowFirstColumn="0" w:firstRowLastColumn="0" w:lastRowFirstColumn="0" w:lastRowLastColumn="0"/>
              <w:rPr>
                <w:b/>
                <w:bCs/>
                <w:color w:val="auto"/>
                <w:sz w:val="20"/>
                <w:szCs w:val="20"/>
              </w:rPr>
            </w:pPr>
            <w:r>
              <w:rPr>
                <w:b/>
                <w:bCs/>
                <w:color w:val="auto"/>
                <w:sz w:val="20"/>
                <w:szCs w:val="20"/>
              </w:rPr>
              <w:t>1 </w:t>
            </w:r>
            <w:r w:rsidR="006973D2">
              <w:rPr>
                <w:b/>
                <w:bCs/>
                <w:color w:val="auto"/>
                <w:sz w:val="20"/>
                <w:szCs w:val="20"/>
              </w:rPr>
              <w:t>4</w:t>
            </w:r>
            <w:r w:rsidR="009731F5">
              <w:rPr>
                <w:b/>
                <w:bCs/>
                <w:color w:val="auto"/>
                <w:sz w:val="20"/>
                <w:szCs w:val="20"/>
              </w:rPr>
              <w:t>54</w:t>
            </w:r>
            <w:r>
              <w:rPr>
                <w:b/>
                <w:bCs/>
                <w:color w:val="auto"/>
                <w:sz w:val="20"/>
                <w:szCs w:val="20"/>
              </w:rPr>
              <w:t xml:space="preserve"> </w:t>
            </w:r>
            <w:r w:rsidR="006973D2">
              <w:rPr>
                <w:b/>
                <w:bCs/>
                <w:color w:val="auto"/>
                <w:sz w:val="20"/>
                <w:szCs w:val="20"/>
              </w:rPr>
              <w:t>13</w:t>
            </w:r>
            <w:r w:rsidR="009731F5">
              <w:rPr>
                <w:b/>
                <w:bCs/>
                <w:color w:val="auto"/>
                <w:sz w:val="20"/>
                <w:szCs w:val="20"/>
              </w:rPr>
              <w:t>2</w:t>
            </w:r>
          </w:p>
        </w:tc>
      </w:tr>
    </w:tbl>
    <w:p w:rsidR="00941086" w:rsidRDefault="00941086" w:rsidP="00B659E3"/>
    <w:p w:rsidR="00534246" w:rsidRDefault="00871572" w:rsidP="00534246">
      <w:pPr>
        <w:pStyle w:val="IVnadpis2"/>
        <w:numPr>
          <w:ilvl w:val="0"/>
          <w:numId w:val="8"/>
        </w:numPr>
      </w:pPr>
      <w:bookmarkStart w:id="9" w:name="_Toc477348260"/>
      <w:r>
        <w:lastRenderedPageBreak/>
        <w:t>Uplatňování SROK z dlouhodobého hlediska</w:t>
      </w:r>
      <w:bookmarkEnd w:id="9"/>
    </w:p>
    <w:p w:rsidR="0073449A" w:rsidRDefault="00871572" w:rsidP="0073449A">
      <w:r>
        <w:t>SROK je využívána jako podpůrný nástroj pro strategické plánování</w:t>
      </w:r>
      <w:r w:rsidR="00534262">
        <w:t>.</w:t>
      </w:r>
      <w:r>
        <w:t xml:space="preserve"> Za tímto účelem slouží tříletý akční plán, kde jsou evidovány plánované významné činnosti. Tříletý akční plán je průběžně aktualizován a jednou ročně předkládán Radě Olomouckého kraje a následně zveřejňován.</w:t>
      </w:r>
    </w:p>
    <w:p w:rsidR="00E420F5" w:rsidRDefault="00871572" w:rsidP="00871572">
      <w:r>
        <w:t>H</w:t>
      </w:r>
      <w:r w:rsidR="00534262">
        <w:t xml:space="preserve">odnocení </w:t>
      </w:r>
      <w:r w:rsidR="00E22661">
        <w:t>SROK</w:t>
      </w:r>
      <w:r w:rsidR="00534262">
        <w:t xml:space="preserve"> </w:t>
      </w:r>
      <w:r>
        <w:t>je zpracováváno obdobnou metodikou od roku 2011</w:t>
      </w:r>
      <w:r w:rsidR="00037619">
        <w:t>.</w:t>
      </w:r>
      <w:r>
        <w:t xml:space="preserve"> Přestože došlo v roce 2015 k jinému uspořádání priorit, některé trendy lze sledovat dlouhodobě.</w:t>
      </w:r>
    </w:p>
    <w:p w:rsidR="009E2503" w:rsidRPr="00D51297" w:rsidRDefault="00BF41D7" w:rsidP="009E2503">
      <w:pPr>
        <w:pStyle w:val="Zkladntextodsazen"/>
        <w:spacing w:after="120"/>
        <w:ind w:left="0"/>
        <w:jc w:val="both"/>
        <w:rPr>
          <w:rFonts w:ascii="Arial" w:hAnsi="Arial" w:cs="Arial"/>
        </w:rPr>
      </w:pPr>
      <w:r>
        <w:rPr>
          <w:noProof/>
        </w:rPr>
        <w:drawing>
          <wp:inline distT="0" distB="0" distL="0" distR="0" wp14:anchorId="672833EB" wp14:editId="174A368F">
            <wp:extent cx="5760720" cy="2776855"/>
            <wp:effectExtent l="0" t="0" r="11430" b="4445"/>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E2503" w:rsidRPr="00D51297" w:rsidRDefault="009E2503" w:rsidP="009E2503">
      <w:pPr>
        <w:pStyle w:val="Zkladntextodsazen"/>
        <w:spacing w:after="120"/>
        <w:ind w:left="0"/>
        <w:jc w:val="both"/>
        <w:rPr>
          <w:rFonts w:ascii="Arial" w:hAnsi="Arial" w:cs="Arial"/>
          <w:sz w:val="16"/>
        </w:rPr>
      </w:pPr>
      <w:r w:rsidRPr="00D51297">
        <w:rPr>
          <w:rFonts w:ascii="Arial" w:hAnsi="Arial" w:cs="Arial"/>
          <w:sz w:val="16"/>
        </w:rPr>
        <w:t xml:space="preserve">*Roky 2015 a </w:t>
      </w:r>
      <w:r>
        <w:rPr>
          <w:rFonts w:ascii="Arial" w:hAnsi="Arial" w:cs="Arial"/>
          <w:sz w:val="16"/>
        </w:rPr>
        <w:t>další</w:t>
      </w:r>
      <w:r w:rsidRPr="00D51297">
        <w:rPr>
          <w:rFonts w:ascii="Arial" w:hAnsi="Arial" w:cs="Arial"/>
          <w:sz w:val="16"/>
        </w:rPr>
        <w:t xml:space="preserve"> byly očištěny </w:t>
      </w:r>
      <w:r w:rsidR="00A34DCA">
        <w:rPr>
          <w:rFonts w:ascii="Arial" w:hAnsi="Arial" w:cs="Arial"/>
          <w:sz w:val="16"/>
        </w:rPr>
        <w:t xml:space="preserve">o </w:t>
      </w:r>
      <w:r>
        <w:rPr>
          <w:rFonts w:ascii="Arial" w:hAnsi="Arial" w:cs="Arial"/>
          <w:sz w:val="16"/>
        </w:rPr>
        <w:t>dotace, které kraj poskytl z jiných zdrojů (</w:t>
      </w:r>
      <w:r w:rsidRPr="00D51297">
        <w:rPr>
          <w:rFonts w:ascii="Arial" w:hAnsi="Arial" w:cs="Arial"/>
          <w:sz w:val="16"/>
        </w:rPr>
        <w:t>sociální služb</w:t>
      </w:r>
      <w:r>
        <w:rPr>
          <w:rFonts w:ascii="Arial" w:hAnsi="Arial" w:cs="Arial"/>
          <w:sz w:val="16"/>
        </w:rPr>
        <w:t>y, kotlíkové dotace, zdravotnictví)</w:t>
      </w:r>
      <w:r w:rsidRPr="00D51297">
        <w:rPr>
          <w:rFonts w:ascii="Arial" w:hAnsi="Arial" w:cs="Arial"/>
          <w:sz w:val="16"/>
        </w:rPr>
        <w:t xml:space="preserve">. Jedná se sice </w:t>
      </w:r>
      <w:r w:rsidR="00754AD2">
        <w:rPr>
          <w:rFonts w:ascii="Arial" w:hAnsi="Arial" w:cs="Arial"/>
          <w:sz w:val="16"/>
        </w:rPr>
        <w:t xml:space="preserve">o dotace </w:t>
      </w:r>
      <w:r>
        <w:rPr>
          <w:rFonts w:ascii="Arial" w:hAnsi="Arial" w:cs="Arial"/>
          <w:sz w:val="16"/>
        </w:rPr>
        <w:t>z jiných zdrojů</w:t>
      </w:r>
      <w:r w:rsidRPr="00D51297">
        <w:rPr>
          <w:rFonts w:ascii="Arial" w:hAnsi="Arial" w:cs="Arial"/>
          <w:sz w:val="16"/>
        </w:rPr>
        <w:t xml:space="preserve">, ale o </w:t>
      </w:r>
      <w:r>
        <w:rPr>
          <w:rFonts w:ascii="Arial" w:hAnsi="Arial" w:cs="Arial"/>
          <w:sz w:val="16"/>
        </w:rPr>
        <w:t>jejich poskytování</w:t>
      </w:r>
      <w:r w:rsidRPr="00D51297">
        <w:rPr>
          <w:rFonts w:ascii="Arial" w:hAnsi="Arial" w:cs="Arial"/>
          <w:sz w:val="16"/>
        </w:rPr>
        <w:t xml:space="preserve"> rozhoduje Zastupitelstvo OK</w:t>
      </w:r>
      <w:r w:rsidR="00754AD2">
        <w:rPr>
          <w:rFonts w:ascii="Arial" w:hAnsi="Arial" w:cs="Arial"/>
          <w:sz w:val="16"/>
        </w:rPr>
        <w:t>,</w:t>
      </w:r>
      <w:r w:rsidRPr="00D51297">
        <w:rPr>
          <w:rFonts w:ascii="Arial" w:hAnsi="Arial" w:cs="Arial"/>
          <w:sz w:val="16"/>
        </w:rPr>
        <w:t xml:space="preserve"> </w:t>
      </w:r>
      <w:r w:rsidR="00754AD2">
        <w:rPr>
          <w:rFonts w:ascii="Arial" w:hAnsi="Arial" w:cs="Arial"/>
          <w:sz w:val="16"/>
        </w:rPr>
        <w:t>p</w:t>
      </w:r>
      <w:r w:rsidRPr="00D51297">
        <w:rPr>
          <w:rFonts w:ascii="Arial" w:hAnsi="Arial" w:cs="Arial"/>
          <w:sz w:val="16"/>
        </w:rPr>
        <w:t xml:space="preserve">roto jsou </w:t>
      </w:r>
      <w:r w:rsidR="00754AD2">
        <w:rPr>
          <w:rFonts w:ascii="Arial" w:hAnsi="Arial" w:cs="Arial"/>
          <w:sz w:val="16"/>
        </w:rPr>
        <w:t xml:space="preserve">jinak </w:t>
      </w:r>
      <w:r w:rsidRPr="00D51297">
        <w:rPr>
          <w:rFonts w:ascii="Arial" w:hAnsi="Arial" w:cs="Arial"/>
          <w:sz w:val="16"/>
        </w:rPr>
        <w:t xml:space="preserve">zahrnuty ve SROK. </w:t>
      </w:r>
    </w:p>
    <w:p w:rsidR="00523F86" w:rsidRDefault="0095028C" w:rsidP="00523F86">
      <w:r>
        <w:t>Z hlediska vývoje je zajímavý podíl dotací, které na svou činnost Olomoucký kraj získal.</w:t>
      </w:r>
      <w:r w:rsidR="00AE298C">
        <w:t xml:space="preserve"> Ukazuje se, že Olomoucký kraj se snaží vcelku přirozeně využívat dotační možnosti.</w:t>
      </w:r>
    </w:p>
    <w:p w:rsidR="00AE298C" w:rsidRDefault="00AE298C" w:rsidP="00523F86">
      <w:r>
        <w:t>Zatímco velká část rozpočtu Olomouckého kraje a jeho využití je stabilní, tak právě dotace výrazně ovlivňují rozvojové aktivity kraje. V roce 2016 se ukazuje výrazný propad získaných dotací, který souvisí se zpožděním ve vyhlašování výzev u dotací EU.</w:t>
      </w:r>
      <w:r w:rsidR="00D87AF3">
        <w:t xml:space="preserve"> Od roku 2017 začíná podíl získaných dotací opět růst. Vzhledem k tomu, že velká část projektů je na počátku realizace a jiné ještě dotaci nezískali, ale očekávat růst získaných dotací i v dalších letech.</w:t>
      </w:r>
    </w:p>
    <w:p w:rsidR="0020298D" w:rsidRDefault="00534246" w:rsidP="00534246">
      <w:pPr>
        <w:pStyle w:val="IVnadpis2"/>
        <w:numPr>
          <w:ilvl w:val="0"/>
          <w:numId w:val="8"/>
        </w:numPr>
      </w:pPr>
      <w:bookmarkStart w:id="10" w:name="_Toc477348261"/>
      <w:r>
        <w:t>Závěr</w:t>
      </w:r>
      <w:bookmarkEnd w:id="10"/>
    </w:p>
    <w:p w:rsidR="00B45EC1" w:rsidRDefault="00B45EC1" w:rsidP="006D7823">
      <w:r>
        <w:t>V roce 201</w:t>
      </w:r>
      <w:r w:rsidR="00313D0C">
        <w:t>7</w:t>
      </w:r>
      <w:r>
        <w:t xml:space="preserve"> Olomoucký kraj </w:t>
      </w:r>
      <w:r w:rsidR="00FE2856">
        <w:t>realizoval</w:t>
      </w:r>
      <w:r>
        <w:t xml:space="preserve"> </w:t>
      </w:r>
      <w:r w:rsidR="00FE2856">
        <w:t>činnosti, jež byly v </w:t>
      </w:r>
      <w:r w:rsidR="00E22661">
        <w:t>SROK</w:t>
      </w:r>
      <w:r w:rsidR="00FE2856">
        <w:t xml:space="preserve"> uvedeny,</w:t>
      </w:r>
      <w:r w:rsidR="007C0D27">
        <w:t xml:space="preserve"> a </w:t>
      </w:r>
      <w:r w:rsidR="00AE298C">
        <w:t>podporoval rozvoj regionu</w:t>
      </w:r>
      <w:r w:rsidR="00212491">
        <w:t>.</w:t>
      </w:r>
    </w:p>
    <w:p w:rsidR="00D93FE7" w:rsidRDefault="00313D0C" w:rsidP="006D7823">
      <w:r>
        <w:t>V roce 2017došlo ke stabilizaci dotační politiky kraje</w:t>
      </w:r>
      <w:r w:rsidR="00D93FE7">
        <w:t>.</w:t>
      </w:r>
      <w:r>
        <w:t xml:space="preserve"> Současně došlo k oživení čerpání dotací na krajské projekty, které by mělo pokračovat i v dalších letech.</w:t>
      </w:r>
    </w:p>
    <w:p w:rsidR="00313D0C" w:rsidRDefault="00313D0C" w:rsidP="006D7823">
      <w:r>
        <w:t>Přesto v některých důležitých oblastech kraj stále spoléhal spíše na své zdroje. V příštích letech by měl kraj usilovat o získání dotací na rozvoj vzdělávací infrastruktury i infrastruktury pro sociální služby.</w:t>
      </w:r>
    </w:p>
    <w:p w:rsidR="006D7823" w:rsidRDefault="00313D0C" w:rsidP="006D7823">
      <w:r>
        <w:t xml:space="preserve">Národní dotační politika zůstává nadále pro kraj těžko čitelná a podléhající lobbingu. Na jednu stranu se podařilo systematizovat podporu cestovního ruchu, na druhou stranu Ministerstvo zdravotnictví nenavázalo na podporu zdravotních zařízení. Za největší pozitivum lze vnímat pokračování dotací </w:t>
      </w:r>
      <w:r w:rsidR="00952EBE">
        <w:t xml:space="preserve">Státního fondu dopravní </w:t>
      </w:r>
      <w:r w:rsidR="00952EBE">
        <w:lastRenderedPageBreak/>
        <w:t xml:space="preserve">infrastruktury </w:t>
      </w:r>
      <w:r>
        <w:t>na silnice II. a I</w:t>
      </w:r>
      <w:r w:rsidR="004249DD">
        <w:t>I</w:t>
      </w:r>
      <w:r>
        <w:t>I. třídy. Kraj by měl i nadále usilovat, aby tento nejvýznamnější národní zdroj dotací byl zachován.</w:t>
      </w:r>
    </w:p>
    <w:p w:rsidR="00A00489" w:rsidRDefault="00D93FE7" w:rsidP="006D7823">
      <w:r>
        <w:t>P</w:t>
      </w:r>
      <w:r w:rsidR="001919F2">
        <w:t>ři koordinaci aktivit v území i při prosazování společných cílů na národní úrovni</w:t>
      </w:r>
      <w:r w:rsidRPr="00D93FE7">
        <w:t xml:space="preserve"> </w:t>
      </w:r>
      <w:r>
        <w:t>může Olomoucký kraj více využít</w:t>
      </w:r>
      <w:r w:rsidRPr="00D93FE7">
        <w:t xml:space="preserve"> </w:t>
      </w:r>
      <w:r>
        <w:t>Regionální stálé konference v území Olomouckého kraje</w:t>
      </w:r>
      <w:r w:rsidR="00346976">
        <w:t>.</w:t>
      </w:r>
      <w:r w:rsidR="00884132">
        <w:t xml:space="preserve"> </w:t>
      </w:r>
      <w:r>
        <w:t>Z</w:t>
      </w:r>
      <w:r w:rsidRPr="00E22661">
        <w:t>práva o uplatňování</w:t>
      </w:r>
      <w:r w:rsidR="00884132">
        <w:t xml:space="preserve"> </w:t>
      </w:r>
      <w:r w:rsidR="00E22661">
        <w:t>SROK</w:t>
      </w:r>
      <w:r w:rsidR="00FE2856">
        <w:t xml:space="preserve"> </w:t>
      </w:r>
      <w:r>
        <w:t xml:space="preserve">i tabulky s realizovanými činnostmi </w:t>
      </w:r>
      <w:r w:rsidR="00884132">
        <w:t>bud</w:t>
      </w:r>
      <w:r>
        <w:t>ou</w:t>
      </w:r>
      <w:r w:rsidR="00884132">
        <w:t xml:space="preserve"> použit</w:t>
      </w:r>
      <w:r>
        <w:t>y</w:t>
      </w:r>
      <w:r w:rsidR="00884132">
        <w:t xml:space="preserve"> jako podklad pro hodnocení činností Olomouckého kraje v rámci Strategie regionálního rozvoje ČR.</w:t>
      </w:r>
    </w:p>
    <w:p w:rsidR="00A00489" w:rsidRPr="00A00489" w:rsidRDefault="00A00489" w:rsidP="00A00489"/>
    <w:p w:rsidR="00A00489" w:rsidRPr="00A00489" w:rsidRDefault="00A00489" w:rsidP="00A00489"/>
    <w:p w:rsidR="00A00489" w:rsidRPr="00A00489" w:rsidRDefault="00A00489" w:rsidP="00A00489"/>
    <w:p w:rsidR="00A00489" w:rsidRPr="00A00489" w:rsidRDefault="00A00489" w:rsidP="00A00489"/>
    <w:p w:rsidR="00A00489" w:rsidRPr="00A00489" w:rsidRDefault="00A00489" w:rsidP="00A00489"/>
    <w:p w:rsidR="00A00489" w:rsidRPr="00A00489" w:rsidRDefault="00A00489" w:rsidP="00A00489"/>
    <w:p w:rsidR="00A00489" w:rsidRPr="00A00489" w:rsidRDefault="00A00489" w:rsidP="00A00489"/>
    <w:p w:rsidR="00A00489" w:rsidRPr="00A00489" w:rsidRDefault="00A00489" w:rsidP="00A00489"/>
    <w:p w:rsidR="00A00489" w:rsidRPr="00A00489" w:rsidRDefault="00A00489" w:rsidP="00A00489"/>
    <w:p w:rsidR="00A00489" w:rsidRPr="00A00489" w:rsidRDefault="00A00489" w:rsidP="00A00489"/>
    <w:p w:rsidR="00A00489" w:rsidRPr="00A00489" w:rsidRDefault="00A00489" w:rsidP="00A00489"/>
    <w:p w:rsidR="00A00489" w:rsidRPr="00A00489" w:rsidRDefault="00A00489" w:rsidP="00A00489"/>
    <w:p w:rsidR="00A00489" w:rsidRPr="00A00489" w:rsidRDefault="00A00489" w:rsidP="00A00489"/>
    <w:p w:rsidR="00A00489" w:rsidRPr="00A00489" w:rsidRDefault="00A00489" w:rsidP="00A00489"/>
    <w:p w:rsidR="00A00489" w:rsidRPr="00A00489" w:rsidRDefault="00A00489" w:rsidP="00A00489"/>
    <w:p w:rsidR="00A00489" w:rsidRPr="00A00489" w:rsidRDefault="00A00489" w:rsidP="00A00489"/>
    <w:p w:rsidR="00A00489" w:rsidRPr="00A00489" w:rsidRDefault="00A00489" w:rsidP="00A00489"/>
    <w:p w:rsidR="00A00489" w:rsidRPr="00A00489" w:rsidRDefault="00A00489" w:rsidP="00A00489"/>
    <w:p w:rsidR="00A00489" w:rsidRPr="00A00489" w:rsidRDefault="00A00489" w:rsidP="00A00489"/>
    <w:p w:rsidR="00A00489" w:rsidRPr="00A00489" w:rsidRDefault="00A00489" w:rsidP="00A00489"/>
    <w:p w:rsidR="00A00489" w:rsidRDefault="00A00489" w:rsidP="00A00489"/>
    <w:p w:rsidR="00346976" w:rsidRPr="00A00489" w:rsidRDefault="00A00489" w:rsidP="00A00489">
      <w:pPr>
        <w:tabs>
          <w:tab w:val="left" w:pos="2065"/>
        </w:tabs>
      </w:pPr>
      <w:r>
        <w:tab/>
      </w:r>
    </w:p>
    <w:sectPr w:rsidR="00346976" w:rsidRPr="00A0048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1D7" w:rsidRDefault="00BF41D7" w:rsidP="00275908">
      <w:pPr>
        <w:spacing w:after="0"/>
      </w:pPr>
      <w:r>
        <w:separator/>
      </w:r>
    </w:p>
  </w:endnote>
  <w:endnote w:type="continuationSeparator" w:id="0">
    <w:p w:rsidR="00BF41D7" w:rsidRDefault="00BF41D7" w:rsidP="002759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1D7" w:rsidRPr="00275908" w:rsidRDefault="003A46F4" w:rsidP="00275908">
    <w:pPr>
      <w:pBdr>
        <w:top w:val="single" w:sz="4" w:space="1" w:color="auto"/>
      </w:pBdr>
      <w:tabs>
        <w:tab w:val="center" w:pos="4536"/>
        <w:tab w:val="right" w:pos="9072"/>
      </w:tabs>
      <w:spacing w:after="0"/>
      <w:rPr>
        <w:rFonts w:eastAsia="Times New Roman"/>
        <w:i/>
        <w:iCs/>
        <w:sz w:val="20"/>
        <w:lang w:eastAsia="cs-CZ"/>
      </w:rPr>
    </w:pPr>
    <w:r>
      <w:rPr>
        <w:rFonts w:eastAsia="Times New Roman"/>
        <w:i/>
        <w:iCs/>
        <w:sz w:val="20"/>
        <w:lang w:eastAsia="cs-CZ"/>
      </w:rPr>
      <w:t>Zastupitelstvo</w:t>
    </w:r>
    <w:r w:rsidR="00BF41D7">
      <w:rPr>
        <w:rFonts w:eastAsia="Times New Roman"/>
        <w:i/>
        <w:iCs/>
        <w:sz w:val="20"/>
        <w:lang w:eastAsia="cs-CZ"/>
      </w:rPr>
      <w:t xml:space="preserve"> Olomouckého kraje 2</w:t>
    </w:r>
    <w:r>
      <w:rPr>
        <w:rFonts w:eastAsia="Times New Roman"/>
        <w:i/>
        <w:iCs/>
        <w:sz w:val="20"/>
        <w:lang w:eastAsia="cs-CZ"/>
      </w:rPr>
      <w:t>3</w:t>
    </w:r>
    <w:r w:rsidR="00BF41D7">
      <w:rPr>
        <w:rFonts w:eastAsia="Times New Roman"/>
        <w:i/>
        <w:iCs/>
        <w:sz w:val="20"/>
        <w:lang w:eastAsia="cs-CZ"/>
      </w:rPr>
      <w:t>. </w:t>
    </w:r>
    <w:r>
      <w:rPr>
        <w:rFonts w:eastAsia="Times New Roman"/>
        <w:i/>
        <w:iCs/>
        <w:sz w:val="20"/>
        <w:lang w:eastAsia="cs-CZ"/>
      </w:rPr>
      <w:t>4</w:t>
    </w:r>
    <w:r w:rsidR="00BF41D7" w:rsidRPr="00275908">
      <w:rPr>
        <w:rFonts w:eastAsia="Times New Roman"/>
        <w:i/>
        <w:iCs/>
        <w:sz w:val="20"/>
        <w:lang w:eastAsia="cs-CZ"/>
      </w:rPr>
      <w:t>. 201</w:t>
    </w:r>
    <w:r w:rsidR="00A00489">
      <w:rPr>
        <w:rFonts w:eastAsia="Times New Roman"/>
        <w:i/>
        <w:iCs/>
        <w:sz w:val="20"/>
        <w:lang w:eastAsia="cs-CZ"/>
      </w:rPr>
      <w:t>8</w:t>
    </w:r>
    <w:r w:rsidR="00BF41D7" w:rsidRPr="00275908">
      <w:rPr>
        <w:rFonts w:eastAsia="Times New Roman"/>
        <w:i/>
        <w:iCs/>
        <w:sz w:val="20"/>
        <w:lang w:eastAsia="cs-CZ"/>
      </w:rPr>
      <w:tab/>
    </w:r>
    <w:r w:rsidR="00BF41D7" w:rsidRPr="00275908">
      <w:rPr>
        <w:rFonts w:eastAsia="Times New Roman"/>
        <w:i/>
        <w:iCs/>
        <w:sz w:val="20"/>
        <w:lang w:eastAsia="cs-CZ"/>
      </w:rPr>
      <w:tab/>
      <w:t xml:space="preserve">Strana </w:t>
    </w:r>
    <w:r w:rsidR="00BF41D7" w:rsidRPr="00275908">
      <w:rPr>
        <w:rFonts w:eastAsia="Times New Roman"/>
        <w:i/>
        <w:iCs/>
        <w:sz w:val="20"/>
        <w:lang w:eastAsia="cs-CZ"/>
      </w:rPr>
      <w:fldChar w:fldCharType="begin"/>
    </w:r>
    <w:r w:rsidR="00BF41D7" w:rsidRPr="00275908">
      <w:rPr>
        <w:rFonts w:eastAsia="Times New Roman"/>
        <w:i/>
        <w:iCs/>
        <w:sz w:val="20"/>
        <w:lang w:eastAsia="cs-CZ"/>
      </w:rPr>
      <w:instrText xml:space="preserve"> PAGE </w:instrText>
    </w:r>
    <w:r w:rsidR="00BF41D7" w:rsidRPr="00275908">
      <w:rPr>
        <w:rFonts w:eastAsia="Times New Roman"/>
        <w:i/>
        <w:iCs/>
        <w:sz w:val="20"/>
        <w:lang w:eastAsia="cs-CZ"/>
      </w:rPr>
      <w:fldChar w:fldCharType="separate"/>
    </w:r>
    <w:r w:rsidR="00F0459E">
      <w:rPr>
        <w:rFonts w:eastAsia="Times New Roman"/>
        <w:i/>
        <w:iCs/>
        <w:noProof/>
        <w:sz w:val="20"/>
        <w:lang w:eastAsia="cs-CZ"/>
      </w:rPr>
      <w:t>2</w:t>
    </w:r>
    <w:r w:rsidR="00BF41D7" w:rsidRPr="00275908">
      <w:rPr>
        <w:rFonts w:eastAsia="Times New Roman"/>
        <w:i/>
        <w:iCs/>
        <w:sz w:val="20"/>
        <w:lang w:eastAsia="cs-CZ"/>
      </w:rPr>
      <w:fldChar w:fldCharType="end"/>
    </w:r>
    <w:r w:rsidR="00BF41D7" w:rsidRPr="00275908">
      <w:rPr>
        <w:rFonts w:eastAsia="Times New Roman"/>
        <w:i/>
        <w:iCs/>
        <w:sz w:val="20"/>
        <w:lang w:eastAsia="cs-CZ"/>
      </w:rPr>
      <w:t xml:space="preserve"> </w:t>
    </w:r>
    <w:r w:rsidR="00BF41D7" w:rsidRPr="00275908">
      <w:rPr>
        <w:rFonts w:eastAsia="Times New Roman" w:cs="Times New Roman"/>
        <w:i/>
        <w:sz w:val="20"/>
        <w:lang w:eastAsia="cs-CZ"/>
      </w:rPr>
      <w:t>(</w:t>
    </w:r>
    <w:r w:rsidR="00BF41D7" w:rsidRPr="00275908">
      <w:rPr>
        <w:rFonts w:eastAsia="Times New Roman"/>
        <w:i/>
        <w:iCs/>
        <w:sz w:val="20"/>
        <w:lang w:eastAsia="cs-CZ"/>
      </w:rPr>
      <w:t xml:space="preserve">celkem </w:t>
    </w:r>
    <w:r w:rsidR="00BF41D7" w:rsidRPr="00275908">
      <w:rPr>
        <w:rFonts w:eastAsia="Times New Roman"/>
        <w:i/>
        <w:iCs/>
        <w:sz w:val="20"/>
        <w:lang w:eastAsia="cs-CZ"/>
      </w:rPr>
      <w:fldChar w:fldCharType="begin"/>
    </w:r>
    <w:r w:rsidR="00BF41D7" w:rsidRPr="00275908">
      <w:rPr>
        <w:rFonts w:eastAsia="Times New Roman"/>
        <w:i/>
        <w:iCs/>
        <w:sz w:val="20"/>
        <w:lang w:eastAsia="cs-CZ"/>
      </w:rPr>
      <w:instrText>NUMPAGES  \* Arabic  \* MERGEFORMAT</w:instrText>
    </w:r>
    <w:r w:rsidR="00BF41D7" w:rsidRPr="00275908">
      <w:rPr>
        <w:rFonts w:eastAsia="Times New Roman"/>
        <w:i/>
        <w:iCs/>
        <w:sz w:val="20"/>
        <w:lang w:eastAsia="cs-CZ"/>
      </w:rPr>
      <w:fldChar w:fldCharType="separate"/>
    </w:r>
    <w:r w:rsidR="00F0459E">
      <w:rPr>
        <w:rFonts w:eastAsia="Times New Roman"/>
        <w:i/>
        <w:iCs/>
        <w:noProof/>
        <w:sz w:val="20"/>
        <w:lang w:eastAsia="cs-CZ"/>
      </w:rPr>
      <w:t>8</w:t>
    </w:r>
    <w:r w:rsidR="00BF41D7" w:rsidRPr="00275908">
      <w:rPr>
        <w:rFonts w:eastAsia="Times New Roman"/>
        <w:i/>
        <w:iCs/>
        <w:sz w:val="20"/>
        <w:lang w:eastAsia="cs-CZ"/>
      </w:rPr>
      <w:fldChar w:fldCharType="end"/>
    </w:r>
    <w:r w:rsidR="00BF41D7" w:rsidRPr="00275908">
      <w:rPr>
        <w:rFonts w:eastAsia="Times New Roman"/>
        <w:i/>
        <w:iCs/>
        <w:sz w:val="20"/>
        <w:lang w:eastAsia="cs-CZ"/>
      </w:rPr>
      <w:t>)</w:t>
    </w:r>
  </w:p>
  <w:p w:rsidR="00BF41D7" w:rsidRPr="00275908" w:rsidRDefault="00387F7D" w:rsidP="00275908">
    <w:pPr>
      <w:pBdr>
        <w:top w:val="single" w:sz="4" w:space="1" w:color="auto"/>
      </w:pBdr>
      <w:tabs>
        <w:tab w:val="center" w:pos="4536"/>
        <w:tab w:val="right" w:pos="9072"/>
      </w:tabs>
      <w:spacing w:after="0"/>
      <w:rPr>
        <w:rFonts w:eastAsia="Times New Roman"/>
        <w:i/>
        <w:iCs/>
        <w:sz w:val="20"/>
        <w:lang w:eastAsia="cs-CZ"/>
      </w:rPr>
    </w:pPr>
    <w:r>
      <w:rPr>
        <w:rFonts w:eastAsia="Times New Roman"/>
        <w:i/>
        <w:iCs/>
        <w:sz w:val="20"/>
        <w:lang w:eastAsia="cs-CZ"/>
      </w:rPr>
      <w:t>31</w:t>
    </w:r>
    <w:r w:rsidR="00BF41D7">
      <w:rPr>
        <w:rFonts w:eastAsia="Times New Roman"/>
        <w:i/>
        <w:iCs/>
        <w:sz w:val="20"/>
        <w:lang w:eastAsia="cs-CZ"/>
      </w:rPr>
      <w:t>.</w:t>
    </w:r>
    <w:r w:rsidR="00BF41D7" w:rsidRPr="00275908">
      <w:rPr>
        <w:rFonts w:eastAsia="Times New Roman"/>
        <w:i/>
        <w:iCs/>
        <w:sz w:val="20"/>
        <w:lang w:eastAsia="cs-CZ"/>
      </w:rPr>
      <w:t xml:space="preserve"> - </w:t>
    </w:r>
    <w:r w:rsidR="00BF41D7" w:rsidRPr="001E7550">
      <w:rPr>
        <w:rFonts w:eastAsia="Times New Roman"/>
        <w:i/>
        <w:iCs/>
        <w:sz w:val="20"/>
        <w:lang w:eastAsia="cs-CZ"/>
      </w:rPr>
      <w:t>Strategie rozvoje územního obvodu Olomouckého kraje – vyhodnocení za rok 201</w:t>
    </w:r>
    <w:r w:rsidR="00BF41D7">
      <w:rPr>
        <w:rFonts w:eastAsia="Times New Roman"/>
        <w:i/>
        <w:iCs/>
        <w:sz w:val="20"/>
        <w:lang w:eastAsia="cs-CZ"/>
      </w:rPr>
      <w:t>7</w:t>
    </w:r>
  </w:p>
  <w:p w:rsidR="00BF41D7" w:rsidRPr="00F0459E" w:rsidRDefault="00BF41D7" w:rsidP="00F0459E">
    <w:pPr>
      <w:pBdr>
        <w:top w:val="single" w:sz="4" w:space="1" w:color="auto"/>
      </w:pBdr>
      <w:tabs>
        <w:tab w:val="center" w:pos="4536"/>
        <w:tab w:val="right" w:pos="9072"/>
      </w:tabs>
      <w:spacing w:after="0"/>
      <w:rPr>
        <w:rFonts w:eastAsia="Times New Roman"/>
        <w:i/>
        <w:iCs/>
        <w:sz w:val="20"/>
        <w:lang w:eastAsia="cs-CZ"/>
      </w:rPr>
    </w:pPr>
    <w:r w:rsidRPr="00275908">
      <w:rPr>
        <w:rFonts w:eastAsia="Times New Roman"/>
        <w:i/>
        <w:iCs/>
        <w:sz w:val="20"/>
        <w:lang w:eastAsia="cs-CZ"/>
      </w:rPr>
      <w:t xml:space="preserve">Příloha č. 1 – </w:t>
    </w:r>
    <w:r w:rsidRPr="00871572">
      <w:rPr>
        <w:rFonts w:eastAsia="Times New Roman"/>
        <w:i/>
        <w:iCs/>
        <w:sz w:val="20"/>
        <w:lang w:eastAsia="cs-CZ"/>
      </w:rPr>
      <w:t xml:space="preserve">Zpráva o uplatňování </w:t>
    </w:r>
    <w:r w:rsidRPr="001E7550">
      <w:rPr>
        <w:rFonts w:eastAsia="Times New Roman"/>
        <w:i/>
        <w:iCs/>
        <w:sz w:val="20"/>
        <w:lang w:eastAsia="cs-CZ"/>
      </w:rPr>
      <w:t>Strategie rozvoje úze</w:t>
    </w:r>
    <w:r>
      <w:rPr>
        <w:rFonts w:eastAsia="Times New Roman"/>
        <w:i/>
        <w:iCs/>
        <w:sz w:val="20"/>
        <w:lang w:eastAsia="cs-CZ"/>
      </w:rPr>
      <w:t>mního obvodu Olomouckého kraje za rok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1D7" w:rsidRDefault="00BF41D7" w:rsidP="00275908">
      <w:pPr>
        <w:spacing w:after="0"/>
      </w:pPr>
      <w:r>
        <w:separator/>
      </w:r>
    </w:p>
  </w:footnote>
  <w:footnote w:type="continuationSeparator" w:id="0">
    <w:p w:rsidR="00BF41D7" w:rsidRDefault="00BF41D7" w:rsidP="002759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1D7" w:rsidRPr="00F0459E" w:rsidRDefault="00BF41D7">
    <w:pPr>
      <w:pStyle w:val="Zhlav"/>
      <w:rPr>
        <w:sz w:val="20"/>
        <w:szCs w:val="20"/>
      </w:rPr>
    </w:pPr>
    <w:r w:rsidRPr="00F0459E">
      <w:rPr>
        <w:sz w:val="20"/>
        <w:szCs w:val="20"/>
      </w:rPr>
      <w:t>Příloha č. 1 – Zpráva o uplatňování Strategie rozvoje územního obvodu Olomouckého kraje za rok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F3031"/>
    <w:multiLevelType w:val="hybridMultilevel"/>
    <w:tmpl w:val="EF7647B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49B0DAC"/>
    <w:multiLevelType w:val="hybridMultilevel"/>
    <w:tmpl w:val="EF7647B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B4C61C5"/>
    <w:multiLevelType w:val="hybridMultilevel"/>
    <w:tmpl w:val="F6C8F04C"/>
    <w:lvl w:ilvl="0" w:tplc="75662E38">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60E4437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01C3442"/>
    <w:multiLevelType w:val="multilevel"/>
    <w:tmpl w:val="1D20C0D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0"/>
      </w:rPr>
    </w:lvl>
    <w:lvl w:ilvl="2">
      <w:start w:val="1"/>
      <w:numFmt w:val="decimal"/>
      <w:pStyle w:val="IVnadpis3"/>
      <w:lvlText w:val="%1.%2.%3."/>
      <w:lvlJc w:val="left"/>
      <w:pPr>
        <w:ind w:left="1781" w:hanging="504"/>
      </w:pPr>
      <w:rPr>
        <w:rFonts w:hint="default"/>
      </w:rPr>
    </w:lvl>
    <w:lvl w:ilvl="3">
      <w:start w:val="1"/>
      <w:numFmt w:val="decimal"/>
      <w:pStyle w:val="IVnadpis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1ED7246"/>
    <w:multiLevelType w:val="hybridMultilevel"/>
    <w:tmpl w:val="8FCAAB9E"/>
    <w:lvl w:ilvl="0" w:tplc="3FF60EC8">
      <w:start w:val="1"/>
      <w:numFmt w:val="bullet"/>
      <w:lvlText w:val="•"/>
      <w:lvlJc w:val="left"/>
      <w:pPr>
        <w:tabs>
          <w:tab w:val="num" w:pos="720"/>
        </w:tabs>
        <w:ind w:left="720" w:hanging="360"/>
      </w:pPr>
      <w:rPr>
        <w:rFonts w:ascii="Times New Roman" w:hAnsi="Times New Roman" w:hint="default"/>
      </w:rPr>
    </w:lvl>
    <w:lvl w:ilvl="1" w:tplc="5AAE2736" w:tentative="1">
      <w:start w:val="1"/>
      <w:numFmt w:val="bullet"/>
      <w:lvlText w:val="•"/>
      <w:lvlJc w:val="left"/>
      <w:pPr>
        <w:tabs>
          <w:tab w:val="num" w:pos="1440"/>
        </w:tabs>
        <w:ind w:left="1440" w:hanging="360"/>
      </w:pPr>
      <w:rPr>
        <w:rFonts w:ascii="Times New Roman" w:hAnsi="Times New Roman" w:hint="default"/>
      </w:rPr>
    </w:lvl>
    <w:lvl w:ilvl="2" w:tplc="BA7E0AF6" w:tentative="1">
      <w:start w:val="1"/>
      <w:numFmt w:val="bullet"/>
      <w:lvlText w:val="•"/>
      <w:lvlJc w:val="left"/>
      <w:pPr>
        <w:tabs>
          <w:tab w:val="num" w:pos="2160"/>
        </w:tabs>
        <w:ind w:left="2160" w:hanging="360"/>
      </w:pPr>
      <w:rPr>
        <w:rFonts w:ascii="Times New Roman" w:hAnsi="Times New Roman" w:hint="default"/>
      </w:rPr>
    </w:lvl>
    <w:lvl w:ilvl="3" w:tplc="D4183130" w:tentative="1">
      <w:start w:val="1"/>
      <w:numFmt w:val="bullet"/>
      <w:lvlText w:val="•"/>
      <w:lvlJc w:val="left"/>
      <w:pPr>
        <w:tabs>
          <w:tab w:val="num" w:pos="2880"/>
        </w:tabs>
        <w:ind w:left="2880" w:hanging="360"/>
      </w:pPr>
      <w:rPr>
        <w:rFonts w:ascii="Times New Roman" w:hAnsi="Times New Roman" w:hint="default"/>
      </w:rPr>
    </w:lvl>
    <w:lvl w:ilvl="4" w:tplc="5816A1A8" w:tentative="1">
      <w:start w:val="1"/>
      <w:numFmt w:val="bullet"/>
      <w:lvlText w:val="•"/>
      <w:lvlJc w:val="left"/>
      <w:pPr>
        <w:tabs>
          <w:tab w:val="num" w:pos="3600"/>
        </w:tabs>
        <w:ind w:left="3600" w:hanging="360"/>
      </w:pPr>
      <w:rPr>
        <w:rFonts w:ascii="Times New Roman" w:hAnsi="Times New Roman" w:hint="default"/>
      </w:rPr>
    </w:lvl>
    <w:lvl w:ilvl="5" w:tplc="32266492" w:tentative="1">
      <w:start w:val="1"/>
      <w:numFmt w:val="bullet"/>
      <w:lvlText w:val="•"/>
      <w:lvlJc w:val="left"/>
      <w:pPr>
        <w:tabs>
          <w:tab w:val="num" w:pos="4320"/>
        </w:tabs>
        <w:ind w:left="4320" w:hanging="360"/>
      </w:pPr>
      <w:rPr>
        <w:rFonts w:ascii="Times New Roman" w:hAnsi="Times New Roman" w:hint="default"/>
      </w:rPr>
    </w:lvl>
    <w:lvl w:ilvl="6" w:tplc="9B6C15C8" w:tentative="1">
      <w:start w:val="1"/>
      <w:numFmt w:val="bullet"/>
      <w:lvlText w:val="•"/>
      <w:lvlJc w:val="left"/>
      <w:pPr>
        <w:tabs>
          <w:tab w:val="num" w:pos="5040"/>
        </w:tabs>
        <w:ind w:left="5040" w:hanging="360"/>
      </w:pPr>
      <w:rPr>
        <w:rFonts w:ascii="Times New Roman" w:hAnsi="Times New Roman" w:hint="default"/>
      </w:rPr>
    </w:lvl>
    <w:lvl w:ilvl="7" w:tplc="1464C18E" w:tentative="1">
      <w:start w:val="1"/>
      <w:numFmt w:val="bullet"/>
      <w:lvlText w:val="•"/>
      <w:lvlJc w:val="left"/>
      <w:pPr>
        <w:tabs>
          <w:tab w:val="num" w:pos="5760"/>
        </w:tabs>
        <w:ind w:left="5760" w:hanging="360"/>
      </w:pPr>
      <w:rPr>
        <w:rFonts w:ascii="Times New Roman" w:hAnsi="Times New Roman" w:hint="default"/>
      </w:rPr>
    </w:lvl>
    <w:lvl w:ilvl="8" w:tplc="E1F2C414"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2"/>
  </w:num>
  <w:num w:numId="8">
    <w:abstractNumId w:val="3"/>
  </w:num>
  <w:num w:numId="9">
    <w:abstractNumId w:val="3"/>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98D"/>
    <w:rsid w:val="00037619"/>
    <w:rsid w:val="00041757"/>
    <w:rsid w:val="0004184A"/>
    <w:rsid w:val="00056799"/>
    <w:rsid w:val="000770B3"/>
    <w:rsid w:val="0009537C"/>
    <w:rsid w:val="00096113"/>
    <w:rsid w:val="000A068D"/>
    <w:rsid w:val="000A502A"/>
    <w:rsid w:val="000B4005"/>
    <w:rsid w:val="000C0DA7"/>
    <w:rsid w:val="000C7F04"/>
    <w:rsid w:val="000E6D65"/>
    <w:rsid w:val="000E70FA"/>
    <w:rsid w:val="000F44AC"/>
    <w:rsid w:val="000F548F"/>
    <w:rsid w:val="00112481"/>
    <w:rsid w:val="00132EFD"/>
    <w:rsid w:val="00171AE5"/>
    <w:rsid w:val="00172922"/>
    <w:rsid w:val="001742A1"/>
    <w:rsid w:val="001752DC"/>
    <w:rsid w:val="001760E1"/>
    <w:rsid w:val="001778CF"/>
    <w:rsid w:val="001830AA"/>
    <w:rsid w:val="00183C10"/>
    <w:rsid w:val="001919F2"/>
    <w:rsid w:val="00197BE9"/>
    <w:rsid w:val="001A1688"/>
    <w:rsid w:val="001B0CC3"/>
    <w:rsid w:val="001B4296"/>
    <w:rsid w:val="001B7962"/>
    <w:rsid w:val="001C32E0"/>
    <w:rsid w:val="001C3C32"/>
    <w:rsid w:val="001D61F9"/>
    <w:rsid w:val="001E0060"/>
    <w:rsid w:val="001E1EEE"/>
    <w:rsid w:val="001E2B5C"/>
    <w:rsid w:val="001E7550"/>
    <w:rsid w:val="0020298D"/>
    <w:rsid w:val="00212491"/>
    <w:rsid w:val="002241F8"/>
    <w:rsid w:val="00236CD1"/>
    <w:rsid w:val="0025512D"/>
    <w:rsid w:val="00262C85"/>
    <w:rsid w:val="00264C60"/>
    <w:rsid w:val="00275908"/>
    <w:rsid w:val="00280999"/>
    <w:rsid w:val="0028499A"/>
    <w:rsid w:val="002A2877"/>
    <w:rsid w:val="002A3062"/>
    <w:rsid w:val="002A6960"/>
    <w:rsid w:val="002C611B"/>
    <w:rsid w:val="002C67D3"/>
    <w:rsid w:val="002D50DB"/>
    <w:rsid w:val="002D7DA8"/>
    <w:rsid w:val="0030118E"/>
    <w:rsid w:val="00305EFF"/>
    <w:rsid w:val="00313D0C"/>
    <w:rsid w:val="003206F4"/>
    <w:rsid w:val="00322FDB"/>
    <w:rsid w:val="003438B0"/>
    <w:rsid w:val="00346976"/>
    <w:rsid w:val="00346E59"/>
    <w:rsid w:val="00366BFD"/>
    <w:rsid w:val="0036787F"/>
    <w:rsid w:val="00376470"/>
    <w:rsid w:val="00386613"/>
    <w:rsid w:val="0038792B"/>
    <w:rsid w:val="00387F7D"/>
    <w:rsid w:val="003A46F4"/>
    <w:rsid w:val="003A7AFA"/>
    <w:rsid w:val="003B7B0F"/>
    <w:rsid w:val="003D5A4F"/>
    <w:rsid w:val="003F3C75"/>
    <w:rsid w:val="003F7D9E"/>
    <w:rsid w:val="004054C3"/>
    <w:rsid w:val="004249DD"/>
    <w:rsid w:val="00424B99"/>
    <w:rsid w:val="00434A37"/>
    <w:rsid w:val="00445F52"/>
    <w:rsid w:val="004523E0"/>
    <w:rsid w:val="00453ED5"/>
    <w:rsid w:val="00486D04"/>
    <w:rsid w:val="00497B4B"/>
    <w:rsid w:val="004A53C6"/>
    <w:rsid w:val="004D3F4B"/>
    <w:rsid w:val="004E002B"/>
    <w:rsid w:val="004F0639"/>
    <w:rsid w:val="004F66D8"/>
    <w:rsid w:val="005215DE"/>
    <w:rsid w:val="00523F86"/>
    <w:rsid w:val="00534246"/>
    <w:rsid w:val="00534262"/>
    <w:rsid w:val="00545DB8"/>
    <w:rsid w:val="00567A21"/>
    <w:rsid w:val="00572998"/>
    <w:rsid w:val="00592EAC"/>
    <w:rsid w:val="00597687"/>
    <w:rsid w:val="00597B97"/>
    <w:rsid w:val="005A3353"/>
    <w:rsid w:val="005A7C36"/>
    <w:rsid w:val="005B2BF2"/>
    <w:rsid w:val="005C394E"/>
    <w:rsid w:val="0060396B"/>
    <w:rsid w:val="00605557"/>
    <w:rsid w:val="006165D3"/>
    <w:rsid w:val="00626BE3"/>
    <w:rsid w:val="00654761"/>
    <w:rsid w:val="006574E9"/>
    <w:rsid w:val="00664F97"/>
    <w:rsid w:val="0066559C"/>
    <w:rsid w:val="006835BB"/>
    <w:rsid w:val="00695D8A"/>
    <w:rsid w:val="00697093"/>
    <w:rsid w:val="006973D2"/>
    <w:rsid w:val="006B32A8"/>
    <w:rsid w:val="006D7823"/>
    <w:rsid w:val="006E0993"/>
    <w:rsid w:val="006F70C5"/>
    <w:rsid w:val="00705C3C"/>
    <w:rsid w:val="007138A9"/>
    <w:rsid w:val="007151F5"/>
    <w:rsid w:val="007156AE"/>
    <w:rsid w:val="00716A69"/>
    <w:rsid w:val="00733EBC"/>
    <w:rsid w:val="0073449A"/>
    <w:rsid w:val="00754AD2"/>
    <w:rsid w:val="00760ADB"/>
    <w:rsid w:val="00775DCE"/>
    <w:rsid w:val="007823F2"/>
    <w:rsid w:val="00795A4E"/>
    <w:rsid w:val="007C0D27"/>
    <w:rsid w:val="007C2925"/>
    <w:rsid w:val="007D24F3"/>
    <w:rsid w:val="008129A3"/>
    <w:rsid w:val="00817FA3"/>
    <w:rsid w:val="00835752"/>
    <w:rsid w:val="00862346"/>
    <w:rsid w:val="00871572"/>
    <w:rsid w:val="00881A54"/>
    <w:rsid w:val="00884132"/>
    <w:rsid w:val="00886B70"/>
    <w:rsid w:val="008962B0"/>
    <w:rsid w:val="008B715C"/>
    <w:rsid w:val="008C45E5"/>
    <w:rsid w:val="008D07AA"/>
    <w:rsid w:val="008D5674"/>
    <w:rsid w:val="0090508E"/>
    <w:rsid w:val="00906019"/>
    <w:rsid w:val="00937FAF"/>
    <w:rsid w:val="00941086"/>
    <w:rsid w:val="0095028C"/>
    <w:rsid w:val="00952EBE"/>
    <w:rsid w:val="009562F0"/>
    <w:rsid w:val="00964124"/>
    <w:rsid w:val="009731F5"/>
    <w:rsid w:val="00982CBB"/>
    <w:rsid w:val="00985BCD"/>
    <w:rsid w:val="00987A2B"/>
    <w:rsid w:val="00993747"/>
    <w:rsid w:val="009A44C2"/>
    <w:rsid w:val="009B417B"/>
    <w:rsid w:val="009C36AE"/>
    <w:rsid w:val="009C5070"/>
    <w:rsid w:val="009C609D"/>
    <w:rsid w:val="009D6C58"/>
    <w:rsid w:val="009E2503"/>
    <w:rsid w:val="009E5A3B"/>
    <w:rsid w:val="009F4EC2"/>
    <w:rsid w:val="00A00489"/>
    <w:rsid w:val="00A17B3F"/>
    <w:rsid w:val="00A34DCA"/>
    <w:rsid w:val="00A3594B"/>
    <w:rsid w:val="00A40CD5"/>
    <w:rsid w:val="00A571FE"/>
    <w:rsid w:val="00A828B8"/>
    <w:rsid w:val="00AA1F6C"/>
    <w:rsid w:val="00AB31CC"/>
    <w:rsid w:val="00AB44F2"/>
    <w:rsid w:val="00AC6A98"/>
    <w:rsid w:val="00AE298C"/>
    <w:rsid w:val="00AE6801"/>
    <w:rsid w:val="00AF0C68"/>
    <w:rsid w:val="00B2368F"/>
    <w:rsid w:val="00B45EC1"/>
    <w:rsid w:val="00B6589E"/>
    <w:rsid w:val="00B659E3"/>
    <w:rsid w:val="00B82B74"/>
    <w:rsid w:val="00B904E4"/>
    <w:rsid w:val="00BA26F6"/>
    <w:rsid w:val="00BA4EE9"/>
    <w:rsid w:val="00BE581B"/>
    <w:rsid w:val="00BF1919"/>
    <w:rsid w:val="00BF41D7"/>
    <w:rsid w:val="00C12B41"/>
    <w:rsid w:val="00C30C88"/>
    <w:rsid w:val="00C40D46"/>
    <w:rsid w:val="00C55071"/>
    <w:rsid w:val="00C66B16"/>
    <w:rsid w:val="00C92651"/>
    <w:rsid w:val="00C94E59"/>
    <w:rsid w:val="00CA7553"/>
    <w:rsid w:val="00CB2397"/>
    <w:rsid w:val="00CB3475"/>
    <w:rsid w:val="00CC5070"/>
    <w:rsid w:val="00D0665A"/>
    <w:rsid w:val="00D12F75"/>
    <w:rsid w:val="00D206C7"/>
    <w:rsid w:val="00D2635F"/>
    <w:rsid w:val="00D321B0"/>
    <w:rsid w:val="00D430F1"/>
    <w:rsid w:val="00D46A04"/>
    <w:rsid w:val="00D55E33"/>
    <w:rsid w:val="00D57A6B"/>
    <w:rsid w:val="00D616ED"/>
    <w:rsid w:val="00D71F46"/>
    <w:rsid w:val="00D87AF3"/>
    <w:rsid w:val="00D93FE7"/>
    <w:rsid w:val="00D95B88"/>
    <w:rsid w:val="00DA7AEB"/>
    <w:rsid w:val="00DB4948"/>
    <w:rsid w:val="00DC142B"/>
    <w:rsid w:val="00DE60EE"/>
    <w:rsid w:val="00DF2447"/>
    <w:rsid w:val="00E03911"/>
    <w:rsid w:val="00E22661"/>
    <w:rsid w:val="00E35C3E"/>
    <w:rsid w:val="00E420F5"/>
    <w:rsid w:val="00E4755F"/>
    <w:rsid w:val="00E477C7"/>
    <w:rsid w:val="00E6462B"/>
    <w:rsid w:val="00E922B5"/>
    <w:rsid w:val="00E948BB"/>
    <w:rsid w:val="00EA1A02"/>
    <w:rsid w:val="00EC44E1"/>
    <w:rsid w:val="00EE1656"/>
    <w:rsid w:val="00EE2B57"/>
    <w:rsid w:val="00EF12E6"/>
    <w:rsid w:val="00EF1D5D"/>
    <w:rsid w:val="00EF45D5"/>
    <w:rsid w:val="00F0459E"/>
    <w:rsid w:val="00F1737E"/>
    <w:rsid w:val="00F24B9A"/>
    <w:rsid w:val="00F27957"/>
    <w:rsid w:val="00F3217B"/>
    <w:rsid w:val="00F34E86"/>
    <w:rsid w:val="00F35BAF"/>
    <w:rsid w:val="00F501F5"/>
    <w:rsid w:val="00F51FEC"/>
    <w:rsid w:val="00F746F8"/>
    <w:rsid w:val="00F96AF6"/>
    <w:rsid w:val="00FB5B52"/>
    <w:rsid w:val="00FE2856"/>
    <w:rsid w:val="00FE39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AD8D5CB"/>
  <w15:docId w15:val="{082128D5-F6A5-488C-B0A1-FE193162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298D"/>
    <w:pPr>
      <w:spacing w:after="120" w:line="240" w:lineRule="auto"/>
      <w:jc w:val="both"/>
    </w:pPr>
  </w:style>
  <w:style w:type="paragraph" w:styleId="Nadpis1">
    <w:name w:val="heading 1"/>
    <w:basedOn w:val="Normln"/>
    <w:next w:val="Normln"/>
    <w:link w:val="Nadpis1Char"/>
    <w:uiPriority w:val="9"/>
    <w:qFormat/>
    <w:rsid w:val="00D46A0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9"/>
    <w:qFormat/>
    <w:rsid w:val="00D46A04"/>
    <w:pPr>
      <w:keepNext/>
      <w:spacing w:before="240" w:after="60"/>
      <w:outlineLvl w:val="1"/>
    </w:pPr>
    <w:rPr>
      <w:rFonts w:eastAsia="Times New Roman"/>
      <w:b/>
      <w:bCs/>
      <w:i/>
      <w:iCs/>
      <w:sz w:val="28"/>
      <w:szCs w:val="28"/>
      <w:lang w:eastAsia="cs-CZ"/>
    </w:rPr>
  </w:style>
  <w:style w:type="paragraph" w:styleId="Nadpis3">
    <w:name w:val="heading 3"/>
    <w:basedOn w:val="Normln"/>
    <w:next w:val="Normln"/>
    <w:link w:val="Nadpis3Char"/>
    <w:uiPriority w:val="9"/>
    <w:semiHidden/>
    <w:unhideWhenUsed/>
    <w:qFormat/>
    <w:rsid w:val="002759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Vnadpis2">
    <w:name w:val="IV nadpis 2"/>
    <w:basedOn w:val="Odstavecseseznamem"/>
    <w:link w:val="IVnadpis2Char"/>
    <w:qFormat/>
    <w:rsid w:val="00605557"/>
    <w:pPr>
      <w:ind w:left="0"/>
    </w:pPr>
    <w:rPr>
      <w:rFonts w:ascii="Arial" w:eastAsiaTheme="minorHAnsi" w:hAnsi="Arial" w:cs="Arial"/>
      <w:sz w:val="28"/>
      <w:szCs w:val="20"/>
      <w:lang w:eastAsia="en-US"/>
    </w:rPr>
  </w:style>
  <w:style w:type="character" w:customStyle="1" w:styleId="IVnadpis2Char">
    <w:name w:val="IV nadpis 2 Char"/>
    <w:link w:val="IVnadpis2"/>
    <w:rsid w:val="00605557"/>
    <w:rPr>
      <w:sz w:val="28"/>
      <w:szCs w:val="20"/>
    </w:rPr>
  </w:style>
  <w:style w:type="paragraph" w:styleId="Odstavecseseznamem">
    <w:name w:val="List Paragraph"/>
    <w:basedOn w:val="Normln"/>
    <w:link w:val="OdstavecseseznamemChar"/>
    <w:uiPriority w:val="34"/>
    <w:qFormat/>
    <w:rsid w:val="00D46A04"/>
    <w:pPr>
      <w:ind w:left="720"/>
      <w:contextualSpacing/>
    </w:pPr>
    <w:rPr>
      <w:rFonts w:ascii="Times New Roman" w:eastAsia="Times New Roman" w:hAnsi="Times New Roman" w:cs="Times New Roman"/>
      <w:lang w:eastAsia="cs-CZ"/>
    </w:rPr>
  </w:style>
  <w:style w:type="paragraph" w:customStyle="1" w:styleId="IVnadpis3">
    <w:name w:val="IV nadpis 3"/>
    <w:basedOn w:val="Normln"/>
    <w:qFormat/>
    <w:rsid w:val="00D46A04"/>
    <w:pPr>
      <w:numPr>
        <w:ilvl w:val="2"/>
        <w:numId w:val="6"/>
      </w:numPr>
      <w:spacing w:line="288" w:lineRule="auto"/>
    </w:pPr>
    <w:rPr>
      <w:b/>
      <w:sz w:val="20"/>
      <w:szCs w:val="20"/>
    </w:rPr>
  </w:style>
  <w:style w:type="paragraph" w:customStyle="1" w:styleId="IVnadpis4">
    <w:name w:val="IV nadpis 4"/>
    <w:basedOn w:val="Normln"/>
    <w:qFormat/>
    <w:rsid w:val="00D46A04"/>
    <w:pPr>
      <w:numPr>
        <w:ilvl w:val="3"/>
        <w:numId w:val="6"/>
      </w:numPr>
      <w:spacing w:line="288" w:lineRule="auto"/>
    </w:pPr>
    <w:rPr>
      <w:b/>
      <w:sz w:val="20"/>
      <w:szCs w:val="20"/>
    </w:rPr>
  </w:style>
  <w:style w:type="character" w:customStyle="1" w:styleId="Nadpis1Char">
    <w:name w:val="Nadpis 1 Char"/>
    <w:basedOn w:val="Standardnpsmoodstavce"/>
    <w:link w:val="Nadpis1"/>
    <w:uiPriority w:val="9"/>
    <w:rsid w:val="00D46A04"/>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9"/>
    <w:rsid w:val="00D46A04"/>
    <w:rPr>
      <w:rFonts w:eastAsia="Times New Roman"/>
      <w:b/>
      <w:bCs/>
      <w:i/>
      <w:iCs/>
      <w:sz w:val="28"/>
      <w:szCs w:val="28"/>
      <w:lang w:eastAsia="cs-CZ"/>
    </w:rPr>
  </w:style>
  <w:style w:type="character" w:styleId="Siln">
    <w:name w:val="Strong"/>
    <w:uiPriority w:val="22"/>
    <w:qFormat/>
    <w:rsid w:val="00D46A04"/>
    <w:rPr>
      <w:b/>
      <w:bCs/>
    </w:rPr>
  </w:style>
  <w:style w:type="character" w:customStyle="1" w:styleId="OdstavecseseznamemChar">
    <w:name w:val="Odstavec se seznamem Char"/>
    <w:link w:val="Odstavecseseznamem"/>
    <w:uiPriority w:val="34"/>
    <w:rsid w:val="00D46A04"/>
    <w:rPr>
      <w:rFonts w:ascii="Times New Roman" w:eastAsia="Times New Roman" w:hAnsi="Times New Roman" w:cs="Times New Roman"/>
      <w:lang w:eastAsia="cs-CZ"/>
    </w:rPr>
  </w:style>
  <w:style w:type="table" w:styleId="Mkatabulky">
    <w:name w:val="Table Grid"/>
    <w:basedOn w:val="Normlntabulka"/>
    <w:uiPriority w:val="59"/>
    <w:rsid w:val="001B0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ednseznam2zvraznn1">
    <w:name w:val="Medium List 2 Accent 1"/>
    <w:basedOn w:val="Normlntabulka"/>
    <w:uiPriority w:val="66"/>
    <w:rsid w:val="003F3C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vtlstnovnzvraznn1">
    <w:name w:val="Light Shading Accent 1"/>
    <w:basedOn w:val="Normlntabulka"/>
    <w:uiPriority w:val="60"/>
    <w:rsid w:val="003F3C7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Zhlav">
    <w:name w:val="header"/>
    <w:basedOn w:val="Normln"/>
    <w:link w:val="ZhlavChar"/>
    <w:uiPriority w:val="99"/>
    <w:unhideWhenUsed/>
    <w:rsid w:val="00275908"/>
    <w:pPr>
      <w:tabs>
        <w:tab w:val="center" w:pos="4536"/>
        <w:tab w:val="right" w:pos="9072"/>
      </w:tabs>
      <w:spacing w:after="0"/>
    </w:pPr>
  </w:style>
  <w:style w:type="character" w:customStyle="1" w:styleId="ZhlavChar">
    <w:name w:val="Záhlaví Char"/>
    <w:basedOn w:val="Standardnpsmoodstavce"/>
    <w:link w:val="Zhlav"/>
    <w:uiPriority w:val="99"/>
    <w:rsid w:val="00275908"/>
  </w:style>
  <w:style w:type="paragraph" w:styleId="Zpat">
    <w:name w:val="footer"/>
    <w:basedOn w:val="Normln"/>
    <w:link w:val="ZpatChar"/>
    <w:uiPriority w:val="99"/>
    <w:unhideWhenUsed/>
    <w:rsid w:val="00275908"/>
    <w:pPr>
      <w:tabs>
        <w:tab w:val="center" w:pos="4536"/>
        <w:tab w:val="right" w:pos="9072"/>
      </w:tabs>
      <w:spacing w:after="0"/>
    </w:pPr>
  </w:style>
  <w:style w:type="character" w:customStyle="1" w:styleId="ZpatChar">
    <w:name w:val="Zápatí Char"/>
    <w:basedOn w:val="Standardnpsmoodstavce"/>
    <w:link w:val="Zpat"/>
    <w:uiPriority w:val="99"/>
    <w:rsid w:val="00275908"/>
  </w:style>
  <w:style w:type="paragraph" w:styleId="Obsah1">
    <w:name w:val="toc 1"/>
    <w:basedOn w:val="Normln"/>
    <w:next w:val="Normln"/>
    <w:autoRedefine/>
    <w:uiPriority w:val="39"/>
    <w:unhideWhenUsed/>
    <w:rsid w:val="00275908"/>
    <w:pPr>
      <w:spacing w:after="100"/>
    </w:pPr>
  </w:style>
  <w:style w:type="character" w:customStyle="1" w:styleId="Nadpis3Char">
    <w:name w:val="Nadpis 3 Char"/>
    <w:basedOn w:val="Standardnpsmoodstavce"/>
    <w:link w:val="Nadpis3"/>
    <w:uiPriority w:val="9"/>
    <w:semiHidden/>
    <w:rsid w:val="00275908"/>
    <w:rPr>
      <w:rFonts w:asciiTheme="majorHAnsi" w:eastAsiaTheme="majorEastAsia" w:hAnsiTheme="majorHAnsi" w:cstheme="majorBidi"/>
      <w:b/>
      <w:bCs/>
      <w:color w:val="4F81BD" w:themeColor="accent1"/>
    </w:rPr>
  </w:style>
  <w:style w:type="paragraph" w:styleId="Textbubliny">
    <w:name w:val="Balloon Text"/>
    <w:basedOn w:val="Normln"/>
    <w:link w:val="TextbublinyChar"/>
    <w:uiPriority w:val="99"/>
    <w:semiHidden/>
    <w:unhideWhenUsed/>
    <w:rsid w:val="00523F86"/>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23F86"/>
    <w:rPr>
      <w:rFonts w:ascii="Tahoma" w:hAnsi="Tahoma" w:cs="Tahoma"/>
      <w:sz w:val="16"/>
      <w:szCs w:val="16"/>
    </w:rPr>
  </w:style>
  <w:style w:type="paragraph" w:styleId="Zkladntextodsazen">
    <w:name w:val="Body Text Indent"/>
    <w:basedOn w:val="Normln"/>
    <w:link w:val="ZkladntextodsazenChar"/>
    <w:rsid w:val="00817FA3"/>
    <w:pPr>
      <w:autoSpaceDE w:val="0"/>
      <w:autoSpaceDN w:val="0"/>
      <w:adjustRightInd w:val="0"/>
      <w:spacing w:after="0"/>
      <w:ind w:left="360"/>
      <w:jc w:val="left"/>
    </w:pPr>
    <w:rPr>
      <w:rFonts w:ascii="Times New Roman" w:eastAsia="Times New Roman" w:hAnsi="Times New Roman" w:cs="Times New Roman"/>
      <w:lang w:eastAsia="cs-CZ"/>
    </w:rPr>
  </w:style>
  <w:style w:type="character" w:customStyle="1" w:styleId="ZkladntextodsazenChar">
    <w:name w:val="Základní text odsazený Char"/>
    <w:basedOn w:val="Standardnpsmoodstavce"/>
    <w:link w:val="Zkladntextodsazen"/>
    <w:rsid w:val="00817FA3"/>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5408">
      <w:bodyDiv w:val="1"/>
      <w:marLeft w:val="0"/>
      <w:marRight w:val="0"/>
      <w:marTop w:val="0"/>
      <w:marBottom w:val="0"/>
      <w:divBdr>
        <w:top w:val="none" w:sz="0" w:space="0" w:color="auto"/>
        <w:left w:val="none" w:sz="0" w:space="0" w:color="auto"/>
        <w:bottom w:val="none" w:sz="0" w:space="0" w:color="auto"/>
        <w:right w:val="none" w:sz="0" w:space="0" w:color="auto"/>
      </w:divBdr>
    </w:div>
    <w:div w:id="121002735">
      <w:bodyDiv w:val="1"/>
      <w:marLeft w:val="0"/>
      <w:marRight w:val="0"/>
      <w:marTop w:val="0"/>
      <w:marBottom w:val="0"/>
      <w:divBdr>
        <w:top w:val="none" w:sz="0" w:space="0" w:color="auto"/>
        <w:left w:val="none" w:sz="0" w:space="0" w:color="auto"/>
        <w:bottom w:val="none" w:sz="0" w:space="0" w:color="auto"/>
        <w:right w:val="none" w:sz="0" w:space="0" w:color="auto"/>
      </w:divBdr>
    </w:div>
    <w:div w:id="301427417">
      <w:bodyDiv w:val="1"/>
      <w:marLeft w:val="0"/>
      <w:marRight w:val="0"/>
      <w:marTop w:val="0"/>
      <w:marBottom w:val="0"/>
      <w:divBdr>
        <w:top w:val="none" w:sz="0" w:space="0" w:color="auto"/>
        <w:left w:val="none" w:sz="0" w:space="0" w:color="auto"/>
        <w:bottom w:val="none" w:sz="0" w:space="0" w:color="auto"/>
        <w:right w:val="none" w:sz="0" w:space="0" w:color="auto"/>
      </w:divBdr>
    </w:div>
    <w:div w:id="397751541">
      <w:bodyDiv w:val="1"/>
      <w:marLeft w:val="0"/>
      <w:marRight w:val="0"/>
      <w:marTop w:val="0"/>
      <w:marBottom w:val="0"/>
      <w:divBdr>
        <w:top w:val="none" w:sz="0" w:space="0" w:color="auto"/>
        <w:left w:val="none" w:sz="0" w:space="0" w:color="auto"/>
        <w:bottom w:val="none" w:sz="0" w:space="0" w:color="auto"/>
        <w:right w:val="none" w:sz="0" w:space="0" w:color="auto"/>
      </w:divBdr>
    </w:div>
    <w:div w:id="621575645">
      <w:bodyDiv w:val="1"/>
      <w:marLeft w:val="0"/>
      <w:marRight w:val="0"/>
      <w:marTop w:val="0"/>
      <w:marBottom w:val="0"/>
      <w:divBdr>
        <w:top w:val="none" w:sz="0" w:space="0" w:color="auto"/>
        <w:left w:val="none" w:sz="0" w:space="0" w:color="auto"/>
        <w:bottom w:val="none" w:sz="0" w:space="0" w:color="auto"/>
        <w:right w:val="none" w:sz="0" w:space="0" w:color="auto"/>
      </w:divBdr>
      <w:divsChild>
        <w:div w:id="238028447">
          <w:marLeft w:val="547"/>
          <w:marRight w:val="0"/>
          <w:marTop w:val="134"/>
          <w:marBottom w:val="0"/>
          <w:divBdr>
            <w:top w:val="none" w:sz="0" w:space="0" w:color="auto"/>
            <w:left w:val="none" w:sz="0" w:space="0" w:color="auto"/>
            <w:bottom w:val="none" w:sz="0" w:space="0" w:color="auto"/>
            <w:right w:val="none" w:sz="0" w:space="0" w:color="auto"/>
          </w:divBdr>
        </w:div>
        <w:div w:id="1292983449">
          <w:marLeft w:val="547"/>
          <w:marRight w:val="0"/>
          <w:marTop w:val="134"/>
          <w:marBottom w:val="0"/>
          <w:divBdr>
            <w:top w:val="none" w:sz="0" w:space="0" w:color="auto"/>
            <w:left w:val="none" w:sz="0" w:space="0" w:color="auto"/>
            <w:bottom w:val="none" w:sz="0" w:space="0" w:color="auto"/>
            <w:right w:val="none" w:sz="0" w:space="0" w:color="auto"/>
          </w:divBdr>
        </w:div>
        <w:div w:id="1992634366">
          <w:marLeft w:val="547"/>
          <w:marRight w:val="0"/>
          <w:marTop w:val="134"/>
          <w:marBottom w:val="0"/>
          <w:divBdr>
            <w:top w:val="none" w:sz="0" w:space="0" w:color="auto"/>
            <w:left w:val="none" w:sz="0" w:space="0" w:color="auto"/>
            <w:bottom w:val="none" w:sz="0" w:space="0" w:color="auto"/>
            <w:right w:val="none" w:sz="0" w:space="0" w:color="auto"/>
          </w:divBdr>
        </w:div>
        <w:div w:id="387994467">
          <w:marLeft w:val="547"/>
          <w:marRight w:val="0"/>
          <w:marTop w:val="134"/>
          <w:marBottom w:val="0"/>
          <w:divBdr>
            <w:top w:val="none" w:sz="0" w:space="0" w:color="auto"/>
            <w:left w:val="none" w:sz="0" w:space="0" w:color="auto"/>
            <w:bottom w:val="none" w:sz="0" w:space="0" w:color="auto"/>
            <w:right w:val="none" w:sz="0" w:space="0" w:color="auto"/>
          </w:divBdr>
        </w:div>
        <w:div w:id="1809591505">
          <w:marLeft w:val="547"/>
          <w:marRight w:val="0"/>
          <w:marTop w:val="134"/>
          <w:marBottom w:val="0"/>
          <w:divBdr>
            <w:top w:val="none" w:sz="0" w:space="0" w:color="auto"/>
            <w:left w:val="none" w:sz="0" w:space="0" w:color="auto"/>
            <w:bottom w:val="none" w:sz="0" w:space="0" w:color="auto"/>
            <w:right w:val="none" w:sz="0" w:space="0" w:color="auto"/>
          </w:divBdr>
        </w:div>
        <w:div w:id="2087652350">
          <w:marLeft w:val="547"/>
          <w:marRight w:val="0"/>
          <w:marTop w:val="134"/>
          <w:marBottom w:val="0"/>
          <w:divBdr>
            <w:top w:val="none" w:sz="0" w:space="0" w:color="auto"/>
            <w:left w:val="none" w:sz="0" w:space="0" w:color="auto"/>
            <w:bottom w:val="none" w:sz="0" w:space="0" w:color="auto"/>
            <w:right w:val="none" w:sz="0" w:space="0" w:color="auto"/>
          </w:divBdr>
        </w:div>
      </w:divsChild>
    </w:div>
    <w:div w:id="709689594">
      <w:bodyDiv w:val="1"/>
      <w:marLeft w:val="0"/>
      <w:marRight w:val="0"/>
      <w:marTop w:val="0"/>
      <w:marBottom w:val="0"/>
      <w:divBdr>
        <w:top w:val="none" w:sz="0" w:space="0" w:color="auto"/>
        <w:left w:val="none" w:sz="0" w:space="0" w:color="auto"/>
        <w:bottom w:val="none" w:sz="0" w:space="0" w:color="auto"/>
        <w:right w:val="none" w:sz="0" w:space="0" w:color="auto"/>
      </w:divBdr>
      <w:divsChild>
        <w:div w:id="335808380">
          <w:marLeft w:val="0"/>
          <w:marRight w:val="0"/>
          <w:marTop w:val="0"/>
          <w:marBottom w:val="0"/>
          <w:divBdr>
            <w:top w:val="none" w:sz="0" w:space="0" w:color="auto"/>
            <w:left w:val="none" w:sz="0" w:space="0" w:color="auto"/>
            <w:bottom w:val="none" w:sz="0" w:space="0" w:color="auto"/>
            <w:right w:val="none" w:sz="0" w:space="0" w:color="auto"/>
          </w:divBdr>
          <w:divsChild>
            <w:div w:id="944464910">
              <w:marLeft w:val="0"/>
              <w:marRight w:val="0"/>
              <w:marTop w:val="900"/>
              <w:marBottom w:val="0"/>
              <w:divBdr>
                <w:top w:val="none" w:sz="0" w:space="0" w:color="auto"/>
                <w:left w:val="none" w:sz="0" w:space="0" w:color="auto"/>
                <w:bottom w:val="none" w:sz="0" w:space="0" w:color="auto"/>
                <w:right w:val="none" w:sz="0" w:space="0" w:color="auto"/>
              </w:divBdr>
              <w:divsChild>
                <w:div w:id="206065314">
                  <w:marLeft w:val="0"/>
                  <w:marRight w:val="0"/>
                  <w:marTop w:val="0"/>
                  <w:marBottom w:val="0"/>
                  <w:divBdr>
                    <w:top w:val="none" w:sz="0" w:space="0" w:color="auto"/>
                    <w:left w:val="none" w:sz="0" w:space="0" w:color="auto"/>
                    <w:bottom w:val="none" w:sz="0" w:space="0" w:color="auto"/>
                    <w:right w:val="none" w:sz="0" w:space="0" w:color="auto"/>
                  </w:divBdr>
                  <w:divsChild>
                    <w:div w:id="364913470">
                      <w:marLeft w:val="0"/>
                      <w:marRight w:val="0"/>
                      <w:marTop w:val="0"/>
                      <w:marBottom w:val="0"/>
                      <w:divBdr>
                        <w:top w:val="none" w:sz="0" w:space="0" w:color="auto"/>
                        <w:left w:val="none" w:sz="0" w:space="0" w:color="auto"/>
                        <w:bottom w:val="none" w:sz="0" w:space="0" w:color="auto"/>
                        <w:right w:val="none" w:sz="0" w:space="0" w:color="auto"/>
                      </w:divBdr>
                      <w:divsChild>
                        <w:div w:id="180600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181354">
      <w:bodyDiv w:val="1"/>
      <w:marLeft w:val="0"/>
      <w:marRight w:val="0"/>
      <w:marTop w:val="0"/>
      <w:marBottom w:val="0"/>
      <w:divBdr>
        <w:top w:val="none" w:sz="0" w:space="0" w:color="auto"/>
        <w:left w:val="none" w:sz="0" w:space="0" w:color="auto"/>
        <w:bottom w:val="none" w:sz="0" w:space="0" w:color="auto"/>
        <w:right w:val="none" w:sz="0" w:space="0" w:color="auto"/>
      </w:divBdr>
    </w:div>
    <w:div w:id="1429422462">
      <w:bodyDiv w:val="1"/>
      <w:marLeft w:val="0"/>
      <w:marRight w:val="0"/>
      <w:marTop w:val="0"/>
      <w:marBottom w:val="0"/>
      <w:divBdr>
        <w:top w:val="none" w:sz="0" w:space="0" w:color="auto"/>
        <w:left w:val="none" w:sz="0" w:space="0" w:color="auto"/>
        <w:bottom w:val="none" w:sz="0" w:space="0" w:color="auto"/>
        <w:right w:val="none" w:sz="0" w:space="0" w:color="auto"/>
      </w:divBdr>
    </w:div>
    <w:div w:id="1674651067">
      <w:bodyDiv w:val="1"/>
      <w:marLeft w:val="0"/>
      <w:marRight w:val="0"/>
      <w:marTop w:val="0"/>
      <w:marBottom w:val="0"/>
      <w:divBdr>
        <w:top w:val="none" w:sz="0" w:space="0" w:color="auto"/>
        <w:left w:val="none" w:sz="0" w:space="0" w:color="auto"/>
        <w:bottom w:val="none" w:sz="0" w:space="0" w:color="auto"/>
        <w:right w:val="none" w:sz="0" w:space="0" w:color="auto"/>
      </w:divBdr>
    </w:div>
    <w:div w:id="1706982300">
      <w:bodyDiv w:val="1"/>
      <w:marLeft w:val="0"/>
      <w:marRight w:val="0"/>
      <w:marTop w:val="0"/>
      <w:marBottom w:val="0"/>
      <w:divBdr>
        <w:top w:val="none" w:sz="0" w:space="0" w:color="auto"/>
        <w:left w:val="none" w:sz="0" w:space="0" w:color="auto"/>
        <w:bottom w:val="none" w:sz="0" w:space="0" w:color="auto"/>
        <w:right w:val="none" w:sz="0" w:space="0" w:color="auto"/>
      </w:divBdr>
    </w:div>
    <w:div w:id="1746417898">
      <w:bodyDiv w:val="1"/>
      <w:marLeft w:val="0"/>
      <w:marRight w:val="0"/>
      <w:marTop w:val="0"/>
      <w:marBottom w:val="0"/>
      <w:divBdr>
        <w:top w:val="none" w:sz="0" w:space="0" w:color="auto"/>
        <w:left w:val="none" w:sz="0" w:space="0" w:color="auto"/>
        <w:bottom w:val="none" w:sz="0" w:space="0" w:color="auto"/>
        <w:right w:val="none" w:sz="0" w:space="0" w:color="auto"/>
      </w:divBdr>
    </w:div>
    <w:div w:id="1931280850">
      <w:bodyDiv w:val="1"/>
      <w:marLeft w:val="0"/>
      <w:marRight w:val="0"/>
      <w:marTop w:val="0"/>
      <w:marBottom w:val="0"/>
      <w:divBdr>
        <w:top w:val="none" w:sz="0" w:space="0" w:color="auto"/>
        <w:left w:val="none" w:sz="0" w:space="0" w:color="auto"/>
        <w:bottom w:val="none" w:sz="0" w:space="0" w:color="auto"/>
        <w:right w:val="none" w:sz="0" w:space="0" w:color="auto"/>
      </w:divBdr>
    </w:div>
    <w:div w:id="199486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fs01\USERS2\ok_jura7106\PR&#218;OOK%202015\Hodnocen&#237;%202017\Hodnocen&#237;%20SROK%202017_v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t>Vývoj výše výdajů na rozvojové činnosti dle hodnocení SROK</a:t>
            </a:r>
          </a:p>
        </c:rich>
      </c:tx>
      <c:layout/>
      <c:overlay val="0"/>
    </c:title>
    <c:autoTitleDeleted val="0"/>
    <c:plotArea>
      <c:layout>
        <c:manualLayout>
          <c:layoutTarget val="inner"/>
          <c:xMode val="edge"/>
          <c:yMode val="edge"/>
          <c:x val="0.10581194711772139"/>
          <c:y val="0.13960842362067666"/>
          <c:w val="0.71821022372203469"/>
          <c:h val="0.77317955360018642"/>
        </c:manualLayout>
      </c:layout>
      <c:lineChart>
        <c:grouping val="standard"/>
        <c:varyColors val="0"/>
        <c:ser>
          <c:idx val="1"/>
          <c:order val="0"/>
          <c:tx>
            <c:strRef>
              <c:f>Vývoj!$A$16</c:f>
              <c:strCache>
                <c:ptCount val="1"/>
                <c:pt idx="0">
                  <c:v>Hodnocení SROK celkem</c:v>
                </c:pt>
              </c:strCache>
            </c:strRef>
          </c:tx>
          <c:spPr>
            <a:ln>
              <a:solidFill>
                <a:srgbClr val="002060"/>
              </a:solidFill>
            </a:ln>
          </c:spPr>
          <c:marker>
            <c:spPr>
              <a:solidFill>
                <a:srgbClr val="002060"/>
              </a:solidFill>
            </c:spPr>
          </c:marker>
          <c:cat>
            <c:strRef>
              <c:f>Vývoj!$B$14:$H$14</c:f>
              <c:strCache>
                <c:ptCount val="7"/>
                <c:pt idx="0">
                  <c:v>2011</c:v>
                </c:pt>
                <c:pt idx="1">
                  <c:v>2012</c:v>
                </c:pt>
                <c:pt idx="2">
                  <c:v>2013</c:v>
                </c:pt>
                <c:pt idx="3">
                  <c:v>2014</c:v>
                </c:pt>
                <c:pt idx="4">
                  <c:v>2015*</c:v>
                </c:pt>
                <c:pt idx="5">
                  <c:v>2016*</c:v>
                </c:pt>
                <c:pt idx="6">
                  <c:v>2017*</c:v>
                </c:pt>
              </c:strCache>
            </c:strRef>
          </c:cat>
          <c:val>
            <c:numRef>
              <c:f>Vývoj!$B$16:$H$16</c:f>
              <c:numCache>
                <c:formatCode>General</c:formatCode>
                <c:ptCount val="7"/>
                <c:pt idx="0">
                  <c:v>1607638</c:v>
                </c:pt>
                <c:pt idx="1">
                  <c:v>1685842</c:v>
                </c:pt>
                <c:pt idx="2">
                  <c:v>1472887</c:v>
                </c:pt>
                <c:pt idx="3">
                  <c:v>2033395</c:v>
                </c:pt>
                <c:pt idx="4">
                  <c:v>2195630</c:v>
                </c:pt>
                <c:pt idx="5">
                  <c:v>1634844</c:v>
                </c:pt>
                <c:pt idx="6">
                  <c:v>1726818</c:v>
                </c:pt>
              </c:numCache>
            </c:numRef>
          </c:val>
          <c:smooth val="0"/>
          <c:extLst>
            <c:ext xmlns:c16="http://schemas.microsoft.com/office/drawing/2014/chart" uri="{C3380CC4-5D6E-409C-BE32-E72D297353CC}">
              <c16:uniqueId val="{00000000-E33B-4C20-B5DD-C87FAB166873}"/>
            </c:ext>
          </c:extLst>
        </c:ser>
        <c:ser>
          <c:idx val="4"/>
          <c:order val="1"/>
          <c:tx>
            <c:strRef>
              <c:f>Vývoj!$A$19</c:f>
              <c:strCache>
                <c:ptCount val="1"/>
                <c:pt idx="0">
                  <c:v>Čistá výše dotace získané OK</c:v>
                </c:pt>
              </c:strCache>
            </c:strRef>
          </c:tx>
          <c:spPr>
            <a:ln>
              <a:solidFill>
                <a:srgbClr val="00B0F0"/>
              </a:solidFill>
              <a:prstDash val="sysDash"/>
            </a:ln>
          </c:spPr>
          <c:marker>
            <c:spPr>
              <a:solidFill>
                <a:srgbClr val="00B0F0"/>
              </a:solidFill>
            </c:spPr>
          </c:marker>
          <c:cat>
            <c:strRef>
              <c:f>Vývoj!$B$14:$H$14</c:f>
              <c:strCache>
                <c:ptCount val="7"/>
                <c:pt idx="0">
                  <c:v>2011</c:v>
                </c:pt>
                <c:pt idx="1">
                  <c:v>2012</c:v>
                </c:pt>
                <c:pt idx="2">
                  <c:v>2013</c:v>
                </c:pt>
                <c:pt idx="3">
                  <c:v>2014</c:v>
                </c:pt>
                <c:pt idx="4">
                  <c:v>2015*</c:v>
                </c:pt>
                <c:pt idx="5">
                  <c:v>2016*</c:v>
                </c:pt>
                <c:pt idx="6">
                  <c:v>2017*</c:v>
                </c:pt>
              </c:strCache>
            </c:strRef>
          </c:cat>
          <c:val>
            <c:numRef>
              <c:f>Vývoj!$B$19:$H$19</c:f>
              <c:numCache>
                <c:formatCode>General</c:formatCode>
                <c:ptCount val="7"/>
                <c:pt idx="0">
                  <c:v>505857</c:v>
                </c:pt>
                <c:pt idx="1">
                  <c:v>418589</c:v>
                </c:pt>
                <c:pt idx="2">
                  <c:v>286508</c:v>
                </c:pt>
                <c:pt idx="3">
                  <c:v>877745</c:v>
                </c:pt>
                <c:pt idx="4">
                  <c:v>1143591</c:v>
                </c:pt>
                <c:pt idx="5">
                  <c:v>383485</c:v>
                </c:pt>
                <c:pt idx="6">
                  <c:v>479135</c:v>
                </c:pt>
              </c:numCache>
            </c:numRef>
          </c:val>
          <c:smooth val="0"/>
          <c:extLst>
            <c:ext xmlns:c16="http://schemas.microsoft.com/office/drawing/2014/chart" uri="{C3380CC4-5D6E-409C-BE32-E72D297353CC}">
              <c16:uniqueId val="{00000001-E33B-4C20-B5DD-C87FAB166873}"/>
            </c:ext>
          </c:extLst>
        </c:ser>
        <c:ser>
          <c:idx val="5"/>
          <c:order val="2"/>
          <c:tx>
            <c:strRef>
              <c:f>Vývoj!$A$20</c:f>
              <c:strCache>
                <c:ptCount val="1"/>
                <c:pt idx="0">
                  <c:v>Dotace poskytnuté druhým subjektům</c:v>
                </c:pt>
              </c:strCache>
            </c:strRef>
          </c:tx>
          <c:spPr>
            <a:ln>
              <a:solidFill>
                <a:srgbClr val="63D03C"/>
              </a:solidFill>
              <a:prstDash val="sysDot"/>
            </a:ln>
          </c:spPr>
          <c:marker>
            <c:spPr>
              <a:solidFill>
                <a:srgbClr val="63D03C"/>
              </a:solidFill>
            </c:spPr>
          </c:marker>
          <c:cat>
            <c:strRef>
              <c:f>Vývoj!$B$14:$H$14</c:f>
              <c:strCache>
                <c:ptCount val="7"/>
                <c:pt idx="0">
                  <c:v>2011</c:v>
                </c:pt>
                <c:pt idx="1">
                  <c:v>2012</c:v>
                </c:pt>
                <c:pt idx="2">
                  <c:v>2013</c:v>
                </c:pt>
                <c:pt idx="3">
                  <c:v>2014</c:v>
                </c:pt>
                <c:pt idx="4">
                  <c:v>2015*</c:v>
                </c:pt>
                <c:pt idx="5">
                  <c:v>2016*</c:v>
                </c:pt>
                <c:pt idx="6">
                  <c:v>2017*</c:v>
                </c:pt>
              </c:strCache>
            </c:strRef>
          </c:cat>
          <c:val>
            <c:numRef>
              <c:f>Vývoj!$B$20:$H$20</c:f>
              <c:numCache>
                <c:formatCode>General</c:formatCode>
                <c:ptCount val="7"/>
                <c:pt idx="0">
                  <c:v>318555</c:v>
                </c:pt>
                <c:pt idx="1">
                  <c:v>345101</c:v>
                </c:pt>
                <c:pt idx="2">
                  <c:v>313709</c:v>
                </c:pt>
                <c:pt idx="3">
                  <c:v>398848</c:v>
                </c:pt>
                <c:pt idx="4">
                  <c:v>410739</c:v>
                </c:pt>
                <c:pt idx="5">
                  <c:v>473283</c:v>
                </c:pt>
                <c:pt idx="6">
                  <c:v>459998</c:v>
                </c:pt>
              </c:numCache>
            </c:numRef>
          </c:val>
          <c:smooth val="0"/>
          <c:extLst>
            <c:ext xmlns:c16="http://schemas.microsoft.com/office/drawing/2014/chart" uri="{C3380CC4-5D6E-409C-BE32-E72D297353CC}">
              <c16:uniqueId val="{00000002-E33B-4C20-B5DD-C87FAB166873}"/>
            </c:ext>
          </c:extLst>
        </c:ser>
        <c:dLbls>
          <c:showLegendKey val="0"/>
          <c:showVal val="0"/>
          <c:showCatName val="0"/>
          <c:showSerName val="0"/>
          <c:showPercent val="0"/>
          <c:showBubbleSize val="0"/>
        </c:dLbls>
        <c:marker val="1"/>
        <c:smooth val="0"/>
        <c:axId val="94446336"/>
        <c:axId val="94448256"/>
      </c:lineChart>
      <c:catAx>
        <c:axId val="94446336"/>
        <c:scaling>
          <c:orientation val="minMax"/>
        </c:scaling>
        <c:delete val="0"/>
        <c:axPos val="b"/>
        <c:numFmt formatCode="General" sourceLinked="0"/>
        <c:majorTickMark val="out"/>
        <c:minorTickMark val="none"/>
        <c:tickLblPos val="nextTo"/>
        <c:crossAx val="94448256"/>
        <c:crosses val="autoZero"/>
        <c:auto val="1"/>
        <c:lblAlgn val="ctr"/>
        <c:lblOffset val="100"/>
        <c:noMultiLvlLbl val="0"/>
      </c:catAx>
      <c:valAx>
        <c:axId val="94448256"/>
        <c:scaling>
          <c:orientation val="minMax"/>
        </c:scaling>
        <c:delete val="0"/>
        <c:axPos val="l"/>
        <c:majorGridlines/>
        <c:title>
          <c:tx>
            <c:rich>
              <a:bodyPr rot="-5400000" vert="horz"/>
              <a:lstStyle/>
              <a:p>
                <a:pPr>
                  <a:defRPr/>
                </a:pPr>
                <a:r>
                  <a:rPr lang="en-US"/>
                  <a:t>mil.</a:t>
                </a:r>
                <a:r>
                  <a:rPr lang="cs-CZ"/>
                  <a:t> </a:t>
                </a:r>
                <a:r>
                  <a:rPr lang="en-US"/>
                  <a:t>K</a:t>
                </a:r>
                <a:r>
                  <a:rPr lang="cs-CZ"/>
                  <a:t>č</a:t>
                </a:r>
                <a:endParaRPr lang="en-US"/>
              </a:p>
            </c:rich>
          </c:tx>
          <c:layout/>
          <c:overlay val="0"/>
        </c:title>
        <c:numFmt formatCode="General" sourceLinked="1"/>
        <c:majorTickMark val="out"/>
        <c:minorTickMark val="none"/>
        <c:tickLblPos val="nextTo"/>
        <c:crossAx val="94446336"/>
        <c:crosses val="autoZero"/>
        <c:crossBetween val="between"/>
        <c:dispUnits>
          <c:builtInUnit val="thousands"/>
        </c:dispUnits>
      </c:valAx>
    </c:plotArea>
    <c:legend>
      <c:legendPos val="r"/>
      <c:layout>
        <c:manualLayout>
          <c:xMode val="edge"/>
          <c:yMode val="edge"/>
          <c:x val="0.78667024260856278"/>
          <c:y val="0.2732833069495556"/>
          <c:w val="0.20326052993375829"/>
          <c:h val="0.63214391820962912"/>
        </c:manualLayout>
      </c:layout>
      <c:overlay val="0"/>
    </c:legend>
    <c:plotVisOnly val="1"/>
    <c:dispBlanksAs val="gap"/>
    <c:showDLblsOverMax val="0"/>
  </c:chart>
  <c:txPr>
    <a:bodyPr/>
    <a:lstStyle/>
    <a:p>
      <a:pPr>
        <a:defRPr>
          <a:latin typeface="Arial" panose="020B0604020202020204" pitchFamily="34" charset="0"/>
          <a:cs typeface="Arial" panose="020B0604020202020204" pitchFamily="34" charset="0"/>
        </a:defRPr>
      </a:pPr>
      <a:endParaRPr lang="cs-CZ"/>
    </a:p>
  </c:txPr>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2608</Words>
  <Characters>15389</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Juránek Jiří</dc:creator>
  <cp:lastModifiedBy>Juránek Jiří</cp:lastModifiedBy>
  <cp:revision>2</cp:revision>
  <dcterms:created xsi:type="dcterms:W3CDTF">2018-04-03T07:50:00Z</dcterms:created>
  <dcterms:modified xsi:type="dcterms:W3CDTF">2018-04-03T07:50:00Z</dcterms:modified>
</cp:coreProperties>
</file>