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DB" w:rsidRDefault="00D171DB" w:rsidP="00D171DB">
      <w:pPr>
        <w:pStyle w:val="Zkladntextodsazen"/>
        <w:autoSpaceDE/>
        <w:autoSpaceDN/>
        <w:adjustRightInd/>
        <w:ind w:left="0"/>
        <w:jc w:val="both"/>
        <w:rPr>
          <w:rFonts w:ascii="Arial" w:hAnsi="Arial" w:cs="Arial"/>
          <w:b/>
          <w:bCs/>
        </w:rPr>
      </w:pPr>
      <w:r w:rsidRPr="00D171DB">
        <w:rPr>
          <w:rFonts w:ascii="Arial" w:hAnsi="Arial" w:cs="Arial"/>
          <w:b/>
          <w:bCs/>
        </w:rPr>
        <w:t>Důvodová zpráva</w:t>
      </w:r>
    </w:p>
    <w:p w:rsidR="00BF5FE0" w:rsidRDefault="00BF5FE0" w:rsidP="00D171DB">
      <w:pPr>
        <w:pStyle w:val="Zkladntextodsazen"/>
        <w:autoSpaceDE/>
        <w:autoSpaceDN/>
        <w:adjustRightInd/>
        <w:ind w:left="0"/>
        <w:jc w:val="both"/>
        <w:rPr>
          <w:rFonts w:ascii="Arial" w:hAnsi="Arial" w:cs="Arial"/>
          <w:b/>
          <w:bCs/>
        </w:rPr>
      </w:pPr>
    </w:p>
    <w:p w:rsidR="00BF5FE0" w:rsidRPr="00BF5FE0" w:rsidRDefault="00BF5FE0" w:rsidP="00BF5FE0">
      <w:pPr>
        <w:pStyle w:val="Zkladntextodsazen"/>
        <w:ind w:left="0"/>
        <w:jc w:val="both"/>
        <w:rPr>
          <w:rFonts w:ascii="Arial" w:hAnsi="Arial" w:cs="Arial"/>
        </w:rPr>
      </w:pPr>
      <w:r w:rsidRPr="00BF5FE0">
        <w:rPr>
          <w:rFonts w:ascii="Arial" w:hAnsi="Arial" w:cs="Arial"/>
        </w:rPr>
        <w:t>Olomoucký kraj má s Komerční bankou, a.s. uzavřenou smlouvu o revolvingovém úvěru.</w:t>
      </w:r>
    </w:p>
    <w:p w:rsidR="00BF5FE0" w:rsidRPr="00BF5FE0" w:rsidRDefault="00BF5FE0" w:rsidP="00BF5FE0">
      <w:pPr>
        <w:pStyle w:val="Zkladntextodsazen"/>
        <w:ind w:left="0"/>
        <w:jc w:val="both"/>
        <w:rPr>
          <w:rFonts w:ascii="Arial" w:hAnsi="Arial" w:cs="Arial"/>
        </w:rPr>
      </w:pPr>
    </w:p>
    <w:p w:rsidR="00BF5FE0" w:rsidRPr="00BF5FE0" w:rsidRDefault="00BF5FE0" w:rsidP="00BF5FE0">
      <w:pPr>
        <w:pStyle w:val="Zkladntextodsazen"/>
        <w:ind w:left="0"/>
        <w:jc w:val="both"/>
        <w:rPr>
          <w:rFonts w:ascii="Arial" w:hAnsi="Arial" w:cs="Arial"/>
        </w:rPr>
      </w:pPr>
      <w:r w:rsidRPr="00BF5FE0">
        <w:rPr>
          <w:rFonts w:ascii="Arial" w:hAnsi="Arial" w:cs="Arial"/>
        </w:rPr>
        <w:t xml:space="preserve">Smlouva o revolvingovém úvěru ve výši 600 mil Kč je v současné době určena na předfinancování dotací investičních projektů Olomouckého kraje podporovaných z EU fondů. Podmínky smlouvy byly nastaveny ze strany Olomouckého kraje výhradně pro účely předfinancování projektů. Zastupitelstvo Olomouckého kraje schválilo smlouvu o revolvingovém úvěru usnesením UZ/4/62/2017 ze dne 24. 4. 2017. Smlouva </w:t>
      </w:r>
      <w:r w:rsidRPr="00BF5FE0">
        <w:rPr>
          <w:rFonts w:ascii="Arial" w:hAnsi="Arial" w:cs="Arial"/>
        </w:rPr>
        <w:br/>
        <w:t>o revolvingovém úvěru se upravovala dvěma dodatky.</w:t>
      </w:r>
    </w:p>
    <w:p w:rsidR="00BF5FE0" w:rsidRPr="00BF5FE0" w:rsidRDefault="00BF5FE0" w:rsidP="00BF5FE0">
      <w:pPr>
        <w:pStyle w:val="Zkladntextodsazen"/>
        <w:ind w:left="0"/>
        <w:jc w:val="both"/>
        <w:rPr>
          <w:rFonts w:ascii="Arial" w:hAnsi="Arial" w:cs="Arial"/>
        </w:rPr>
      </w:pPr>
    </w:p>
    <w:p w:rsidR="00BF5FE0" w:rsidRPr="00BF5FE0" w:rsidRDefault="00BF5FE0" w:rsidP="00BF5FE0">
      <w:pPr>
        <w:pStyle w:val="Zkladntextodsazen"/>
        <w:ind w:left="0"/>
        <w:jc w:val="both"/>
        <w:rPr>
          <w:rFonts w:ascii="Arial" w:hAnsi="Arial" w:cs="Arial"/>
        </w:rPr>
      </w:pPr>
      <w:r w:rsidRPr="00BF5FE0">
        <w:rPr>
          <w:rFonts w:ascii="Arial" w:hAnsi="Arial" w:cs="Arial"/>
        </w:rPr>
        <w:t xml:space="preserve">Dodatek č. 1 schválilo Zastupitelstvo Olomouckého kraje dne 23. 4. 2018 </w:t>
      </w:r>
      <w:r w:rsidRPr="00BF5FE0">
        <w:rPr>
          <w:rFonts w:ascii="Arial" w:hAnsi="Arial" w:cs="Arial"/>
        </w:rPr>
        <w:br/>
        <w:t>(číslo usnesení UZ/10/14/2018). V uzavřeném dodatku se změnila četnost a způsob zasílání výpisů. Dodatek k úvěrové smlouvě byl uzavřen z důvodu potřeby účetnictví.</w:t>
      </w:r>
    </w:p>
    <w:p w:rsidR="00BF5FE0" w:rsidRPr="00BF5FE0" w:rsidRDefault="00BF5FE0" w:rsidP="00BF5FE0">
      <w:pPr>
        <w:pStyle w:val="Zkladntextodsazendek"/>
        <w:ind w:left="0"/>
        <w:rPr>
          <w:rFonts w:cs="Arial"/>
          <w:szCs w:val="24"/>
        </w:rPr>
      </w:pPr>
    </w:p>
    <w:p w:rsidR="00BF5FE0" w:rsidRPr="00BF5FE0" w:rsidRDefault="00BF5FE0" w:rsidP="00BF5FE0">
      <w:pPr>
        <w:pStyle w:val="Zkladntextodsazendek"/>
        <w:ind w:left="0"/>
        <w:rPr>
          <w:rFonts w:cs="Arial"/>
          <w:szCs w:val="24"/>
        </w:rPr>
      </w:pPr>
      <w:r w:rsidRPr="00BF5FE0">
        <w:rPr>
          <w:rFonts w:cs="Arial"/>
          <w:szCs w:val="24"/>
        </w:rPr>
        <w:t xml:space="preserve">Dodatek č. 2 schválilo Zastupitelstvo Olomouckého kraje dne 17. 2. 2020 </w:t>
      </w:r>
      <w:r w:rsidRPr="00BF5FE0">
        <w:rPr>
          <w:rFonts w:cs="Arial"/>
          <w:szCs w:val="24"/>
        </w:rPr>
        <w:br/>
        <w:t xml:space="preserve">(číslo usnesení UZ/19/49/2020) z důvodu zabezpečení financování rozpracovaných investičních akcí v rozpočtu roku 2020. Dodatek upravuje původní Smlouvu </w:t>
      </w:r>
      <w:r w:rsidRPr="00BF5FE0">
        <w:rPr>
          <w:rFonts w:cs="Arial"/>
          <w:szCs w:val="24"/>
        </w:rPr>
        <w:br/>
        <w:t>o revolvingovém úvěru v následujících bodech smlouvy:</w:t>
      </w:r>
    </w:p>
    <w:p w:rsidR="00BF5FE0" w:rsidRPr="00BF5FE0" w:rsidRDefault="00BF5FE0" w:rsidP="00BF5FE0">
      <w:pPr>
        <w:pStyle w:val="Zkladntextodsazendek"/>
        <w:numPr>
          <w:ilvl w:val="0"/>
          <w:numId w:val="7"/>
        </w:numPr>
        <w:rPr>
          <w:rFonts w:cs="Arial"/>
          <w:szCs w:val="24"/>
        </w:rPr>
      </w:pPr>
      <w:r w:rsidRPr="00BF5FE0">
        <w:rPr>
          <w:rFonts w:cs="Arial"/>
          <w:szCs w:val="24"/>
        </w:rPr>
        <w:t>možnost čerpání revolvingového úvěru se prodlužuje z 30. 4. 2020</w:t>
      </w:r>
      <w:r w:rsidRPr="00BF5FE0">
        <w:rPr>
          <w:rFonts w:cs="Arial"/>
          <w:szCs w:val="24"/>
        </w:rPr>
        <w:br/>
        <w:t>na 31. 10. 2020</w:t>
      </w:r>
    </w:p>
    <w:p w:rsidR="00BF5FE0" w:rsidRPr="00BF5FE0" w:rsidRDefault="00BF5FE0" w:rsidP="00BF5FE0">
      <w:pPr>
        <w:pStyle w:val="Zkladntextodsazendek"/>
        <w:numPr>
          <w:ilvl w:val="0"/>
          <w:numId w:val="7"/>
        </w:numPr>
        <w:rPr>
          <w:rFonts w:cs="Arial"/>
          <w:szCs w:val="24"/>
        </w:rPr>
      </w:pPr>
      <w:r w:rsidRPr="00BF5FE0">
        <w:rPr>
          <w:rFonts w:cs="Arial"/>
          <w:szCs w:val="24"/>
        </w:rPr>
        <w:t>konečná splatnost revolvingového úvěru se prodlužuje z 31. 10. 2020</w:t>
      </w:r>
      <w:r w:rsidRPr="00BF5FE0">
        <w:rPr>
          <w:rFonts w:cs="Arial"/>
          <w:szCs w:val="24"/>
        </w:rPr>
        <w:br/>
        <w:t>na 30. 4. 2021</w:t>
      </w:r>
    </w:p>
    <w:p w:rsidR="00BF5FE0" w:rsidRPr="00BF5FE0" w:rsidRDefault="00BF5FE0" w:rsidP="00BF5FE0">
      <w:pPr>
        <w:pStyle w:val="Zkladntextodsazendek"/>
        <w:ind w:left="0"/>
        <w:rPr>
          <w:rFonts w:cs="Arial"/>
          <w:b/>
          <w:szCs w:val="24"/>
        </w:rPr>
      </w:pPr>
    </w:p>
    <w:p w:rsidR="00BF5FE0" w:rsidRPr="00BF5FE0" w:rsidRDefault="00BF5FE0" w:rsidP="00BF5FE0">
      <w:pPr>
        <w:pStyle w:val="Zkladntextodsazendek"/>
        <w:ind w:left="0"/>
        <w:rPr>
          <w:rFonts w:cs="Arial"/>
          <w:szCs w:val="24"/>
        </w:rPr>
      </w:pPr>
      <w:r w:rsidRPr="00BF5FE0">
        <w:rPr>
          <w:rFonts w:cs="Arial"/>
          <w:szCs w:val="24"/>
        </w:rPr>
        <w:t>Úvěr je čerpán a průb</w:t>
      </w:r>
      <w:r w:rsidR="006E5A80">
        <w:rPr>
          <w:rFonts w:cs="Arial"/>
          <w:szCs w:val="24"/>
        </w:rPr>
        <w:t xml:space="preserve">ěžně splácen </w:t>
      </w:r>
      <w:r w:rsidRPr="00BF5FE0">
        <w:rPr>
          <w:rFonts w:cs="Arial"/>
          <w:szCs w:val="24"/>
        </w:rPr>
        <w:t>od roku 2017.</w:t>
      </w:r>
    </w:p>
    <w:p w:rsidR="00BF5FE0" w:rsidRPr="00BF5FE0" w:rsidRDefault="00BF5FE0" w:rsidP="00BF5FE0">
      <w:pPr>
        <w:pStyle w:val="Zkladntextodsazendek"/>
        <w:ind w:left="0"/>
        <w:rPr>
          <w:rFonts w:cs="Arial"/>
          <w:b/>
          <w:szCs w:val="24"/>
        </w:rPr>
      </w:pPr>
    </w:p>
    <w:p w:rsidR="00BF5FE0" w:rsidRPr="00BF5FE0" w:rsidRDefault="00A03D2D" w:rsidP="00BF5FE0">
      <w:pPr>
        <w:pStyle w:val="Zkladntextodsazendek"/>
        <w:ind w:left="0"/>
        <w:rPr>
          <w:rFonts w:cs="Arial"/>
          <w:b/>
          <w:szCs w:val="24"/>
        </w:rPr>
      </w:pPr>
      <w:r>
        <w:rPr>
          <w:rFonts w:cs="Arial"/>
          <w:b/>
          <w:szCs w:val="24"/>
        </w:rPr>
        <w:t>Zastupitelstvu</w:t>
      </w:r>
      <w:r w:rsidR="00BF5FE0" w:rsidRPr="00BF5FE0">
        <w:rPr>
          <w:rFonts w:cs="Arial"/>
          <w:b/>
          <w:szCs w:val="24"/>
        </w:rPr>
        <w:t xml:space="preserve"> Olomouckého kraje</w:t>
      </w:r>
      <w:r w:rsidR="00C34862">
        <w:rPr>
          <w:rFonts w:cs="Arial"/>
          <w:b/>
          <w:szCs w:val="24"/>
        </w:rPr>
        <w:t xml:space="preserve"> </w:t>
      </w:r>
      <w:r>
        <w:rPr>
          <w:rFonts w:cs="Arial"/>
          <w:b/>
          <w:szCs w:val="24"/>
        </w:rPr>
        <w:t>je předkládán ke schválení</w:t>
      </w:r>
      <w:r w:rsidR="00BF5FE0" w:rsidRPr="00BF5FE0">
        <w:rPr>
          <w:rFonts w:cs="Arial"/>
          <w:b/>
          <w:szCs w:val="24"/>
        </w:rPr>
        <w:t xml:space="preserve"> Dodatek č. 3 ke smlouvě o revolvingovém úvěru, který řeší možnost čerpání části úvěru na provozní záležitosti Olomouckého kraje. V současné době je úvěr čerpán ve vý</w:t>
      </w:r>
      <w:r w:rsidR="004D3331">
        <w:rPr>
          <w:rFonts w:cs="Arial"/>
          <w:b/>
          <w:szCs w:val="24"/>
        </w:rPr>
        <w:t>ši cca</w:t>
      </w:r>
      <w:r w:rsidR="00BF5FE0" w:rsidRPr="00BF5FE0">
        <w:rPr>
          <w:rFonts w:cs="Arial"/>
          <w:b/>
          <w:szCs w:val="24"/>
        </w:rPr>
        <w:t xml:space="preserve"> 224</w:t>
      </w:r>
      <w:r w:rsidR="004D3331">
        <w:rPr>
          <w:rFonts w:cs="Arial"/>
          <w:b/>
          <w:szCs w:val="24"/>
        </w:rPr>
        <w:t xml:space="preserve"> </w:t>
      </w:r>
      <w:r w:rsidR="00BF5FE0" w:rsidRPr="00BF5FE0">
        <w:rPr>
          <w:rFonts w:cs="Arial"/>
          <w:b/>
          <w:szCs w:val="24"/>
        </w:rPr>
        <w:t>mil. Kč, k použití zůstává cca 376 mil. Kč. Ze schváleného rozpočtu je zřejmé, že pokud by se realizovaly předmětné výdaje, je nutné zapojit max.</w:t>
      </w:r>
      <w:r w:rsidR="004D3331">
        <w:rPr>
          <w:rFonts w:cs="Arial"/>
          <w:b/>
          <w:szCs w:val="24"/>
        </w:rPr>
        <w:t xml:space="preserve"> </w:t>
      </w:r>
      <w:r w:rsidR="00BF5FE0" w:rsidRPr="00BF5FE0">
        <w:rPr>
          <w:rFonts w:cs="Arial"/>
          <w:b/>
          <w:szCs w:val="24"/>
        </w:rPr>
        <w:t>512 mil. Kč.  Dle aktuálních materiálů OI a OSR vyplývá, že k III. Q. 2020 se předpokládá zůstatek k použití cca 200 mil. Kč. Jde tedy o volné finanční prostředky, které by nebyly čerpány.</w:t>
      </w:r>
    </w:p>
    <w:p w:rsidR="00BF5FE0" w:rsidRPr="00BF5FE0" w:rsidRDefault="00BF5FE0" w:rsidP="00BF5FE0">
      <w:pPr>
        <w:pStyle w:val="Zkladntextodsazendek"/>
        <w:ind w:left="0"/>
        <w:rPr>
          <w:rFonts w:cs="Arial"/>
          <w:b/>
          <w:bCs/>
          <w:szCs w:val="24"/>
        </w:rPr>
      </w:pPr>
      <w:r w:rsidRPr="00BF5FE0">
        <w:rPr>
          <w:rFonts w:cs="Arial"/>
          <w:b/>
          <w:szCs w:val="24"/>
        </w:rPr>
        <w:t xml:space="preserve">Z důvodu nastalé situace v České Republice s rozšířením </w:t>
      </w:r>
      <w:r w:rsidRPr="00BF5FE0">
        <w:rPr>
          <w:rFonts w:cs="Arial"/>
          <w:b/>
          <w:bCs/>
          <w:szCs w:val="24"/>
        </w:rPr>
        <w:t xml:space="preserve">pandemie COVID-19 </w:t>
      </w:r>
      <w:r w:rsidRPr="00BF5FE0">
        <w:rPr>
          <w:rFonts w:cs="Arial"/>
          <w:b/>
          <w:bCs/>
          <w:szCs w:val="24"/>
        </w:rPr>
        <w:br/>
        <w:t>a dopadem na ekonomickou situaci do rozpočtu kraje je nutné hledat nové zdroje příjmů na překlenovací dobu. Odbor ekonomický vyjednal s Komerční bankou a. s. rozšíření stávající Smlouvy o revolvingovém úvěru o možnost čerpání částky ve výši až 100 mil. Kč na možný časový nesoulad mezi příjmy</w:t>
      </w:r>
      <w:r>
        <w:rPr>
          <w:rFonts w:cs="Arial"/>
          <w:b/>
          <w:bCs/>
          <w:szCs w:val="24"/>
        </w:rPr>
        <w:t xml:space="preserve"> </w:t>
      </w:r>
      <w:r w:rsidRPr="00BF5FE0">
        <w:rPr>
          <w:rFonts w:cs="Arial"/>
          <w:b/>
          <w:bCs/>
          <w:szCs w:val="24"/>
        </w:rPr>
        <w:t>a výdaji. Částka vyčleněná z revolvingového úvěru může být do 31. 10. 2020 použita na výdaje rozpočtu Olomouckého kraje, které je nutné realizovat,</w:t>
      </w:r>
      <w:r>
        <w:rPr>
          <w:rFonts w:cs="Arial"/>
          <w:b/>
          <w:bCs/>
          <w:szCs w:val="24"/>
        </w:rPr>
        <w:t xml:space="preserve"> </w:t>
      </w:r>
      <w:r w:rsidRPr="00BF5FE0">
        <w:rPr>
          <w:rFonts w:cs="Arial"/>
          <w:b/>
          <w:bCs/>
          <w:szCs w:val="24"/>
        </w:rPr>
        <w:t>ale není v rozpočtu dostatek finančních prostředků ke krytí těchto výdajů.</w:t>
      </w:r>
      <w:r>
        <w:rPr>
          <w:rFonts w:cs="Arial"/>
          <w:b/>
          <w:bCs/>
          <w:szCs w:val="24"/>
        </w:rPr>
        <w:t xml:space="preserve"> </w:t>
      </w:r>
      <w:r w:rsidRPr="00BF5FE0">
        <w:rPr>
          <w:rFonts w:cs="Arial"/>
          <w:b/>
          <w:bCs/>
          <w:szCs w:val="24"/>
        </w:rPr>
        <w:t xml:space="preserve">Tato skutečnost nic nemění na tom, že bude možné čerpat úvěr do 31. 10. 2020 a následně bude úvěr splacen k 30. 4. 2021. Zastupitelstvo Olomouckého kraje bude dne 22. 6. 2020 schvalovat závěrečný účet Olomouckého kraje za rok 2019, kdy použitelný zůstatek na bankovních účtech bude použit na případnou úhradu předfinancování investičních akcí. Dle vyčerpané částky bude návrh rozpočtu na rok 2021 zahrnovat i splátky ve výši nesplaceného úvěru. </w:t>
      </w:r>
    </w:p>
    <w:p w:rsidR="00BF5FE0" w:rsidRDefault="00BF5FE0" w:rsidP="00BF5FE0">
      <w:pPr>
        <w:pStyle w:val="Zkladntextodsazendek"/>
        <w:ind w:left="0"/>
        <w:rPr>
          <w:rFonts w:cs="Arial"/>
          <w:b/>
          <w:bCs/>
          <w:szCs w:val="24"/>
        </w:rPr>
      </w:pPr>
    </w:p>
    <w:p w:rsidR="00BF5FE0" w:rsidRPr="00BF5FE0" w:rsidRDefault="00BF5FE0" w:rsidP="00BF5FE0">
      <w:pPr>
        <w:pStyle w:val="Zkladntextodsazendek"/>
        <w:ind w:left="0"/>
        <w:rPr>
          <w:rFonts w:cs="Arial"/>
          <w:b/>
          <w:szCs w:val="24"/>
        </w:rPr>
      </w:pPr>
      <w:r w:rsidRPr="00BF5FE0">
        <w:rPr>
          <w:rFonts w:cs="Arial"/>
          <w:b/>
          <w:bCs/>
          <w:szCs w:val="24"/>
        </w:rPr>
        <w:lastRenderedPageBreak/>
        <w:t>Toto řešení navrhujeme s ohledem na možnost, v této chvíli, nezatěžovat hospodaření Olomouckého kraje novým úvěrem, který by měl vliv na dluhovou službu Olomouckého kraje. Zároveň dodatek č. 3 řeší využití finančních prostředků z revolvingového úvěru pro aktuální potřeby Olomouckého kraje.</w:t>
      </w:r>
    </w:p>
    <w:p w:rsidR="00BF5FE0" w:rsidRPr="00BF5FE0" w:rsidRDefault="00BF5FE0" w:rsidP="00BF5FE0">
      <w:pPr>
        <w:pStyle w:val="Zkladntextodsazendek"/>
        <w:ind w:left="0"/>
        <w:rPr>
          <w:rFonts w:cs="Arial"/>
          <w:szCs w:val="24"/>
        </w:rPr>
      </w:pPr>
    </w:p>
    <w:p w:rsidR="001A3300" w:rsidRDefault="001A3300" w:rsidP="00BF5FE0">
      <w:pPr>
        <w:tabs>
          <w:tab w:val="left" w:pos="5490"/>
        </w:tabs>
        <w:jc w:val="both"/>
        <w:rPr>
          <w:rFonts w:ascii="Arial" w:hAnsi="Arial" w:cs="Arial"/>
          <w:sz w:val="24"/>
          <w:szCs w:val="24"/>
        </w:rPr>
      </w:pPr>
      <w:bookmarkStart w:id="0" w:name="_GoBack"/>
      <w:bookmarkEnd w:id="0"/>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1A3300" w:rsidRDefault="001A3300" w:rsidP="00BF5FE0">
      <w:pPr>
        <w:tabs>
          <w:tab w:val="left" w:pos="5490"/>
        </w:tabs>
        <w:jc w:val="both"/>
        <w:rPr>
          <w:rFonts w:ascii="Arial" w:hAnsi="Arial" w:cs="Arial"/>
          <w:sz w:val="24"/>
          <w:szCs w:val="24"/>
        </w:rPr>
      </w:pPr>
    </w:p>
    <w:p w:rsidR="00BF5FE0" w:rsidRPr="00BF5FE0" w:rsidRDefault="00BF5FE0" w:rsidP="00BF5FE0">
      <w:pPr>
        <w:tabs>
          <w:tab w:val="left" w:pos="5490"/>
        </w:tabs>
        <w:jc w:val="both"/>
        <w:rPr>
          <w:rFonts w:ascii="Arial" w:hAnsi="Arial" w:cs="Arial"/>
          <w:sz w:val="24"/>
          <w:szCs w:val="24"/>
        </w:rPr>
      </w:pPr>
      <w:r w:rsidRPr="00BF5FE0">
        <w:rPr>
          <w:rFonts w:ascii="Arial" w:hAnsi="Arial" w:cs="Arial"/>
          <w:sz w:val="24"/>
          <w:szCs w:val="24"/>
        </w:rPr>
        <w:tab/>
      </w:r>
    </w:p>
    <w:p w:rsidR="00BF5FE0" w:rsidRPr="00BF5FE0" w:rsidRDefault="00BF5FE0" w:rsidP="00BF5FE0">
      <w:pPr>
        <w:pStyle w:val="Zkladntextodsazen"/>
        <w:ind w:left="900" w:hanging="900"/>
        <w:jc w:val="both"/>
        <w:rPr>
          <w:rFonts w:ascii="Arial" w:hAnsi="Arial" w:cs="Arial"/>
          <w:u w:val="single"/>
        </w:rPr>
      </w:pPr>
      <w:r w:rsidRPr="00BF5FE0">
        <w:rPr>
          <w:rFonts w:ascii="Arial" w:hAnsi="Arial" w:cs="Arial"/>
          <w:u w:val="single"/>
        </w:rPr>
        <w:t>Přílohy:</w:t>
      </w:r>
    </w:p>
    <w:p w:rsidR="00BF5FE0" w:rsidRPr="00BF5FE0" w:rsidRDefault="00BF5FE0" w:rsidP="00BF5FE0">
      <w:pPr>
        <w:pStyle w:val="Zkladntextodsazen"/>
        <w:ind w:left="900" w:hanging="900"/>
        <w:jc w:val="both"/>
        <w:rPr>
          <w:rFonts w:ascii="Arial" w:hAnsi="Arial" w:cs="Arial"/>
        </w:rPr>
      </w:pPr>
    </w:p>
    <w:p w:rsidR="00BF5FE0" w:rsidRPr="00BF5FE0" w:rsidRDefault="00BF5FE0" w:rsidP="00BF5FE0">
      <w:pPr>
        <w:pStyle w:val="Zkladntextodsazen"/>
        <w:ind w:left="900" w:hanging="900"/>
        <w:jc w:val="both"/>
        <w:rPr>
          <w:rFonts w:ascii="Arial" w:hAnsi="Arial" w:cs="Arial"/>
        </w:rPr>
      </w:pPr>
      <w:r w:rsidRPr="00BF5FE0">
        <w:rPr>
          <w:rFonts w:ascii="Arial" w:hAnsi="Arial" w:cs="Arial"/>
        </w:rPr>
        <w:t>- Příloha č. 1</w:t>
      </w:r>
    </w:p>
    <w:p w:rsidR="00BF5FE0" w:rsidRPr="00BF5FE0" w:rsidRDefault="00BF5FE0" w:rsidP="00BF5FE0">
      <w:pPr>
        <w:tabs>
          <w:tab w:val="left" w:pos="7371"/>
        </w:tabs>
        <w:rPr>
          <w:rFonts w:ascii="Arial" w:hAnsi="Arial" w:cs="Arial"/>
          <w:sz w:val="24"/>
          <w:szCs w:val="24"/>
        </w:rPr>
      </w:pPr>
      <w:r w:rsidRPr="00BF5FE0">
        <w:rPr>
          <w:rFonts w:ascii="Arial" w:hAnsi="Arial" w:cs="Arial"/>
          <w:sz w:val="24"/>
          <w:szCs w:val="24"/>
        </w:rPr>
        <w:t>Dodatek ke smlouvě o revolvingovém úvěru</w:t>
      </w:r>
      <w:r w:rsidRPr="00BF5FE0">
        <w:rPr>
          <w:rFonts w:ascii="Arial" w:hAnsi="Arial" w:cs="Arial"/>
          <w:sz w:val="24"/>
          <w:szCs w:val="24"/>
        </w:rPr>
        <w:tab/>
        <w:t>(strana 3 - 4)</w:t>
      </w:r>
    </w:p>
    <w:p w:rsidR="00BF5FE0" w:rsidRPr="00BF5FE0" w:rsidRDefault="00BF5FE0" w:rsidP="00BF5FE0">
      <w:pPr>
        <w:rPr>
          <w:rFonts w:ascii="Arial" w:hAnsi="Arial" w:cs="Arial"/>
          <w:sz w:val="24"/>
          <w:szCs w:val="24"/>
        </w:rPr>
      </w:pPr>
    </w:p>
    <w:p w:rsidR="00BF5FE0" w:rsidRPr="00D171DB" w:rsidRDefault="00BF5FE0" w:rsidP="00D171DB">
      <w:pPr>
        <w:pStyle w:val="Zkladntextodsazen"/>
        <w:autoSpaceDE/>
        <w:autoSpaceDN/>
        <w:adjustRightInd/>
        <w:ind w:left="0"/>
        <w:jc w:val="both"/>
        <w:rPr>
          <w:rFonts w:ascii="Arial" w:hAnsi="Arial" w:cs="Arial"/>
          <w:b/>
          <w:bCs/>
        </w:rPr>
      </w:pPr>
    </w:p>
    <w:p w:rsidR="00D171DB" w:rsidRPr="00AD5369" w:rsidRDefault="00D171DB" w:rsidP="00D171DB">
      <w:pPr>
        <w:pStyle w:val="Zkladntextodsazen"/>
        <w:ind w:left="0"/>
        <w:jc w:val="both"/>
        <w:rPr>
          <w:sz w:val="6"/>
          <w:szCs w:val="6"/>
        </w:rPr>
      </w:pPr>
    </w:p>
    <w:sectPr w:rsidR="00D171DB" w:rsidRPr="00AD5369" w:rsidSect="0079026C">
      <w:footerReference w:type="default" r:id="rId7"/>
      <w:pgSz w:w="11907" w:h="16840" w:code="9"/>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DD" w:rsidRDefault="00385DDD" w:rsidP="00F10D9E">
      <w:r>
        <w:separator/>
      </w:r>
    </w:p>
  </w:endnote>
  <w:endnote w:type="continuationSeparator" w:id="0">
    <w:p w:rsidR="00385DDD" w:rsidRDefault="00385DDD" w:rsidP="00F1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0D" w:rsidRDefault="00022345" w:rsidP="00BE0B9C">
    <w:pPr>
      <w:pStyle w:val="Zpat"/>
      <w:pBdr>
        <w:top w:val="single" w:sz="4" w:space="10" w:color="auto"/>
      </w:pBdr>
      <w:rPr>
        <w:rStyle w:val="slostrnky"/>
        <w:rFonts w:ascii="Arial" w:hAnsi="Arial" w:cs="Arial"/>
        <w:i/>
        <w:iCs/>
      </w:rPr>
    </w:pPr>
    <w:r>
      <w:rPr>
        <w:rFonts w:ascii="Arial" w:hAnsi="Arial" w:cs="Arial"/>
        <w:i/>
        <w:iCs/>
      </w:rPr>
      <w:t>Zastupitelstvo</w:t>
    </w:r>
    <w:r w:rsidR="0044159A">
      <w:rPr>
        <w:rFonts w:ascii="Arial" w:hAnsi="Arial" w:cs="Arial"/>
        <w:i/>
        <w:iCs/>
      </w:rPr>
      <w:t xml:space="preserve"> Olomouckého kraje </w:t>
    </w:r>
    <w:r>
      <w:rPr>
        <w:rFonts w:ascii="Arial" w:hAnsi="Arial" w:cs="Arial"/>
        <w:i/>
        <w:iCs/>
      </w:rPr>
      <w:t>22</w:t>
    </w:r>
    <w:r w:rsidR="0044159A">
      <w:rPr>
        <w:rFonts w:ascii="Arial" w:hAnsi="Arial" w:cs="Arial"/>
        <w:i/>
        <w:iCs/>
      </w:rPr>
      <w:t>.</w:t>
    </w:r>
    <w:r w:rsidR="009A1E76">
      <w:rPr>
        <w:rFonts w:ascii="Arial" w:hAnsi="Arial" w:cs="Arial"/>
        <w:i/>
        <w:iCs/>
      </w:rPr>
      <w:t xml:space="preserve"> </w:t>
    </w:r>
    <w:r w:rsidR="00F26BEA">
      <w:rPr>
        <w:rFonts w:ascii="Arial" w:hAnsi="Arial" w:cs="Arial"/>
        <w:i/>
        <w:iCs/>
      </w:rPr>
      <w:t>6</w:t>
    </w:r>
    <w:r w:rsidR="0044159A">
      <w:rPr>
        <w:rFonts w:ascii="Arial" w:hAnsi="Arial" w:cs="Arial"/>
        <w:i/>
        <w:iCs/>
      </w:rPr>
      <w:t>.</w:t>
    </w:r>
    <w:r w:rsidR="003B1393">
      <w:rPr>
        <w:rFonts w:ascii="Arial" w:hAnsi="Arial" w:cs="Arial"/>
        <w:i/>
        <w:iCs/>
      </w:rPr>
      <w:t xml:space="preserve"> </w:t>
    </w:r>
    <w:r w:rsidR="0044159A">
      <w:rPr>
        <w:rFonts w:ascii="Arial" w:hAnsi="Arial" w:cs="Arial"/>
        <w:i/>
        <w:iCs/>
      </w:rPr>
      <w:t>20</w:t>
    </w:r>
    <w:r w:rsidR="00AC6E18">
      <w:rPr>
        <w:rFonts w:ascii="Arial" w:hAnsi="Arial" w:cs="Arial"/>
        <w:i/>
        <w:iCs/>
      </w:rPr>
      <w:t>20</w:t>
    </w:r>
    <w:r w:rsidR="0044159A">
      <w:rPr>
        <w:rFonts w:ascii="Arial" w:hAnsi="Arial" w:cs="Arial"/>
        <w:i/>
        <w:iCs/>
      </w:rPr>
      <w:tab/>
    </w:r>
    <w:r w:rsidR="0044159A">
      <w:rPr>
        <w:rFonts w:ascii="Arial" w:hAnsi="Arial" w:cs="Arial"/>
        <w:i/>
        <w:iCs/>
      </w:rPr>
      <w:tab/>
      <w:t xml:space="preserve">            Strana </w:t>
    </w:r>
    <w:r w:rsidR="0044159A">
      <w:rPr>
        <w:rStyle w:val="slostrnky"/>
        <w:rFonts w:ascii="Arial" w:hAnsi="Arial" w:cs="Arial"/>
        <w:i/>
        <w:iCs/>
      </w:rPr>
      <w:fldChar w:fldCharType="begin"/>
    </w:r>
    <w:r w:rsidR="0044159A">
      <w:rPr>
        <w:rStyle w:val="slostrnky"/>
        <w:rFonts w:ascii="Arial" w:hAnsi="Arial" w:cs="Arial"/>
        <w:i/>
        <w:iCs/>
      </w:rPr>
      <w:instrText xml:space="preserve"> PAGE </w:instrText>
    </w:r>
    <w:r w:rsidR="0044159A">
      <w:rPr>
        <w:rStyle w:val="slostrnky"/>
        <w:rFonts w:ascii="Arial" w:hAnsi="Arial" w:cs="Arial"/>
        <w:i/>
        <w:iCs/>
      </w:rPr>
      <w:fldChar w:fldCharType="separate"/>
    </w:r>
    <w:r w:rsidR="00A03D2D">
      <w:rPr>
        <w:rStyle w:val="slostrnky"/>
        <w:rFonts w:ascii="Arial" w:hAnsi="Arial" w:cs="Arial"/>
        <w:i/>
        <w:iCs/>
        <w:noProof/>
      </w:rPr>
      <w:t>2</w:t>
    </w:r>
    <w:r w:rsidR="0044159A">
      <w:rPr>
        <w:rStyle w:val="slostrnky"/>
        <w:rFonts w:ascii="Arial" w:hAnsi="Arial" w:cs="Arial"/>
        <w:i/>
        <w:iCs/>
      </w:rPr>
      <w:fldChar w:fldCharType="end"/>
    </w:r>
    <w:r w:rsidR="0044159A">
      <w:rPr>
        <w:rStyle w:val="slostrnky"/>
        <w:rFonts w:ascii="Arial" w:hAnsi="Arial" w:cs="Arial"/>
        <w:i/>
        <w:iCs/>
      </w:rPr>
      <w:t xml:space="preserve"> (celkem </w:t>
    </w:r>
    <w:r w:rsidR="00A10869">
      <w:rPr>
        <w:rStyle w:val="slostrnky"/>
        <w:rFonts w:ascii="Arial" w:hAnsi="Arial" w:cs="Arial"/>
        <w:i/>
        <w:iCs/>
      </w:rPr>
      <w:t>4</w:t>
    </w:r>
    <w:r w:rsidR="0044159A">
      <w:rPr>
        <w:rStyle w:val="slostrnky"/>
        <w:rFonts w:ascii="Arial" w:hAnsi="Arial" w:cs="Arial"/>
        <w:i/>
        <w:iCs/>
      </w:rPr>
      <w:t>)</w:t>
    </w:r>
  </w:p>
  <w:p w:rsidR="002549D7" w:rsidRDefault="00162418" w:rsidP="002549D7">
    <w:pPr>
      <w:pStyle w:val="Zpat"/>
      <w:rPr>
        <w:rFonts w:ascii="Arial" w:hAnsi="Arial" w:cs="Arial"/>
        <w:i/>
      </w:rPr>
    </w:pPr>
    <w:r>
      <w:rPr>
        <w:rFonts w:ascii="Arial" w:hAnsi="Arial" w:cs="Arial"/>
        <w:i/>
      </w:rPr>
      <w:t>53</w:t>
    </w:r>
    <w:r w:rsidR="00D65F1A">
      <w:rPr>
        <w:rFonts w:ascii="Arial" w:hAnsi="Arial" w:cs="Arial"/>
        <w:i/>
      </w:rPr>
      <w:t>.</w:t>
    </w:r>
    <w:r w:rsidR="002549D7">
      <w:rPr>
        <w:rFonts w:ascii="Arial" w:hAnsi="Arial" w:cs="Arial"/>
        <w:i/>
      </w:rPr>
      <w:t xml:space="preserve"> </w:t>
    </w:r>
    <w:r w:rsidR="00BF5FE0">
      <w:rPr>
        <w:rFonts w:ascii="Arial" w:hAnsi="Arial" w:cs="Arial"/>
        <w:i/>
      </w:rPr>
      <w:t>–</w:t>
    </w:r>
    <w:r w:rsidR="002549D7" w:rsidRPr="00606DB4">
      <w:t xml:space="preserve"> </w:t>
    </w:r>
    <w:r w:rsidR="00BF5FE0">
      <w:rPr>
        <w:rFonts w:ascii="Arial" w:hAnsi="Arial" w:cs="Arial"/>
        <w:i/>
      </w:rPr>
      <w:t>Dodatek č. 3 ke smlouvě o revolvingovém úvěru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DD" w:rsidRDefault="00385DDD" w:rsidP="00F10D9E">
      <w:r>
        <w:separator/>
      </w:r>
    </w:p>
  </w:footnote>
  <w:footnote w:type="continuationSeparator" w:id="0">
    <w:p w:rsidR="00385DDD" w:rsidRDefault="00385DDD" w:rsidP="00F1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D4"/>
    <w:multiLevelType w:val="hybridMultilevel"/>
    <w:tmpl w:val="72FE12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2D463F6"/>
    <w:multiLevelType w:val="hybridMultilevel"/>
    <w:tmpl w:val="621890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2028E5"/>
    <w:multiLevelType w:val="hybridMultilevel"/>
    <w:tmpl w:val="37AE6502"/>
    <w:lvl w:ilvl="0" w:tplc="63B472D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521BF6"/>
    <w:multiLevelType w:val="hybridMultilevel"/>
    <w:tmpl w:val="F27E59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655112"/>
    <w:multiLevelType w:val="hybridMultilevel"/>
    <w:tmpl w:val="5C8030EE"/>
    <w:lvl w:ilvl="0" w:tplc="5D54B67C">
      <w:start w:val="1"/>
      <w:numFmt w:val="decimal"/>
      <w:lvlText w:val="%1."/>
      <w:lvlJc w:val="left"/>
      <w:pPr>
        <w:ind w:left="567"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1A28A5"/>
    <w:multiLevelType w:val="hybridMultilevel"/>
    <w:tmpl w:val="4D02CF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F30CE8"/>
    <w:multiLevelType w:val="hybridMultilevel"/>
    <w:tmpl w:val="1BCA6F7E"/>
    <w:lvl w:ilvl="0" w:tplc="70E0A038">
      <w:start w:val="4"/>
      <w:numFmt w:val="bullet"/>
      <w:lvlText w:val="-"/>
      <w:lvlJc w:val="left"/>
      <w:pPr>
        <w:tabs>
          <w:tab w:val="num" w:pos="644"/>
        </w:tabs>
        <w:ind w:left="644" w:hanging="360"/>
      </w:pPr>
      <w:rPr>
        <w:rFonts w:ascii="Arial" w:eastAsia="Times New Roman" w:hAnsi="Arial" w:cs="Aria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3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E2"/>
    <w:rsid w:val="00000D0A"/>
    <w:rsid w:val="0000521D"/>
    <w:rsid w:val="00005910"/>
    <w:rsid w:val="00022345"/>
    <w:rsid w:val="0002487E"/>
    <w:rsid w:val="000262B1"/>
    <w:rsid w:val="00026341"/>
    <w:rsid w:val="00035394"/>
    <w:rsid w:val="00037B26"/>
    <w:rsid w:val="00037E83"/>
    <w:rsid w:val="000443D1"/>
    <w:rsid w:val="0006169D"/>
    <w:rsid w:val="00061CA6"/>
    <w:rsid w:val="000638D6"/>
    <w:rsid w:val="00070B0E"/>
    <w:rsid w:val="000779EE"/>
    <w:rsid w:val="00082589"/>
    <w:rsid w:val="000836B0"/>
    <w:rsid w:val="00087ABA"/>
    <w:rsid w:val="000A304F"/>
    <w:rsid w:val="000B2BFC"/>
    <w:rsid w:val="000B53F2"/>
    <w:rsid w:val="000D4E4C"/>
    <w:rsid w:val="000D54F9"/>
    <w:rsid w:val="000E0B6B"/>
    <w:rsid w:val="00102FF7"/>
    <w:rsid w:val="0012176E"/>
    <w:rsid w:val="00122A60"/>
    <w:rsid w:val="00130188"/>
    <w:rsid w:val="00131917"/>
    <w:rsid w:val="00131CD7"/>
    <w:rsid w:val="001353F1"/>
    <w:rsid w:val="00162418"/>
    <w:rsid w:val="00174143"/>
    <w:rsid w:val="0017456F"/>
    <w:rsid w:val="00181B04"/>
    <w:rsid w:val="00182C9F"/>
    <w:rsid w:val="00185AC4"/>
    <w:rsid w:val="00186BB6"/>
    <w:rsid w:val="00196757"/>
    <w:rsid w:val="001A3300"/>
    <w:rsid w:val="001A46D5"/>
    <w:rsid w:val="001B78C4"/>
    <w:rsid w:val="001C04EE"/>
    <w:rsid w:val="001C25E4"/>
    <w:rsid w:val="001C2F5D"/>
    <w:rsid w:val="001C2F9A"/>
    <w:rsid w:val="001D1184"/>
    <w:rsid w:val="001D6D1C"/>
    <w:rsid w:val="001E4BA8"/>
    <w:rsid w:val="001E62E4"/>
    <w:rsid w:val="001F1743"/>
    <w:rsid w:val="001F4EBC"/>
    <w:rsid w:val="001F4F56"/>
    <w:rsid w:val="001F5C04"/>
    <w:rsid w:val="001F6833"/>
    <w:rsid w:val="001F7A56"/>
    <w:rsid w:val="00200D36"/>
    <w:rsid w:val="00222D5A"/>
    <w:rsid w:val="00223F81"/>
    <w:rsid w:val="00224F3C"/>
    <w:rsid w:val="00232660"/>
    <w:rsid w:val="00237962"/>
    <w:rsid w:val="0025132F"/>
    <w:rsid w:val="00251AFD"/>
    <w:rsid w:val="0025339A"/>
    <w:rsid w:val="002549D7"/>
    <w:rsid w:val="00262DE3"/>
    <w:rsid w:val="00264146"/>
    <w:rsid w:val="0026421E"/>
    <w:rsid w:val="002823F2"/>
    <w:rsid w:val="002829B0"/>
    <w:rsid w:val="00284891"/>
    <w:rsid w:val="0028606C"/>
    <w:rsid w:val="002878C5"/>
    <w:rsid w:val="002901D7"/>
    <w:rsid w:val="0029354F"/>
    <w:rsid w:val="00296FF7"/>
    <w:rsid w:val="002B0CD7"/>
    <w:rsid w:val="002B3693"/>
    <w:rsid w:val="002C6163"/>
    <w:rsid w:val="002D42C6"/>
    <w:rsid w:val="002E403D"/>
    <w:rsid w:val="002E440B"/>
    <w:rsid w:val="002E536C"/>
    <w:rsid w:val="002E59E6"/>
    <w:rsid w:val="00300F6A"/>
    <w:rsid w:val="00302B5E"/>
    <w:rsid w:val="00307DE4"/>
    <w:rsid w:val="00314053"/>
    <w:rsid w:val="003148D5"/>
    <w:rsid w:val="00314F25"/>
    <w:rsid w:val="00316AF1"/>
    <w:rsid w:val="003229E9"/>
    <w:rsid w:val="00324A3A"/>
    <w:rsid w:val="00337820"/>
    <w:rsid w:val="00340ED0"/>
    <w:rsid w:val="003448D1"/>
    <w:rsid w:val="003500CC"/>
    <w:rsid w:val="003533D6"/>
    <w:rsid w:val="003624E4"/>
    <w:rsid w:val="0037486D"/>
    <w:rsid w:val="003771FD"/>
    <w:rsid w:val="00382595"/>
    <w:rsid w:val="00382D2B"/>
    <w:rsid w:val="003853A6"/>
    <w:rsid w:val="00385DDD"/>
    <w:rsid w:val="003A3AE4"/>
    <w:rsid w:val="003B0AC0"/>
    <w:rsid w:val="003B1393"/>
    <w:rsid w:val="003B300E"/>
    <w:rsid w:val="003B39B7"/>
    <w:rsid w:val="003C2458"/>
    <w:rsid w:val="003C2A27"/>
    <w:rsid w:val="003C2C65"/>
    <w:rsid w:val="003C5D5D"/>
    <w:rsid w:val="003D1400"/>
    <w:rsid w:val="003D384A"/>
    <w:rsid w:val="003E1068"/>
    <w:rsid w:val="003E262A"/>
    <w:rsid w:val="003F2777"/>
    <w:rsid w:val="003F4C8B"/>
    <w:rsid w:val="00415EA8"/>
    <w:rsid w:val="00422D59"/>
    <w:rsid w:val="0042663C"/>
    <w:rsid w:val="0043213C"/>
    <w:rsid w:val="0043232C"/>
    <w:rsid w:val="00432518"/>
    <w:rsid w:val="004330B3"/>
    <w:rsid w:val="00433D33"/>
    <w:rsid w:val="00436F1C"/>
    <w:rsid w:val="0044159A"/>
    <w:rsid w:val="0045027E"/>
    <w:rsid w:val="00451343"/>
    <w:rsid w:val="0045275A"/>
    <w:rsid w:val="004571EC"/>
    <w:rsid w:val="0046002E"/>
    <w:rsid w:val="004605B9"/>
    <w:rsid w:val="00466489"/>
    <w:rsid w:val="00471805"/>
    <w:rsid w:val="0047326E"/>
    <w:rsid w:val="004772AD"/>
    <w:rsid w:val="00483DCF"/>
    <w:rsid w:val="004934E9"/>
    <w:rsid w:val="00493709"/>
    <w:rsid w:val="004A0D61"/>
    <w:rsid w:val="004A1449"/>
    <w:rsid w:val="004A20E2"/>
    <w:rsid w:val="004A2EF3"/>
    <w:rsid w:val="004B23AF"/>
    <w:rsid w:val="004B7F18"/>
    <w:rsid w:val="004C07AC"/>
    <w:rsid w:val="004D2A97"/>
    <w:rsid w:val="004D3331"/>
    <w:rsid w:val="004E21DE"/>
    <w:rsid w:val="004E6980"/>
    <w:rsid w:val="004E7406"/>
    <w:rsid w:val="00501497"/>
    <w:rsid w:val="00505139"/>
    <w:rsid w:val="005147CA"/>
    <w:rsid w:val="00523CAB"/>
    <w:rsid w:val="00530804"/>
    <w:rsid w:val="00531956"/>
    <w:rsid w:val="0053226D"/>
    <w:rsid w:val="00541598"/>
    <w:rsid w:val="00544621"/>
    <w:rsid w:val="00545E07"/>
    <w:rsid w:val="005460D2"/>
    <w:rsid w:val="00560517"/>
    <w:rsid w:val="005671F1"/>
    <w:rsid w:val="005716D2"/>
    <w:rsid w:val="0057719E"/>
    <w:rsid w:val="005779BB"/>
    <w:rsid w:val="0058540F"/>
    <w:rsid w:val="005864DC"/>
    <w:rsid w:val="00596969"/>
    <w:rsid w:val="005A279D"/>
    <w:rsid w:val="005A3D51"/>
    <w:rsid w:val="005B4C11"/>
    <w:rsid w:val="005B5166"/>
    <w:rsid w:val="005B76A6"/>
    <w:rsid w:val="005C6274"/>
    <w:rsid w:val="005C674E"/>
    <w:rsid w:val="005C722C"/>
    <w:rsid w:val="005E0DDC"/>
    <w:rsid w:val="005F360B"/>
    <w:rsid w:val="005F64A2"/>
    <w:rsid w:val="00604645"/>
    <w:rsid w:val="006054D8"/>
    <w:rsid w:val="006105AD"/>
    <w:rsid w:val="00611C2C"/>
    <w:rsid w:val="0064270E"/>
    <w:rsid w:val="00643252"/>
    <w:rsid w:val="0064450B"/>
    <w:rsid w:val="00645052"/>
    <w:rsid w:val="006477E1"/>
    <w:rsid w:val="00661DB4"/>
    <w:rsid w:val="00665DF9"/>
    <w:rsid w:val="00671C4D"/>
    <w:rsid w:val="00675288"/>
    <w:rsid w:val="00684C54"/>
    <w:rsid w:val="0069538A"/>
    <w:rsid w:val="00695E50"/>
    <w:rsid w:val="006B2F6B"/>
    <w:rsid w:val="006B5D1B"/>
    <w:rsid w:val="006C02E9"/>
    <w:rsid w:val="006C6AD4"/>
    <w:rsid w:val="006D0204"/>
    <w:rsid w:val="006D1AE4"/>
    <w:rsid w:val="006E1A8D"/>
    <w:rsid w:val="006E3E80"/>
    <w:rsid w:val="006E5A80"/>
    <w:rsid w:val="006F06CE"/>
    <w:rsid w:val="006F7EC2"/>
    <w:rsid w:val="007043D2"/>
    <w:rsid w:val="007075CD"/>
    <w:rsid w:val="007077BF"/>
    <w:rsid w:val="00713FF8"/>
    <w:rsid w:val="00715F5F"/>
    <w:rsid w:val="007165D0"/>
    <w:rsid w:val="0072612D"/>
    <w:rsid w:val="007309E2"/>
    <w:rsid w:val="007362F5"/>
    <w:rsid w:val="007520C9"/>
    <w:rsid w:val="00764097"/>
    <w:rsid w:val="0077106F"/>
    <w:rsid w:val="00771BEB"/>
    <w:rsid w:val="00785728"/>
    <w:rsid w:val="00786DF0"/>
    <w:rsid w:val="0079026C"/>
    <w:rsid w:val="0079409F"/>
    <w:rsid w:val="007A1520"/>
    <w:rsid w:val="007A3265"/>
    <w:rsid w:val="007A4156"/>
    <w:rsid w:val="007B351D"/>
    <w:rsid w:val="007B4466"/>
    <w:rsid w:val="007B5069"/>
    <w:rsid w:val="007C2951"/>
    <w:rsid w:val="007C4926"/>
    <w:rsid w:val="007C5ECC"/>
    <w:rsid w:val="007C6E3A"/>
    <w:rsid w:val="007C75F5"/>
    <w:rsid w:val="007D100D"/>
    <w:rsid w:val="007D5DD8"/>
    <w:rsid w:val="007E7C4E"/>
    <w:rsid w:val="007F04CC"/>
    <w:rsid w:val="007F75AA"/>
    <w:rsid w:val="008028FB"/>
    <w:rsid w:val="00804693"/>
    <w:rsid w:val="00810A5C"/>
    <w:rsid w:val="008154A6"/>
    <w:rsid w:val="00817C5E"/>
    <w:rsid w:val="008227AE"/>
    <w:rsid w:val="008339F4"/>
    <w:rsid w:val="0084327B"/>
    <w:rsid w:val="008468B5"/>
    <w:rsid w:val="0085368A"/>
    <w:rsid w:val="0085727E"/>
    <w:rsid w:val="00860542"/>
    <w:rsid w:val="00861C46"/>
    <w:rsid w:val="00864BC7"/>
    <w:rsid w:val="00871879"/>
    <w:rsid w:val="00875350"/>
    <w:rsid w:val="008774A8"/>
    <w:rsid w:val="0088147C"/>
    <w:rsid w:val="008827E2"/>
    <w:rsid w:val="00883EBF"/>
    <w:rsid w:val="0088528E"/>
    <w:rsid w:val="00890D5C"/>
    <w:rsid w:val="00893CC3"/>
    <w:rsid w:val="008A08D4"/>
    <w:rsid w:val="008B4F7D"/>
    <w:rsid w:val="008B7481"/>
    <w:rsid w:val="008D1249"/>
    <w:rsid w:val="008E030D"/>
    <w:rsid w:val="008E411B"/>
    <w:rsid w:val="009001B4"/>
    <w:rsid w:val="0092039D"/>
    <w:rsid w:val="0092092E"/>
    <w:rsid w:val="009212FD"/>
    <w:rsid w:val="00921C26"/>
    <w:rsid w:val="009332FC"/>
    <w:rsid w:val="00962FCD"/>
    <w:rsid w:val="0096444E"/>
    <w:rsid w:val="00967CD0"/>
    <w:rsid w:val="00974C93"/>
    <w:rsid w:val="00983BFB"/>
    <w:rsid w:val="00985EC3"/>
    <w:rsid w:val="00997890"/>
    <w:rsid w:val="009A1E76"/>
    <w:rsid w:val="009A2C93"/>
    <w:rsid w:val="009A3BB4"/>
    <w:rsid w:val="009A5F48"/>
    <w:rsid w:val="009D4F20"/>
    <w:rsid w:val="009E20CF"/>
    <w:rsid w:val="009E2CC4"/>
    <w:rsid w:val="009E5479"/>
    <w:rsid w:val="009E7A8D"/>
    <w:rsid w:val="009F0DDC"/>
    <w:rsid w:val="009F4D0E"/>
    <w:rsid w:val="009F58CC"/>
    <w:rsid w:val="00A02F33"/>
    <w:rsid w:val="00A03D2D"/>
    <w:rsid w:val="00A10258"/>
    <w:rsid w:val="00A10869"/>
    <w:rsid w:val="00A10B0C"/>
    <w:rsid w:val="00A1251F"/>
    <w:rsid w:val="00A14B51"/>
    <w:rsid w:val="00A14C9D"/>
    <w:rsid w:val="00A16146"/>
    <w:rsid w:val="00A1649D"/>
    <w:rsid w:val="00A2172B"/>
    <w:rsid w:val="00A2295B"/>
    <w:rsid w:val="00A40323"/>
    <w:rsid w:val="00A52D3D"/>
    <w:rsid w:val="00A544D0"/>
    <w:rsid w:val="00A55CE2"/>
    <w:rsid w:val="00A6523D"/>
    <w:rsid w:val="00A81067"/>
    <w:rsid w:val="00A818B7"/>
    <w:rsid w:val="00A865CC"/>
    <w:rsid w:val="00A86994"/>
    <w:rsid w:val="00A93C74"/>
    <w:rsid w:val="00A94F4B"/>
    <w:rsid w:val="00AB42A6"/>
    <w:rsid w:val="00AB73F4"/>
    <w:rsid w:val="00AC3A85"/>
    <w:rsid w:val="00AC4BAD"/>
    <w:rsid w:val="00AC6E18"/>
    <w:rsid w:val="00AE0435"/>
    <w:rsid w:val="00AE5A7C"/>
    <w:rsid w:val="00AF5EF8"/>
    <w:rsid w:val="00B1084A"/>
    <w:rsid w:val="00B251B3"/>
    <w:rsid w:val="00B27BC4"/>
    <w:rsid w:val="00B31D39"/>
    <w:rsid w:val="00B43716"/>
    <w:rsid w:val="00B46742"/>
    <w:rsid w:val="00B50CD4"/>
    <w:rsid w:val="00B61E54"/>
    <w:rsid w:val="00B6205A"/>
    <w:rsid w:val="00B71375"/>
    <w:rsid w:val="00B73E44"/>
    <w:rsid w:val="00B84EF7"/>
    <w:rsid w:val="00B85A99"/>
    <w:rsid w:val="00B90359"/>
    <w:rsid w:val="00B91A82"/>
    <w:rsid w:val="00B9642D"/>
    <w:rsid w:val="00BA06BB"/>
    <w:rsid w:val="00BA10A7"/>
    <w:rsid w:val="00BA3AD1"/>
    <w:rsid w:val="00BA79F5"/>
    <w:rsid w:val="00BB5F3A"/>
    <w:rsid w:val="00BD024C"/>
    <w:rsid w:val="00BD3367"/>
    <w:rsid w:val="00BD7BBC"/>
    <w:rsid w:val="00BE4F9A"/>
    <w:rsid w:val="00BF0572"/>
    <w:rsid w:val="00BF5FE0"/>
    <w:rsid w:val="00BF66E3"/>
    <w:rsid w:val="00C00410"/>
    <w:rsid w:val="00C06F7E"/>
    <w:rsid w:val="00C11308"/>
    <w:rsid w:val="00C20ADD"/>
    <w:rsid w:val="00C25277"/>
    <w:rsid w:val="00C25422"/>
    <w:rsid w:val="00C26D73"/>
    <w:rsid w:val="00C271D6"/>
    <w:rsid w:val="00C34862"/>
    <w:rsid w:val="00C42615"/>
    <w:rsid w:val="00C4400E"/>
    <w:rsid w:val="00C509A3"/>
    <w:rsid w:val="00C7070F"/>
    <w:rsid w:val="00C71381"/>
    <w:rsid w:val="00C73158"/>
    <w:rsid w:val="00C740D4"/>
    <w:rsid w:val="00C74A64"/>
    <w:rsid w:val="00C81167"/>
    <w:rsid w:val="00C811D4"/>
    <w:rsid w:val="00C85F6F"/>
    <w:rsid w:val="00C96325"/>
    <w:rsid w:val="00CA02E2"/>
    <w:rsid w:val="00CA13C0"/>
    <w:rsid w:val="00CA5CDB"/>
    <w:rsid w:val="00CA5F18"/>
    <w:rsid w:val="00CA7DDC"/>
    <w:rsid w:val="00CB0E13"/>
    <w:rsid w:val="00CB1589"/>
    <w:rsid w:val="00CC7193"/>
    <w:rsid w:val="00CD686E"/>
    <w:rsid w:val="00CE037F"/>
    <w:rsid w:val="00CE6AC7"/>
    <w:rsid w:val="00CE6D56"/>
    <w:rsid w:val="00CF053B"/>
    <w:rsid w:val="00D07775"/>
    <w:rsid w:val="00D100EA"/>
    <w:rsid w:val="00D14CD5"/>
    <w:rsid w:val="00D171DB"/>
    <w:rsid w:val="00D17AE3"/>
    <w:rsid w:val="00D20CA2"/>
    <w:rsid w:val="00D21B4B"/>
    <w:rsid w:val="00D24505"/>
    <w:rsid w:val="00D3364B"/>
    <w:rsid w:val="00D346C6"/>
    <w:rsid w:val="00D44F04"/>
    <w:rsid w:val="00D54CE2"/>
    <w:rsid w:val="00D55A4C"/>
    <w:rsid w:val="00D5689B"/>
    <w:rsid w:val="00D61BB0"/>
    <w:rsid w:val="00D642C2"/>
    <w:rsid w:val="00D65074"/>
    <w:rsid w:val="00D65F1A"/>
    <w:rsid w:val="00D7593C"/>
    <w:rsid w:val="00D8477C"/>
    <w:rsid w:val="00D946BD"/>
    <w:rsid w:val="00DA44D5"/>
    <w:rsid w:val="00DC1A9E"/>
    <w:rsid w:val="00DC51C6"/>
    <w:rsid w:val="00DC63DE"/>
    <w:rsid w:val="00DE0169"/>
    <w:rsid w:val="00DE1E49"/>
    <w:rsid w:val="00DE4A24"/>
    <w:rsid w:val="00DE5F60"/>
    <w:rsid w:val="00DE608F"/>
    <w:rsid w:val="00DE79D7"/>
    <w:rsid w:val="00E06653"/>
    <w:rsid w:val="00E146F1"/>
    <w:rsid w:val="00E16B50"/>
    <w:rsid w:val="00E20AE8"/>
    <w:rsid w:val="00E25931"/>
    <w:rsid w:val="00E36BED"/>
    <w:rsid w:val="00E37581"/>
    <w:rsid w:val="00E53D37"/>
    <w:rsid w:val="00E560DB"/>
    <w:rsid w:val="00E60939"/>
    <w:rsid w:val="00E62F61"/>
    <w:rsid w:val="00E6612E"/>
    <w:rsid w:val="00E756B9"/>
    <w:rsid w:val="00E81E7A"/>
    <w:rsid w:val="00E871C5"/>
    <w:rsid w:val="00E951F3"/>
    <w:rsid w:val="00EA1AEA"/>
    <w:rsid w:val="00EB1F10"/>
    <w:rsid w:val="00EB4FF0"/>
    <w:rsid w:val="00EB7DC2"/>
    <w:rsid w:val="00EC40F9"/>
    <w:rsid w:val="00ED1D70"/>
    <w:rsid w:val="00ED313C"/>
    <w:rsid w:val="00ED3CF8"/>
    <w:rsid w:val="00EE58D9"/>
    <w:rsid w:val="00EE5F50"/>
    <w:rsid w:val="00F0023A"/>
    <w:rsid w:val="00F012F9"/>
    <w:rsid w:val="00F10D9E"/>
    <w:rsid w:val="00F1791B"/>
    <w:rsid w:val="00F211FC"/>
    <w:rsid w:val="00F22EC6"/>
    <w:rsid w:val="00F23E01"/>
    <w:rsid w:val="00F24184"/>
    <w:rsid w:val="00F259DA"/>
    <w:rsid w:val="00F26BEA"/>
    <w:rsid w:val="00F26EBC"/>
    <w:rsid w:val="00F30D8F"/>
    <w:rsid w:val="00F34418"/>
    <w:rsid w:val="00F42780"/>
    <w:rsid w:val="00F45D67"/>
    <w:rsid w:val="00F616BF"/>
    <w:rsid w:val="00F770C5"/>
    <w:rsid w:val="00F82A2C"/>
    <w:rsid w:val="00F849CB"/>
    <w:rsid w:val="00F97F4A"/>
    <w:rsid w:val="00FB212F"/>
    <w:rsid w:val="00FB5A52"/>
    <w:rsid w:val="00FB74D5"/>
    <w:rsid w:val="00FC2841"/>
    <w:rsid w:val="00FC2DCC"/>
    <w:rsid w:val="00FC40ED"/>
    <w:rsid w:val="00FC792E"/>
    <w:rsid w:val="00FD4DB9"/>
    <w:rsid w:val="00FD758C"/>
    <w:rsid w:val="00FD79B1"/>
    <w:rsid w:val="00FE39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3569"/>
    <o:shapelayout v:ext="edit">
      <o:idmap v:ext="edit" data="1"/>
    </o:shapelayout>
  </w:shapeDefaults>
  <w:decimalSymbol w:val=","/>
  <w:listSeparator w:val=";"/>
  <w14:docId w14:val="39FC74DF"/>
  <w15:docId w15:val="{3A4344C7-7646-4E07-A8DE-C47A0A7E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5CE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A55CE2"/>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A55CE2"/>
    <w:rPr>
      <w:rFonts w:ascii="Times New Roman" w:eastAsia="Times New Roman" w:hAnsi="Times New Roman" w:cs="Times New Roman"/>
      <w:sz w:val="24"/>
      <w:szCs w:val="24"/>
      <w:lang w:eastAsia="cs-CZ"/>
    </w:rPr>
  </w:style>
  <w:style w:type="paragraph" w:styleId="Zhlav">
    <w:name w:val="header"/>
    <w:basedOn w:val="Normln"/>
    <w:link w:val="ZhlavChar"/>
    <w:rsid w:val="00A55CE2"/>
    <w:pPr>
      <w:tabs>
        <w:tab w:val="center" w:pos="4536"/>
        <w:tab w:val="right" w:pos="9072"/>
      </w:tabs>
    </w:pPr>
  </w:style>
  <w:style w:type="character" w:customStyle="1" w:styleId="ZhlavChar">
    <w:name w:val="Záhlaví Char"/>
    <w:basedOn w:val="Standardnpsmoodstavce"/>
    <w:link w:val="Zhlav"/>
    <w:rsid w:val="00A55CE2"/>
    <w:rPr>
      <w:rFonts w:ascii="Times New Roman" w:eastAsia="Times New Roman" w:hAnsi="Times New Roman" w:cs="Times New Roman"/>
      <w:sz w:val="20"/>
      <w:szCs w:val="20"/>
      <w:lang w:eastAsia="cs-CZ"/>
    </w:rPr>
  </w:style>
  <w:style w:type="character" w:styleId="slostrnky">
    <w:name w:val="page number"/>
    <w:basedOn w:val="Standardnpsmoodstavce"/>
    <w:rsid w:val="00A55CE2"/>
  </w:style>
  <w:style w:type="paragraph" w:styleId="Zpat">
    <w:name w:val="footer"/>
    <w:basedOn w:val="Normln"/>
    <w:link w:val="ZpatChar"/>
    <w:rsid w:val="00A55CE2"/>
    <w:pPr>
      <w:tabs>
        <w:tab w:val="center" w:pos="4536"/>
        <w:tab w:val="right" w:pos="9072"/>
      </w:tabs>
    </w:pPr>
  </w:style>
  <w:style w:type="character" w:customStyle="1" w:styleId="ZpatChar">
    <w:name w:val="Zápatí Char"/>
    <w:basedOn w:val="Standardnpsmoodstavce"/>
    <w:link w:val="Zpat"/>
    <w:rsid w:val="00A55CE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55CE2"/>
    <w:pPr>
      <w:ind w:left="720"/>
      <w:contextualSpacing/>
    </w:pPr>
  </w:style>
  <w:style w:type="paragraph" w:styleId="Textbubliny">
    <w:name w:val="Balloon Text"/>
    <w:basedOn w:val="Normln"/>
    <w:link w:val="TextbublinyChar"/>
    <w:uiPriority w:val="99"/>
    <w:semiHidden/>
    <w:unhideWhenUsed/>
    <w:rsid w:val="00C85F6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5F6F"/>
    <w:rPr>
      <w:rFonts w:ascii="Segoe UI" w:eastAsia="Times New Roman" w:hAnsi="Segoe UI" w:cs="Segoe UI"/>
      <w:sz w:val="18"/>
      <w:szCs w:val="18"/>
      <w:lang w:eastAsia="cs-CZ"/>
    </w:rPr>
  </w:style>
  <w:style w:type="paragraph" w:customStyle="1" w:styleId="Zkladntextodsazendek">
    <w:name w:val="Základní text odsazený řádek"/>
    <w:basedOn w:val="Normln"/>
    <w:rsid w:val="0079026C"/>
    <w:pPr>
      <w:widowControl w:val="0"/>
      <w:spacing w:after="120"/>
      <w:ind w:left="567"/>
      <w:jc w:val="both"/>
    </w:pPr>
    <w:rPr>
      <w:rFonts w:ascii="Arial" w:hAnsi="Arial"/>
      <w:sz w:val="24"/>
    </w:rPr>
  </w:style>
  <w:style w:type="table" w:styleId="Mkatabulky">
    <w:name w:val="Table Grid"/>
    <w:basedOn w:val="Normlntabulka"/>
    <w:uiPriority w:val="59"/>
    <w:rsid w:val="0079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09467">
      <w:bodyDiv w:val="1"/>
      <w:marLeft w:val="0"/>
      <w:marRight w:val="0"/>
      <w:marTop w:val="0"/>
      <w:marBottom w:val="0"/>
      <w:divBdr>
        <w:top w:val="none" w:sz="0" w:space="0" w:color="auto"/>
        <w:left w:val="none" w:sz="0" w:space="0" w:color="auto"/>
        <w:bottom w:val="none" w:sz="0" w:space="0" w:color="auto"/>
        <w:right w:val="none" w:sz="0" w:space="0" w:color="auto"/>
      </w:divBdr>
    </w:div>
    <w:div w:id="445276667">
      <w:bodyDiv w:val="1"/>
      <w:marLeft w:val="0"/>
      <w:marRight w:val="0"/>
      <w:marTop w:val="0"/>
      <w:marBottom w:val="0"/>
      <w:divBdr>
        <w:top w:val="none" w:sz="0" w:space="0" w:color="auto"/>
        <w:left w:val="none" w:sz="0" w:space="0" w:color="auto"/>
        <w:bottom w:val="none" w:sz="0" w:space="0" w:color="auto"/>
        <w:right w:val="none" w:sz="0" w:space="0" w:color="auto"/>
      </w:divBdr>
    </w:div>
    <w:div w:id="784885136">
      <w:bodyDiv w:val="1"/>
      <w:marLeft w:val="0"/>
      <w:marRight w:val="0"/>
      <w:marTop w:val="0"/>
      <w:marBottom w:val="0"/>
      <w:divBdr>
        <w:top w:val="none" w:sz="0" w:space="0" w:color="auto"/>
        <w:left w:val="none" w:sz="0" w:space="0" w:color="auto"/>
        <w:bottom w:val="none" w:sz="0" w:space="0" w:color="auto"/>
        <w:right w:val="none" w:sz="0" w:space="0" w:color="auto"/>
      </w:divBdr>
    </w:div>
    <w:div w:id="1060591063">
      <w:bodyDiv w:val="1"/>
      <w:marLeft w:val="0"/>
      <w:marRight w:val="0"/>
      <w:marTop w:val="0"/>
      <w:marBottom w:val="0"/>
      <w:divBdr>
        <w:top w:val="none" w:sz="0" w:space="0" w:color="auto"/>
        <w:left w:val="none" w:sz="0" w:space="0" w:color="auto"/>
        <w:bottom w:val="none" w:sz="0" w:space="0" w:color="auto"/>
        <w:right w:val="none" w:sz="0" w:space="0" w:color="auto"/>
      </w:divBdr>
    </w:div>
    <w:div w:id="1112285313">
      <w:bodyDiv w:val="1"/>
      <w:marLeft w:val="0"/>
      <w:marRight w:val="0"/>
      <w:marTop w:val="0"/>
      <w:marBottom w:val="0"/>
      <w:divBdr>
        <w:top w:val="none" w:sz="0" w:space="0" w:color="auto"/>
        <w:left w:val="none" w:sz="0" w:space="0" w:color="auto"/>
        <w:bottom w:val="none" w:sz="0" w:space="0" w:color="auto"/>
        <w:right w:val="none" w:sz="0" w:space="0" w:color="auto"/>
      </w:divBdr>
    </w:div>
    <w:div w:id="1205555966">
      <w:bodyDiv w:val="1"/>
      <w:marLeft w:val="0"/>
      <w:marRight w:val="0"/>
      <w:marTop w:val="0"/>
      <w:marBottom w:val="0"/>
      <w:divBdr>
        <w:top w:val="none" w:sz="0" w:space="0" w:color="auto"/>
        <w:left w:val="none" w:sz="0" w:space="0" w:color="auto"/>
        <w:bottom w:val="none" w:sz="0" w:space="0" w:color="auto"/>
        <w:right w:val="none" w:sz="0" w:space="0" w:color="auto"/>
      </w:divBdr>
    </w:div>
    <w:div w:id="1772356194">
      <w:bodyDiv w:val="1"/>
      <w:marLeft w:val="0"/>
      <w:marRight w:val="0"/>
      <w:marTop w:val="0"/>
      <w:marBottom w:val="0"/>
      <w:divBdr>
        <w:top w:val="none" w:sz="0" w:space="0" w:color="auto"/>
        <w:left w:val="none" w:sz="0" w:space="0" w:color="auto"/>
        <w:bottom w:val="none" w:sz="0" w:space="0" w:color="auto"/>
        <w:right w:val="none" w:sz="0" w:space="0" w:color="auto"/>
      </w:divBdr>
    </w:div>
    <w:div w:id="1842813165">
      <w:bodyDiv w:val="1"/>
      <w:marLeft w:val="0"/>
      <w:marRight w:val="0"/>
      <w:marTop w:val="0"/>
      <w:marBottom w:val="0"/>
      <w:divBdr>
        <w:top w:val="none" w:sz="0" w:space="0" w:color="auto"/>
        <w:left w:val="none" w:sz="0" w:space="0" w:color="auto"/>
        <w:bottom w:val="none" w:sz="0" w:space="0" w:color="auto"/>
        <w:right w:val="none" w:sz="0" w:space="0" w:color="auto"/>
      </w:divBdr>
    </w:div>
    <w:div w:id="19678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2826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Foret Oldřich</dc:creator>
  <cp:lastModifiedBy>Foret Oldřich</cp:lastModifiedBy>
  <cp:revision>11</cp:revision>
  <cp:lastPrinted>2020-06-16T05:02:00Z</cp:lastPrinted>
  <dcterms:created xsi:type="dcterms:W3CDTF">2020-06-09T08:40:00Z</dcterms:created>
  <dcterms:modified xsi:type="dcterms:W3CDTF">2020-06-16T05:56:00Z</dcterms:modified>
</cp:coreProperties>
</file>