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E457AA" w:rsidP="00CB0206">
      <w:pPr>
        <w:pStyle w:val="Radadvodovzprva"/>
        <w:tabs>
          <w:tab w:val="left" w:pos="3225"/>
        </w:tabs>
      </w:pPr>
      <w:bookmarkStart w:id="0" w:name="_GoBack"/>
      <w:bookmarkEnd w:id="0"/>
      <w:r>
        <w:t>D</w:t>
      </w:r>
      <w:r w:rsidR="00397928">
        <w:t>ůvodová zpráva:</w:t>
      </w:r>
    </w:p>
    <w:p w:rsidR="00101B33" w:rsidRDefault="00101B33" w:rsidP="00101B33">
      <w:pPr>
        <w:pStyle w:val="Tuntext"/>
        <w:rPr>
          <w:rFonts w:cs="Arial"/>
          <w:szCs w:val="24"/>
        </w:rPr>
      </w:pPr>
      <w:r w:rsidRPr="00A40043">
        <w:rPr>
          <w:rFonts w:cs="Arial"/>
          <w:szCs w:val="24"/>
        </w:rPr>
        <w:t xml:space="preserve">k návrhu usnesení bod </w:t>
      </w:r>
      <w:r>
        <w:rPr>
          <w:rFonts w:cs="Arial"/>
          <w:szCs w:val="24"/>
        </w:rPr>
        <w:t>2.</w:t>
      </w:r>
      <w:r w:rsidRPr="00A40043">
        <w:rPr>
          <w:rFonts w:cs="Arial"/>
          <w:szCs w:val="24"/>
        </w:rPr>
        <w:t xml:space="preserve"> </w:t>
      </w:r>
    </w:p>
    <w:p w:rsidR="00101B33" w:rsidRDefault="00101B33" w:rsidP="00101B33">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Pr>
      </w:pPr>
      <w:r>
        <w:rPr>
          <w:rStyle w:val="Tunznak"/>
          <w:bCs/>
        </w:rPr>
        <w:t>Neuplatnění předkupního práva ke spoluvlastnickému podílu (id. 2/12) k pozemku v </w:t>
      </w:r>
      <w:proofErr w:type="spellStart"/>
      <w:proofErr w:type="gramStart"/>
      <w:r>
        <w:rPr>
          <w:rStyle w:val="Tunznak"/>
          <w:bCs/>
        </w:rPr>
        <w:t>k.ú</w:t>
      </w:r>
      <w:proofErr w:type="spellEnd"/>
      <w:r>
        <w:rPr>
          <w:rStyle w:val="Tunznak"/>
          <w:bCs/>
        </w:rPr>
        <w:t>.</w:t>
      </w:r>
      <w:proofErr w:type="gramEnd"/>
      <w:r>
        <w:rPr>
          <w:rStyle w:val="Tunznak"/>
          <w:bCs/>
        </w:rPr>
        <w:t xml:space="preserve"> Sušice u Přerova, obec Sušice. </w:t>
      </w:r>
    </w:p>
    <w:p w:rsidR="00101B33" w:rsidRPr="00101B33" w:rsidRDefault="00101B33" w:rsidP="00101B33">
      <w:pPr>
        <w:pStyle w:val="Zkladntext"/>
        <w:rPr>
          <w:rStyle w:val="Tunznak"/>
          <w:b w:val="0"/>
          <w:bCs w:val="0"/>
        </w:rPr>
      </w:pPr>
      <w:r w:rsidRPr="00101B33">
        <w:rPr>
          <w:rStyle w:val="Tunznak"/>
          <w:b w:val="0"/>
          <w:bCs w:val="0"/>
        </w:rPr>
        <w:t xml:space="preserve">Předmětný pozemek v podílovém spoluvlastnictví mj. pana </w:t>
      </w:r>
      <w:r w:rsidR="0090171E">
        <w:rPr>
          <w:rStyle w:val="Tunznak"/>
          <w:b w:val="0"/>
          <w:bCs w:val="0"/>
        </w:rPr>
        <w:t>XXX</w:t>
      </w:r>
      <w:r w:rsidRPr="00101B33">
        <w:rPr>
          <w:rStyle w:val="Tunznak"/>
          <w:b w:val="0"/>
          <w:bCs w:val="0"/>
        </w:rPr>
        <w:t xml:space="preserve"> (id. 2/12) se nachází v </w:t>
      </w:r>
      <w:proofErr w:type="spellStart"/>
      <w:proofErr w:type="gramStart"/>
      <w:r w:rsidRPr="00101B33">
        <w:rPr>
          <w:rStyle w:val="Tunznak"/>
          <w:b w:val="0"/>
          <w:bCs w:val="0"/>
        </w:rPr>
        <w:t>k.ú</w:t>
      </w:r>
      <w:proofErr w:type="spellEnd"/>
      <w:r w:rsidRPr="00101B33">
        <w:rPr>
          <w:rStyle w:val="Tunznak"/>
          <w:b w:val="0"/>
          <w:bCs w:val="0"/>
        </w:rPr>
        <w:t>.</w:t>
      </w:r>
      <w:proofErr w:type="gramEnd"/>
      <w:r w:rsidRPr="00101B33">
        <w:rPr>
          <w:rStyle w:val="Tunznak"/>
          <w:b w:val="0"/>
          <w:bCs w:val="0"/>
        </w:rPr>
        <w:t xml:space="preserve"> Sušice u Přerova, obec Sušice. </w:t>
      </w:r>
    </w:p>
    <w:p w:rsidR="00101B33" w:rsidRPr="00101B33" w:rsidRDefault="00101B33" w:rsidP="00101B33">
      <w:pPr>
        <w:pStyle w:val="Zkladntext"/>
        <w:rPr>
          <w:rStyle w:val="Tunznak"/>
          <w:b w:val="0"/>
          <w:bCs w:val="0"/>
        </w:rPr>
      </w:pPr>
      <w:r w:rsidRPr="00101B33">
        <w:rPr>
          <w:rStyle w:val="Tunznak"/>
          <w:b w:val="0"/>
          <w:bCs w:val="0"/>
        </w:rPr>
        <w:t>K předmětnému pozemku je v katastru nemovitostí vedeno předkupní právo pro Olomoucký kraj na základě opatření obecné povahy, kterým se vydává územní plán nebo regulační plán.</w:t>
      </w:r>
    </w:p>
    <w:p w:rsidR="00101B33" w:rsidRPr="00101B33" w:rsidRDefault="00101B33" w:rsidP="00101B33">
      <w:pPr>
        <w:pStyle w:val="Zkladntext"/>
        <w:rPr>
          <w:rStyle w:val="Tunznak"/>
          <w:b w:val="0"/>
          <w:bCs w:val="0"/>
        </w:rPr>
      </w:pPr>
      <w:r w:rsidRPr="00101B33">
        <w:rPr>
          <w:rStyle w:val="Tunznak"/>
          <w:b w:val="0"/>
          <w:bCs w:val="0"/>
        </w:rPr>
        <w:t xml:space="preserve">Spoluvlastník tohoto pozemku má zájem odprodat svůj podíl, a proto požádal o sdělení, zda Olomoucký kraj využije svého předkupního práva. </w:t>
      </w:r>
    </w:p>
    <w:p w:rsidR="00101B33" w:rsidRDefault="00101B33" w:rsidP="00101B33">
      <w:pPr>
        <w:pStyle w:val="Zkladntext"/>
        <w:rPr>
          <w:rStyle w:val="Tunznak"/>
          <w:bCs w:val="0"/>
        </w:rPr>
      </w:pPr>
      <w:r>
        <w:rPr>
          <w:rStyle w:val="Tunznak"/>
          <w:bCs w:val="0"/>
        </w:rPr>
        <w:t>Vyjádření odboru dopravy a silničního hospodářství ze dne 26. 5. 2020:</w:t>
      </w:r>
    </w:p>
    <w:p w:rsidR="00101B33" w:rsidRPr="00101B33" w:rsidRDefault="00101B33" w:rsidP="00101B33">
      <w:pPr>
        <w:pStyle w:val="Zkladntext"/>
        <w:rPr>
          <w:rStyle w:val="Tunznak"/>
          <w:b w:val="0"/>
          <w:bCs w:val="0"/>
        </w:rPr>
      </w:pPr>
      <w:r w:rsidRPr="00101B33">
        <w:rPr>
          <w:rStyle w:val="Tunznak"/>
          <w:b w:val="0"/>
          <w:bCs w:val="0"/>
        </w:rPr>
        <w:t>Dle zjištění z nahlédnutí na mapové podklady se jedná o pozemek, na kterém se nenachází silnice II/434. Z tohoto důvodu tedy ODSH nepožaduje uplatnění předkupního práva.</w:t>
      </w:r>
    </w:p>
    <w:p w:rsidR="00101B33" w:rsidRDefault="00101B33" w:rsidP="00101B33">
      <w:pPr>
        <w:pStyle w:val="Zkladntext"/>
        <w:rPr>
          <w:rStyle w:val="Tunznak"/>
          <w:bCs w:val="0"/>
        </w:rPr>
      </w:pPr>
      <w:r>
        <w:rPr>
          <w:rStyle w:val="Tunznak"/>
          <w:bCs w:val="0"/>
        </w:rPr>
        <w:t>Vyjádření odboru investic ze dne 28. 5. 2020:</w:t>
      </w:r>
    </w:p>
    <w:p w:rsidR="00101B33" w:rsidRPr="00101B33" w:rsidRDefault="00101B33" w:rsidP="00101B33">
      <w:pPr>
        <w:pStyle w:val="Zkladntext"/>
        <w:rPr>
          <w:rStyle w:val="Tunznak"/>
          <w:b w:val="0"/>
          <w:bCs w:val="0"/>
        </w:rPr>
      </w:pPr>
      <w:r w:rsidRPr="00101B33">
        <w:rPr>
          <w:rStyle w:val="Tunznak"/>
          <w:b w:val="0"/>
          <w:bCs w:val="0"/>
        </w:rPr>
        <w:t>Jelikož odbor investic nepřipravuje v této lokalitě žádnou investiční akci, nepožadujeme uplatnění předkupního práva a odkoupení spoluvlastnického podílu tohoto pozemku.</w:t>
      </w:r>
    </w:p>
    <w:p w:rsidR="00101B33" w:rsidRDefault="00101B33" w:rsidP="00101B33">
      <w:pPr>
        <w:pStyle w:val="Zkladntext"/>
        <w:rPr>
          <w:rStyle w:val="Tunznak"/>
          <w:bCs w:val="0"/>
        </w:rPr>
      </w:pPr>
      <w:r>
        <w:rPr>
          <w:rStyle w:val="Tunznak"/>
          <w:bCs w:val="0"/>
        </w:rPr>
        <w:t>Vyjádření odboru majetkového, právního a správních činností ze dne 3. 6. 2020:</w:t>
      </w:r>
    </w:p>
    <w:p w:rsidR="00101B33" w:rsidRDefault="00101B33" w:rsidP="00101B33">
      <w:pPr>
        <w:pStyle w:val="slo11text"/>
        <w:numPr>
          <w:ilvl w:val="0"/>
          <w:numId w:val="0"/>
        </w:numPr>
        <w:tabs>
          <w:tab w:val="left" w:pos="708"/>
        </w:tabs>
      </w:pPr>
      <w:r>
        <w:t xml:space="preserve">Dle § 101 odst. 8 stavebního zákona předkupní právo zcela zaniká jeho neuplatněním. </w:t>
      </w:r>
    </w:p>
    <w:p w:rsidR="00101B33" w:rsidRDefault="00101B33" w:rsidP="00101B33">
      <w:pPr>
        <w:pStyle w:val="slo11text"/>
        <w:numPr>
          <w:ilvl w:val="0"/>
          <w:numId w:val="0"/>
        </w:numPr>
        <w:tabs>
          <w:tab w:val="left" w:pos="708"/>
        </w:tabs>
        <w:rPr>
          <w:rStyle w:val="Tunznak"/>
          <w:bCs/>
        </w:rPr>
      </w:pPr>
      <w:r>
        <w:rPr>
          <w:rStyle w:val="Tunznak"/>
          <w:bCs/>
        </w:rPr>
        <w:t xml:space="preserve">Rada Olomouckého kraje </w:t>
      </w:r>
      <w:r w:rsidRPr="00101B33">
        <w:rPr>
          <w:rStyle w:val="Tunznak"/>
          <w:b w:val="0"/>
          <w:bCs/>
        </w:rPr>
        <w:t>na základě návrhu odboru majetkového, právního a správních činností</w:t>
      </w:r>
      <w:r>
        <w:rPr>
          <w:rStyle w:val="Tunznak"/>
          <w:bCs/>
        </w:rPr>
        <w:t xml:space="preserve"> </w:t>
      </w:r>
      <w:r>
        <w:rPr>
          <w:rStyle w:val="Char0"/>
          <w:b/>
        </w:rPr>
        <w:t>doporučuje</w:t>
      </w:r>
      <w:r>
        <w:rPr>
          <w:rStyle w:val="Tunznak"/>
        </w:rPr>
        <w:t xml:space="preserve"> Zastupitelstvu Olomouckého kraje </w:t>
      </w:r>
      <w:r>
        <w:rPr>
          <w:rStyle w:val="Tunznak"/>
          <w:bCs/>
        </w:rPr>
        <w:t xml:space="preserve">souhlasit s neuplatněním předkupního práva Olomouckého kraje ke spoluvlastnickému podílu (id. 2/12) k pozemku </w:t>
      </w:r>
      <w:proofErr w:type="spellStart"/>
      <w:r>
        <w:rPr>
          <w:rStyle w:val="Tunznak"/>
          <w:bCs/>
        </w:rPr>
        <w:t>parc</w:t>
      </w:r>
      <w:proofErr w:type="spellEnd"/>
      <w:r>
        <w:rPr>
          <w:rStyle w:val="Tunznak"/>
          <w:bCs/>
        </w:rPr>
        <w:t>. č. 904/1 orná půda v </w:t>
      </w:r>
      <w:proofErr w:type="spellStart"/>
      <w:proofErr w:type="gramStart"/>
      <w:r>
        <w:rPr>
          <w:rStyle w:val="Tunznak"/>
          <w:bCs/>
        </w:rPr>
        <w:t>k.ú</w:t>
      </w:r>
      <w:proofErr w:type="spellEnd"/>
      <w:r>
        <w:rPr>
          <w:rStyle w:val="Tunznak"/>
          <w:bCs/>
        </w:rPr>
        <w:t>.</w:t>
      </w:r>
      <w:proofErr w:type="gramEnd"/>
      <w:r>
        <w:rPr>
          <w:rStyle w:val="Tunznak"/>
          <w:bCs/>
        </w:rPr>
        <w:t xml:space="preserve"> Sušice u Přerova, obec Sušice, a to v souvislosti s jeho převodem z vlastnictví pana </w:t>
      </w:r>
      <w:r w:rsidR="0090171E">
        <w:rPr>
          <w:rStyle w:val="Tunznak"/>
          <w:bCs/>
        </w:rPr>
        <w:t>XXX</w:t>
      </w:r>
      <w:r>
        <w:rPr>
          <w:rStyle w:val="Tunznak"/>
          <w:bCs/>
        </w:rPr>
        <w:t>.</w:t>
      </w:r>
    </w:p>
    <w:p w:rsidR="007A6EF6" w:rsidRDefault="007A6EF6" w:rsidP="00CB0206">
      <w:pPr>
        <w:pStyle w:val="Tuntext"/>
        <w:rPr>
          <w:rFonts w:cs="Arial"/>
          <w:szCs w:val="24"/>
        </w:rPr>
      </w:pPr>
    </w:p>
    <w:sectPr w:rsidR="007A6EF6"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09" w:rsidRDefault="00754D09">
      <w:r>
        <w:separator/>
      </w:r>
    </w:p>
  </w:endnote>
  <w:endnote w:type="continuationSeparator" w:id="0">
    <w:p w:rsidR="00754D09" w:rsidRDefault="0075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E457AA">
      <w:rPr>
        <w:rFonts w:ascii="Arial" w:hAnsi="Arial" w:cs="Arial"/>
      </w:rPr>
      <w:t>22</w:t>
    </w:r>
    <w:r w:rsidRPr="007528EB">
      <w:rPr>
        <w:rFonts w:ascii="Arial" w:hAnsi="Arial" w:cs="Arial"/>
      </w:rPr>
      <w:t xml:space="preserve">. </w:t>
    </w:r>
    <w:r w:rsidR="00E457AA">
      <w:rPr>
        <w:rFonts w:ascii="Arial" w:hAnsi="Arial" w:cs="Arial"/>
      </w:rPr>
      <w:t>6</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1A33FB">
      <w:rPr>
        <w:rStyle w:val="slostrnky"/>
        <w:rFonts w:ascii="Arial" w:hAnsi="Arial" w:cs="Arial"/>
        <w:noProof/>
      </w:rPr>
      <w:t>1</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1A33FB">
      <w:rPr>
        <w:rStyle w:val="slostrnky"/>
        <w:rFonts w:ascii="Arial" w:hAnsi="Arial" w:cs="Arial"/>
        <w:noProof/>
      </w:rPr>
      <w:t>1</w:t>
    </w:r>
    <w:r w:rsidRPr="007528EB">
      <w:rPr>
        <w:rStyle w:val="slostrnky"/>
        <w:rFonts w:ascii="Arial" w:hAnsi="Arial" w:cs="Arial"/>
      </w:rPr>
      <w:fldChar w:fldCharType="end"/>
    </w:r>
    <w:r w:rsidRPr="007528EB">
      <w:rPr>
        <w:rFonts w:ascii="Arial" w:hAnsi="Arial" w:cs="Arial"/>
      </w:rPr>
      <w:t>)</w:t>
    </w:r>
  </w:p>
  <w:p w:rsidR="00B41CB0" w:rsidRPr="007528EB" w:rsidRDefault="0067516B" w:rsidP="000C6198">
    <w:pPr>
      <w:pStyle w:val="Zpat"/>
      <w:pBdr>
        <w:top w:val="single" w:sz="4" w:space="1" w:color="auto"/>
      </w:pBdr>
      <w:spacing w:after="0"/>
      <w:rPr>
        <w:rFonts w:ascii="Arial" w:hAnsi="Arial" w:cs="Arial"/>
      </w:rPr>
    </w:pPr>
    <w:r>
      <w:rPr>
        <w:rFonts w:ascii="Arial" w:hAnsi="Arial" w:cs="Arial"/>
      </w:rPr>
      <w:t>14</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w:t>
    </w:r>
    <w:r w:rsidR="007A6EF6">
      <w:rPr>
        <w:rFonts w:ascii="Arial" w:hAnsi="Arial" w:cs="Arial"/>
      </w:rPr>
      <w:t>1.</w:t>
    </w:r>
    <w:r w:rsidR="00B41CB0" w:rsidRPr="007528EB">
      <w:rPr>
        <w:rFonts w:ascii="Arial" w:hAnsi="Arial" w:cs="Arial"/>
      </w:rPr>
      <w:t xml:space="preserve"> – Majetkoprávní záležitosti – odkoupení nemovitého majetku</w:t>
    </w:r>
    <w:r w:rsidR="007A6EF6">
      <w:rPr>
        <w:rFonts w:ascii="Arial" w:hAnsi="Arial" w:cs="Arial"/>
      </w:rPr>
      <w:t xml:space="preserve"> - DODATEK</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09" w:rsidRDefault="00754D09">
      <w:r>
        <w:separator/>
      </w:r>
    </w:p>
  </w:footnote>
  <w:footnote w:type="continuationSeparator" w:id="0">
    <w:p w:rsidR="00754D09" w:rsidRDefault="00754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12A71"/>
    <w:multiLevelType w:val="hybridMultilevel"/>
    <w:tmpl w:val="CAD4E470"/>
    <w:lvl w:ilvl="0" w:tplc="1FB4A7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5060781"/>
    <w:multiLevelType w:val="hybridMultilevel"/>
    <w:tmpl w:val="885A62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571BA7"/>
    <w:multiLevelType w:val="hybridMultilevel"/>
    <w:tmpl w:val="A2309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24"/>
  </w:num>
  <w:num w:numId="4">
    <w:abstractNumId w:val="33"/>
  </w:num>
  <w:num w:numId="5">
    <w:abstractNumId w:val="19"/>
  </w:num>
  <w:num w:numId="6">
    <w:abstractNumId w:val="39"/>
  </w:num>
  <w:num w:numId="7">
    <w:abstractNumId w:val="49"/>
  </w:num>
  <w:num w:numId="8">
    <w:abstractNumId w:val="6"/>
  </w:num>
  <w:num w:numId="9">
    <w:abstractNumId w:val="25"/>
  </w:num>
  <w:num w:numId="10">
    <w:abstractNumId w:val="8"/>
  </w:num>
  <w:num w:numId="11">
    <w:abstractNumId w:val="42"/>
  </w:num>
  <w:num w:numId="12">
    <w:abstractNumId w:val="41"/>
  </w:num>
  <w:num w:numId="13">
    <w:abstractNumId w:val="47"/>
  </w:num>
  <w:num w:numId="14">
    <w:abstractNumId w:val="40"/>
  </w:num>
  <w:num w:numId="15">
    <w:abstractNumId w:val="44"/>
  </w:num>
  <w:num w:numId="16">
    <w:abstractNumId w:val="16"/>
  </w:num>
  <w:num w:numId="17">
    <w:abstractNumId w:val="26"/>
  </w:num>
  <w:num w:numId="18">
    <w:abstractNumId w:val="23"/>
  </w:num>
  <w:num w:numId="19">
    <w:abstractNumId w:val="11"/>
  </w:num>
  <w:num w:numId="20">
    <w:abstractNumId w:val="38"/>
  </w:num>
  <w:num w:numId="21">
    <w:abstractNumId w:val="1"/>
  </w:num>
  <w:num w:numId="22">
    <w:abstractNumId w:val="14"/>
  </w:num>
  <w:num w:numId="23">
    <w:abstractNumId w:val="27"/>
  </w:num>
  <w:num w:numId="24">
    <w:abstractNumId w:val="20"/>
  </w:num>
  <w:num w:numId="25">
    <w:abstractNumId w:val="29"/>
  </w:num>
  <w:num w:numId="26">
    <w:abstractNumId w:val="36"/>
  </w:num>
  <w:num w:numId="27">
    <w:abstractNumId w:val="50"/>
  </w:num>
  <w:num w:numId="28">
    <w:abstractNumId w:val="17"/>
  </w:num>
  <w:num w:numId="29">
    <w:abstractNumId w:val="46"/>
  </w:num>
  <w:num w:numId="30">
    <w:abstractNumId w:val="28"/>
  </w:num>
  <w:num w:numId="31">
    <w:abstractNumId w:val="34"/>
  </w:num>
  <w:num w:numId="32">
    <w:abstractNumId w:val="43"/>
  </w:num>
  <w:num w:numId="33">
    <w:abstractNumId w:val="18"/>
  </w:num>
  <w:num w:numId="34">
    <w:abstractNumId w:val="0"/>
  </w:num>
  <w:num w:numId="35">
    <w:abstractNumId w:val="13"/>
  </w:num>
  <w:num w:numId="36">
    <w:abstractNumId w:val="15"/>
  </w:num>
  <w:num w:numId="37">
    <w:abstractNumId w:val="9"/>
  </w:num>
  <w:num w:numId="38">
    <w:abstractNumId w:val="2"/>
  </w:num>
  <w:num w:numId="39">
    <w:abstractNumId w:val="7"/>
  </w:num>
  <w:num w:numId="40">
    <w:abstractNumId w:val="48"/>
  </w:num>
  <w:num w:numId="41">
    <w:abstractNumId w:val="35"/>
  </w:num>
  <w:num w:numId="42">
    <w:abstractNumId w:val="5"/>
  </w:num>
  <w:num w:numId="43">
    <w:abstractNumId w:val="21"/>
  </w:num>
  <w:num w:numId="44">
    <w:abstractNumId w:val="31"/>
  </w:num>
  <w:num w:numId="45">
    <w:abstractNumId w:val="32"/>
  </w:num>
  <w:num w:numId="46">
    <w:abstractNumId w:val="10"/>
  </w:num>
  <w:num w:numId="47">
    <w:abstractNumId w:val="3"/>
  </w:num>
  <w:num w:numId="48">
    <w:abstractNumId w:val="37"/>
  </w:num>
  <w:num w:numId="49">
    <w:abstractNumId w:val="31"/>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5F8"/>
    <w:rsid w:val="000F4DB7"/>
    <w:rsid w:val="000F7F00"/>
    <w:rsid w:val="00100182"/>
    <w:rsid w:val="00100EE5"/>
    <w:rsid w:val="00101B33"/>
    <w:rsid w:val="001023D1"/>
    <w:rsid w:val="00102893"/>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33FB"/>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D52"/>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6504"/>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4D0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6EF6"/>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71E"/>
    <w:rsid w:val="0090196D"/>
    <w:rsid w:val="00901C09"/>
    <w:rsid w:val="00902130"/>
    <w:rsid w:val="0090223A"/>
    <w:rsid w:val="009031A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100"/>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5FEA1"/>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33F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1A33F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A33FB"/>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A7B4-0105-4FFC-9072-1E1CCAC6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1356</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2020-06-15T12:27:00Z</cp:lastPrinted>
  <dcterms:created xsi:type="dcterms:W3CDTF">2020-06-15T12:28:00Z</dcterms:created>
  <dcterms:modified xsi:type="dcterms:W3CDTF">2020-06-15T12:28:00Z</dcterms:modified>
</cp:coreProperties>
</file>