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C521" w14:textId="0449C011" w:rsidR="00060848" w:rsidRDefault="00060848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ČINNOST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právnické osobě </w:t>
      </w:r>
    </w:p>
    <w:p w14:paraId="3C9258B8" w14:textId="6B7E2B9B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634C9F83" w:rsidR="009701E1" w:rsidRPr="0092487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1C65" w:rsidRPr="0092487C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13C756F5" w14:textId="35C8C8A9" w:rsidR="00E246BF" w:rsidRPr="0092487C" w:rsidRDefault="009701E1" w:rsidP="00701C6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2487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01C65" w:rsidRPr="0092487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246BF" w:rsidRPr="0092487C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67D9F1B9" w:rsidR="009701E1" w:rsidRPr="0092487C" w:rsidRDefault="00E246BF" w:rsidP="00E246BF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2487C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1C65"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27 - 4228330207/0100  </w:t>
      </w:r>
      <w:r w:rsidR="009701E1" w:rsidRPr="0092487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33CC707" w:rsidR="009701E1" w:rsidRPr="009701E1" w:rsidRDefault="00770A17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701E1"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2487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(uvede se, je-li příjemce plátcem DPH)</w:t>
      </w:r>
    </w:p>
    <w:p w14:paraId="0438E44F" w14:textId="77777777" w:rsidR="009701E1" w:rsidRPr="0092487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2487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319281E2" w:rsid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C8D95FD" w14:textId="4B73BA9C" w:rsidR="00E246BF" w:rsidRDefault="00E246B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ú.: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5CDF0D2" w:rsidR="009A3DA5" w:rsidRPr="009869E4" w:rsidRDefault="009A3DA5" w:rsidP="00701C6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ve výši ......... Kč, slovy: ......... ko</w:t>
      </w:r>
      <w:r w:rsidR="0052259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701C65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podpory činnosti nekomerčního, neziskového a obecně prospěšného </w:t>
      </w:r>
      <w:r w:rsidR="00701C65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charakteru v oblasti požární ochrany, zaměřené na podporu požárního sportu.</w:t>
      </w:r>
      <w:r w:rsidR="00670176"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047A6B77" w:rsidR="009A3DA5" w:rsidRPr="00701C6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701C65" w:rsidRPr="0092487C">
        <w:rPr>
          <w:rFonts w:ascii="Arial" w:eastAsia="Times New Roman" w:hAnsi="Arial" w:cs="Arial"/>
          <w:sz w:val="24"/>
          <w:szCs w:val="24"/>
          <w:lang w:eastAsia="cs-CZ"/>
        </w:rPr>
        <w:t>s názvem „</w:t>
      </w:r>
      <w:r w:rsidR="00701C65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Činnost spojená s organizací kulturních a sportovních akcí, včetně zabezpečení chodu kanceláře</w:t>
      </w:r>
      <w:r w:rsidR="0058738F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8738F" w:rsidRPr="0092487C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……………</w:t>
      </w:r>
      <w:r w:rsidR="00701C65" w:rsidRPr="0092487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01C6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„činnost“). </w:t>
      </w:r>
    </w:p>
    <w:p w14:paraId="366AD3A0" w14:textId="77777777" w:rsidR="0058738F" w:rsidRPr="0058738F" w:rsidRDefault="009A3DA5" w:rsidP="005873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8738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8738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8738F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873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92487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92487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tato s</w:t>
      </w:r>
      <w:r w:rsidR="004538AD" w:rsidRPr="0092487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mlouva nab</w:t>
      </w:r>
      <w:r w:rsidR="00DD3D48" w:rsidRPr="0092487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y</w:t>
      </w:r>
      <w:r w:rsidR="004538AD" w:rsidRPr="0092487C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de účinnosti</w:t>
      </w:r>
    </w:p>
    <w:p w14:paraId="023AD2E2" w14:textId="125BCBA9" w:rsidR="00826F10" w:rsidRPr="0058738F" w:rsidRDefault="00826F10" w:rsidP="0058738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797872E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1E26B1E5" w:rsidR="00BC5C06" w:rsidRPr="00991B4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6A972FF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991B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Dotace na činnost a akce spolků hasičů a pobočných spolků hasičů Olomouckého kraje 2021</w:t>
      </w:r>
      <w:r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 dotační titul </w:t>
      </w:r>
      <w:r w:rsidR="00991B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č.2  Dotace na činnost spolků hasičů </w:t>
      </w:r>
      <w:r w:rsidR="0092487C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991B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a pobočných spolků hasičů Olomouckého kraje 2021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4F3D27F5" w:rsidR="00054974" w:rsidRPr="0092487C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..........…………….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musí být přesně vymezeny uznatelné výdaje, na jejichž úhradu lze dotaci pouze použít (viz odst. </w:t>
      </w:r>
      <w:r w:rsidR="004D5068"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5.4 písm. c) a odst. 11.8 Pravidel</w:t>
      </w:r>
      <w:r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="001864F7"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AEC80A7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A7687F8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2487C" w:rsidRDefault="009A3DA5" w:rsidP="009A3DA5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vést dotaci ve svém účetnictví odděleně.</w:t>
      </w:r>
    </w:p>
    <w:p w14:paraId="1C2524A5" w14:textId="4512DC55" w:rsidR="005A477A" w:rsidRPr="009869E4" w:rsidRDefault="005A477A" w:rsidP="0058738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596C65" w:rsidRPr="0092487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1. 1. 2021</w:t>
      </w:r>
      <w:r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4B81B500" w:rsidR="006A1189" w:rsidRPr="009D5B95" w:rsidRDefault="006A1189" w:rsidP="0058738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Příjemce je povinen nejpozději do ......... předložit poskytovateli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listinou podobu</w:t>
      </w:r>
      <w:r w:rsidRPr="009D5B95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vyúčtování poskytnuté dotace (dále jen „vyúčtování“).</w:t>
      </w:r>
      <w:r w:rsidR="00BD03A9" w:rsidRPr="009D5B95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Vyúčtování musí obsahovat:</w:t>
      </w:r>
    </w:p>
    <w:p w14:paraId="5A7E4DFE" w14:textId="49B24519" w:rsidR="006A1189" w:rsidRPr="009D5B95" w:rsidRDefault="006A1189" w:rsidP="006A1189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4.1.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5E2631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vzoru Vyúčtování dotace na </w:t>
      </w:r>
      <w:r w:rsidR="0096186B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, který tvoří přílohu Pravidel.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Tento soupis výdajů bude doložen:</w:t>
      </w:r>
    </w:p>
    <w:p w14:paraId="4E1D91D8" w14:textId="55223071" w:rsidR="00B36486" w:rsidRPr="009D5B95" w:rsidRDefault="006A1189" w:rsidP="00B36486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  <w:r w:rsidR="00B36486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36486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B36486" w:rsidRPr="009D5B95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(v případě dotace do 35 tisíc Kč)</w:t>
      </w:r>
    </w:p>
    <w:p w14:paraId="579D9D47" w14:textId="1B143625" w:rsidR="00B36486" w:rsidRPr="009D5B95" w:rsidRDefault="00B36486" w:rsidP="00B36486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  <w:r w:rsidRPr="009D5B95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 xml:space="preserve"> (v případě dotace nad 35 tisíc Kč)</w:t>
      </w:r>
    </w:p>
    <w:p w14:paraId="375C22E9" w14:textId="0C527638" w:rsidR="00B36486" w:rsidRPr="009D5B95" w:rsidRDefault="00B36486" w:rsidP="00B36486">
      <w:pPr>
        <w:numPr>
          <w:ilvl w:val="0"/>
          <w:numId w:val="43"/>
        </w:numPr>
        <w:spacing w:after="120"/>
        <w:ind w:left="164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fotokopiemi výdajových dokladů včetně příloh (stvrzenky, paragony apod.), na základě kterých je pokladní doklad vystaven, a to pouze</w:t>
      </w:r>
      <w:r w:rsidR="000D33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 jednotlivých výdajů přesahujících částku 1000 Kč. </w:t>
      </w:r>
      <w:r w:rsidR="000D334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U jednotlivých výdajů do výše 1000 Kč doloží příjemce pouze soupis těchto výdajů,</w:t>
      </w:r>
      <w:r w:rsidRPr="009D5B95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 xml:space="preserve"> (v případě dotace nad 35 tisíc Kč)</w:t>
      </w:r>
    </w:p>
    <w:p w14:paraId="159B3A26" w14:textId="3ACD7B83" w:rsidR="00B36486" w:rsidRPr="009D5B95" w:rsidRDefault="00B36486" w:rsidP="00B36486">
      <w:pPr>
        <w:numPr>
          <w:ilvl w:val="0"/>
          <w:numId w:val="43"/>
        </w:numPr>
        <w:spacing w:after="120"/>
        <w:ind w:left="1644" w:hanging="35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účtu, které dokládají úhradu předložených faktur, s vyznačením dotčených plateb.</w:t>
      </w:r>
      <w:r w:rsidR="000D334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9D5B95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(v případě dotace nad 35 tisíc Kč)</w:t>
      </w:r>
    </w:p>
    <w:p w14:paraId="0ABB4C32" w14:textId="3A7131F4" w:rsidR="006A1189" w:rsidRPr="009D5B95" w:rsidRDefault="006A1189" w:rsidP="009D5B95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Společně s vyúčtováním příjemce předloží poskytovateli závěrečnou zprávu.</w:t>
      </w:r>
    </w:p>
    <w:p w14:paraId="065B0AD5" w14:textId="77777777" w:rsidR="0092487C" w:rsidRPr="009D5B95" w:rsidRDefault="00C34F91" w:rsidP="00C34F91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 listinné podoby v jednom vyhotovení musí obsahovat popis použití dotace</w:t>
      </w:r>
      <w:r w:rsidRPr="009D5B95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. 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V příloze závěrečné zprávy je příjemce povinen předložit poskytovateli užití loga dle č. II odst. 10 této smlouvy (např. doložením snímku obrazovky webových stránek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nebo sociálních sítí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(jsou-li zřízeny) a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doložením 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kopie 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propagačního materiálu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(např. kopie pozvánky, plakátu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).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D4BDB20" w14:textId="5C9B3477" w:rsidR="00C34F91" w:rsidRPr="009D5B95" w:rsidRDefault="0092487C" w:rsidP="00C34F91">
      <w:pPr>
        <w:spacing w:after="120"/>
        <w:ind w:left="567" w:firstLine="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U dotace na činnost převyšující 120 000 Kč/rok, je příjemce povinen v příloze závěrečné zprávy předložit fotodokumentaci o propagaci Olomouckého kraje při této činnosti (minimálně </w:t>
      </w:r>
      <w:r w:rsidR="00EF402D" w:rsidRPr="009D5B95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dvě</w:t>
      </w:r>
      <w:r w:rsidRPr="009D5B95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fotografi</w:t>
      </w:r>
      <w:r w:rsidR="00EF402D" w:rsidRPr="009D5B95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e</w:t>
      </w:r>
      <w:r w:rsidRPr="009D5B95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dokladujících propagaci Olomouckého kraje na viditelném veřejně přístupném místě).</w:t>
      </w:r>
    </w:p>
    <w:p w14:paraId="3C9258F9" w14:textId="35383373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5873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ve smyslu ust. § 22 zákona č. 250/2000 Sb., o rozpočtových pravidlech územních rozpočtů, ve znění pozdějších předpisů.</w:t>
      </w:r>
    </w:p>
    <w:p w14:paraId="3C9258FA" w14:textId="4129BBD9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A705ED" w:rsidRPr="0092487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</w:t>
      </w:r>
      <w:r>
        <w:rPr>
          <w:rFonts w:ascii="Arial" w:eastAsia="Times New Roman" w:hAnsi="Arial" w:cs="Arial"/>
          <w:sz w:val="24"/>
          <w:szCs w:val="24"/>
          <w:lang w:eastAsia="cs-CZ"/>
        </w:rPr>
        <w:t>neopraví chybné nebo neúplné vyúčtování nebo závěrečnou zprávu ve lhůtě 15 dnů ode dne doručení výzvy poskytovatele.</w:t>
      </w:r>
      <w:r w:rsidR="00A705ED"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AD524E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2" w14:textId="11F0DC81" w:rsidR="009A3DA5" w:rsidRPr="009D5B95" w:rsidRDefault="009A3DA5" w:rsidP="003E67B3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9D5B95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č. 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27-</w:t>
      </w:r>
      <w:r w:rsidR="00E246BF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228330207/0100 do konce roku 202</w:t>
      </w:r>
      <w:r w:rsidR="0092487C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, od 1. 1. 202</w:t>
      </w:r>
      <w:r w:rsidR="0058738F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účet </w:t>
      </w:r>
      <w:r w:rsidR="009D5B95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č. 27-4228320287/0100.</w:t>
      </w:r>
      <w:r w:rsidR="00D40813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40813" w:rsidRPr="009D5B95">
        <w:rPr>
          <w:rFonts w:ascii="Arial" w:hAnsi="Arial" w:cs="Arial"/>
          <w:b/>
          <w:sz w:val="24"/>
          <w:szCs w:val="24"/>
        </w:rPr>
        <w:t xml:space="preserve">Případný odvod či penále se hradí na účet poskytovatele č. </w:t>
      </w:r>
      <w:r w:rsidR="00AD524E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="00D40813" w:rsidRPr="009D5B95">
        <w:rPr>
          <w:rFonts w:ascii="Arial" w:hAnsi="Arial" w:cs="Arial"/>
          <w:b/>
          <w:sz w:val="24"/>
          <w:szCs w:val="24"/>
        </w:rPr>
        <w:t xml:space="preserve"> na základě vystavené faktury.</w:t>
      </w:r>
      <w:r w:rsidR="00AE30DE" w:rsidRPr="009D5B95">
        <w:rPr>
          <w:rFonts w:ascii="Arial" w:hAnsi="Arial" w:cs="Arial"/>
          <w:b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86E9AFB" w14:textId="46C196B0" w:rsidR="0058738F" w:rsidRPr="0058738F" w:rsidRDefault="00836AA2" w:rsidP="0058738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nebo sociálních sítích </w:t>
      </w:r>
      <w:r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(jsou-li zřízeny) </w:t>
      </w:r>
      <w:r w:rsidR="00AD52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ode dne přijetí dotace do termínu předložení listinné podoby vyúčtování</w:t>
      </w:r>
      <w:r w:rsidR="0058738F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AD52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dále je příjemce </w:t>
      </w:r>
      <w:r w:rsidR="00956AF7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povinen </w:t>
      </w:r>
      <w:r w:rsidR="00AD52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označit propagační materiály příjemce, vztahující se k účelu dotace</w:t>
      </w:r>
      <w:r w:rsidR="0092487C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>, logem Olomouckého kraje</w:t>
      </w:r>
      <w:r w:rsidR="00AD524E" w:rsidRPr="009248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4711E03D" w14:textId="6611EAEE" w:rsidR="00836AA2" w:rsidRPr="009D5B95" w:rsidRDefault="004D0E3E" w:rsidP="0058738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9D5B9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</w:t>
      </w:r>
      <w:r w:rsidR="003A4A87"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činnost</w:t>
      </w:r>
      <w:r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</w:t>
      </w:r>
      <w:r w:rsidR="00695FFD"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FF33D8" w:rsidRPr="009D5B9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12</w:t>
      </w:r>
      <w:r w:rsidR="00836AA2" w:rsidRPr="009D5B9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0 000 Kč</w:t>
      </w:r>
      <w:r w:rsidR="00FF33D8" w:rsidRPr="009D5B9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/rok</w:t>
      </w:r>
      <w:r w:rsidR="00836AA2" w:rsidRPr="009D5B9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se také uvede:</w:t>
      </w:r>
    </w:p>
    <w:p w14:paraId="23E63567" w14:textId="30D92781" w:rsidR="00836AA2" w:rsidRPr="009D5B95" w:rsidRDefault="00836AA2" w:rsidP="00836AA2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pořídit fotodokumentaci o propagaci </w:t>
      </w:r>
      <w:r w:rsidR="0031285D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poskytovatele při </w:t>
      </w:r>
      <w:r w:rsidR="0049254A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činnosti</w:t>
      </w:r>
      <w:r w:rsidR="0031285D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podporované dle této smlouvy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Povinně pořízená fotodokumentace (minimálně </w:t>
      </w:r>
      <w:r w:rsidR="00CA67CA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dvě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fotografie dokladující propagaci </w:t>
      </w:r>
      <w:r w:rsidR="0031285D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poskytovatele</w:t>
      </w:r>
      <w:r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D5B95">
        <w:rPr>
          <w:rFonts w:ascii="Arial" w:eastAsia="Times New Roman" w:hAnsi="Arial" w:cs="Arial"/>
          <w:b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80C5DDE" w:rsidR="006C7815" w:rsidRPr="0092487C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</w:t>
      </w:r>
      <w:r w:rsidRPr="0092487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poskytnout dotaci dle odst. 10.1 </w:t>
      </w:r>
      <w:r w:rsidR="00F4508E" w:rsidRPr="0092487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2487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5B606BD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</w:t>
      </w:r>
      <w:r w:rsidRPr="0092487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změně předpokládané v odst. 10.2 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12DFBDFA" w14:textId="77777777" w:rsidR="00170EC7" w:rsidRPr="0058738F" w:rsidRDefault="00170EC7" w:rsidP="00790E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58738F" w:rsidRDefault="00C20839" w:rsidP="00790E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58738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1CE1A5DE" w:rsidR="00170EC7" w:rsidRPr="0058738F" w:rsidRDefault="00170EC7" w:rsidP="00790E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92487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92487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2AF634C" w:rsidR="00170EC7" w:rsidRPr="0058738F" w:rsidRDefault="00C20839" w:rsidP="00790E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58738F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8738F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</w:t>
      </w:r>
      <w:r w:rsidR="0092487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58738F">
        <w:rPr>
          <w:rFonts w:ascii="Arial" w:eastAsia="Times New Roman" w:hAnsi="Arial" w:cs="Arial"/>
          <w:iCs/>
          <w:sz w:val="24"/>
          <w:szCs w:val="24"/>
          <w:lang w:eastAsia="cs-CZ"/>
        </w:rPr>
        <w:t>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487C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smlouvách, které mají být uveřejněny v registru smluv, se uvede:</w:t>
      </w:r>
      <w:r w:rsidRPr="0092487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487C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 xml:space="preserve">Ve smlouvách, které se povinně </w:t>
      </w:r>
      <w:r w:rsidR="004B6816" w:rsidRPr="0092487C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z</w:t>
      </w:r>
      <w:r w:rsidRPr="0092487C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veřejňují na úřední desce (dotace nad 50 000 Kč), se dále uvede:</w:t>
      </w:r>
      <w:r w:rsidRPr="0092487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790E33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487C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 ze zákona povinně uveřejňovaných v registru smluv je třeba toto ustanovení formulovat takto:</w:t>
      </w:r>
      <w:r w:rsidRPr="0092487C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1B9DD679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Tento odst. 8 se ve smlouvě neuvede, bude-li příjemcem veřejnoprávní podepisující.</w:t>
      </w:r>
      <w:r w:rsidR="00FF7F1F" w:rsidRPr="0092487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370396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790E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61AC260A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790E33" w:rsidRPr="0092487C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90E33" w:rsidRPr="0092487C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9248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92487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Toto ustanovení se vypustí, bude-li smlouva uzavírána elektronicky (viz bod 8.3.1 písm. b) Pravidel).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641208D4" w:rsidR="009A3DA5" w:rsidRPr="0092487C" w:rsidRDefault="00770A17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48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Suchánek,</w:t>
            </w:r>
          </w:p>
          <w:p w14:paraId="22E9AAE6" w14:textId="45225CF7" w:rsidR="00770A17" w:rsidRPr="0092487C" w:rsidRDefault="00770A17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48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6565B1C8" w:rsidR="00EC57C5" w:rsidRDefault="00EC57C5" w:rsidP="0058738F">
      <w:pPr>
        <w:ind w:left="0" w:firstLine="0"/>
        <w:rPr>
          <w:rFonts w:ascii="Arial" w:hAnsi="Arial" w:cs="Arial"/>
          <w:bCs/>
        </w:rPr>
      </w:pPr>
    </w:p>
    <w:sectPr w:rsidR="00EC57C5" w:rsidSect="00277DB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3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3365" w16cex:dateUtc="2020-11-30T08:01:00Z"/>
  <w16cex:commentExtensible w16cex:durableId="236F33A5" w16cex:dateUtc="2020-11-30T08:02:00Z"/>
  <w16cex:commentExtensible w16cex:durableId="236F33CA" w16cex:dateUtc="2020-11-30T08:03:00Z"/>
  <w16cex:commentExtensible w16cex:durableId="236F516D" w16cex:dateUtc="2020-11-30T10:09:00Z"/>
  <w16cex:commentExtensible w16cex:durableId="2368C749" w16cex:dateUtc="2020-11-25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B341C3" w16cid:durableId="2368C5C0"/>
  <w16cid:commentId w16cid:paraId="3F3E2AC6" w16cid:durableId="236F3365"/>
  <w16cid:commentId w16cid:paraId="64B30265" w16cid:durableId="236F33A5"/>
  <w16cid:commentId w16cid:paraId="0DB695C1" w16cid:durableId="236F33CA"/>
  <w16cid:commentId w16cid:paraId="24370D82" w16cid:durableId="236F516D"/>
  <w16cid:commentId w16cid:paraId="6C32C927" w16cid:durableId="2368C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498C6" w14:textId="77777777" w:rsidR="003C4A42" w:rsidRDefault="003C4A42" w:rsidP="00D40C40">
      <w:r>
        <w:separator/>
      </w:r>
    </w:p>
  </w:endnote>
  <w:endnote w:type="continuationSeparator" w:id="0">
    <w:p w14:paraId="59D47CAC" w14:textId="77777777" w:rsidR="003C4A42" w:rsidRDefault="003C4A4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9A4" w14:textId="32B31446" w:rsidR="00BF0299" w:rsidRPr="00BF0299" w:rsidRDefault="00277DBF" w:rsidP="00BF0299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90E3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92487C">
      <w:rPr>
        <w:rFonts w:ascii="Arial" w:hAnsi="Arial" w:cs="Arial"/>
        <w:i/>
        <w:sz w:val="20"/>
        <w:szCs w:val="20"/>
      </w:rPr>
      <w:t xml:space="preserve">. </w:t>
    </w:r>
    <w:r w:rsidR="00790E33">
      <w:rPr>
        <w:rFonts w:ascii="Arial" w:hAnsi="Arial" w:cs="Arial"/>
        <w:i/>
        <w:sz w:val="20"/>
        <w:szCs w:val="20"/>
      </w:rPr>
      <w:t>2</w:t>
    </w:r>
    <w:r w:rsidR="0092487C">
      <w:rPr>
        <w:rFonts w:ascii="Arial" w:hAnsi="Arial" w:cs="Arial"/>
        <w:i/>
        <w:sz w:val="20"/>
        <w:szCs w:val="20"/>
      </w:rPr>
      <w:t>. 2021</w:t>
    </w:r>
    <w:r w:rsidR="00BF0299" w:rsidRPr="00BF0299">
      <w:rPr>
        <w:rFonts w:ascii="Arial" w:hAnsi="Arial" w:cs="Arial"/>
        <w:sz w:val="20"/>
        <w:szCs w:val="20"/>
      </w:rPr>
      <w:tab/>
    </w:r>
    <w:r w:rsidR="00BF0299" w:rsidRPr="00BF029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445969992"/>
        <w:docPartObj>
          <w:docPartGallery w:val="Page Numbers (Bottom of Page)"/>
          <w:docPartUnique/>
        </w:docPartObj>
      </w:sdtPr>
      <w:sdtEndPr/>
      <w:sdtContent>
        <w:r w:rsidR="00BF0299" w:rsidRPr="00BF0299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begin"/>
        </w:r>
        <w:r w:rsidR="00BF0299" w:rsidRPr="00BF029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D0223">
          <w:rPr>
            <w:rFonts w:ascii="Arial" w:hAnsi="Arial" w:cs="Arial"/>
            <w:i/>
            <w:noProof/>
            <w:sz w:val="20"/>
            <w:szCs w:val="20"/>
          </w:rPr>
          <w:t>42</w: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  <w:r w:rsidR="00FE56E2">
      <w:rPr>
        <w:rFonts w:ascii="Arial" w:hAnsi="Arial" w:cs="Arial"/>
        <w:i/>
        <w:sz w:val="20"/>
        <w:szCs w:val="20"/>
      </w:rPr>
      <w:t xml:space="preserve"> (celkem </w:t>
    </w:r>
    <w:r w:rsidR="00060848">
      <w:rPr>
        <w:rFonts w:ascii="Arial" w:hAnsi="Arial" w:cs="Arial"/>
        <w:i/>
        <w:sz w:val="20"/>
        <w:szCs w:val="20"/>
      </w:rPr>
      <w:t>87</w:t>
    </w:r>
    <w:r w:rsidR="00BF0299" w:rsidRPr="00BF0299">
      <w:rPr>
        <w:rFonts w:ascii="Arial" w:hAnsi="Arial" w:cs="Arial"/>
        <w:i/>
        <w:sz w:val="20"/>
        <w:szCs w:val="20"/>
      </w:rPr>
      <w:t>)</w:t>
    </w:r>
  </w:p>
  <w:p w14:paraId="14BB7C36" w14:textId="4C7C414F" w:rsidR="00060848" w:rsidRPr="00BF0299" w:rsidRDefault="00631F97" w:rsidP="00060848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060848" w:rsidRPr="00BF0299">
      <w:rPr>
        <w:rFonts w:ascii="Arial" w:hAnsi="Arial" w:cs="Arial"/>
        <w:i/>
        <w:sz w:val="20"/>
        <w:szCs w:val="20"/>
      </w:rPr>
      <w:t xml:space="preserve">. </w:t>
    </w:r>
    <w:r w:rsidR="00060848">
      <w:rPr>
        <w:rFonts w:ascii="Arial" w:hAnsi="Arial" w:cs="Arial"/>
        <w:i/>
        <w:sz w:val="20"/>
        <w:szCs w:val="20"/>
      </w:rPr>
      <w:t>Dotační program 14_01 Dotac</w:t>
    </w:r>
    <w:r w:rsidR="00060848" w:rsidRPr="00770A17">
      <w:rPr>
        <w:rFonts w:ascii="Arial" w:hAnsi="Arial" w:cs="Arial"/>
        <w:i/>
        <w:sz w:val="20"/>
        <w:szCs w:val="20"/>
      </w:rPr>
      <w:t xml:space="preserve">e na </w:t>
    </w:r>
    <w:r w:rsidR="00060848">
      <w:rPr>
        <w:rFonts w:ascii="Arial" w:hAnsi="Arial" w:cs="Arial"/>
        <w:i/>
        <w:sz w:val="20"/>
        <w:szCs w:val="20"/>
      </w:rPr>
      <w:t xml:space="preserve">akce a </w:t>
    </w:r>
    <w:r w:rsidR="00060848" w:rsidRPr="00770A17">
      <w:rPr>
        <w:rFonts w:ascii="Arial" w:hAnsi="Arial" w:cs="Arial"/>
        <w:i/>
        <w:sz w:val="20"/>
        <w:szCs w:val="20"/>
      </w:rPr>
      <w:t>činnost spolků hasičů a pobočných spolků hasičů Olomouckého kraje 2021</w:t>
    </w:r>
    <w:r w:rsidR="00060848">
      <w:rPr>
        <w:rFonts w:ascii="Arial" w:hAnsi="Arial" w:cs="Arial"/>
        <w:i/>
        <w:sz w:val="20"/>
        <w:szCs w:val="20"/>
      </w:rPr>
      <w:t xml:space="preserve"> – vyhlášení </w:t>
    </w:r>
  </w:p>
  <w:p w14:paraId="0EF3EF93" w14:textId="55A98F26" w:rsidR="00BF0299" w:rsidRPr="00060848" w:rsidRDefault="00060848" w:rsidP="00060848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277DBF">
      <w:rPr>
        <w:rFonts w:ascii="Arial" w:hAnsi="Arial" w:cs="Arial"/>
        <w:i/>
        <w:sz w:val="20"/>
        <w:szCs w:val="20"/>
      </w:rPr>
      <w:t>3</w:t>
    </w:r>
    <w:r w:rsidRPr="00BF0299">
      <w:rPr>
        <w:rFonts w:ascii="Arial" w:hAnsi="Arial" w:cs="Arial"/>
        <w:i/>
        <w:sz w:val="20"/>
        <w:szCs w:val="20"/>
      </w:rPr>
      <w:t xml:space="preserve"> – </w:t>
    </w:r>
    <w:r w:rsidRPr="00770A17">
      <w:rPr>
        <w:rFonts w:ascii="Arial" w:hAnsi="Arial" w:cs="Arial"/>
        <w:i/>
        <w:sz w:val="20"/>
        <w:szCs w:val="20"/>
      </w:rPr>
      <w:t xml:space="preserve">Vzorová </w:t>
    </w:r>
    <w:r>
      <w:rPr>
        <w:rFonts w:ascii="Arial" w:hAnsi="Arial" w:cs="Arial"/>
        <w:i/>
        <w:sz w:val="20"/>
        <w:szCs w:val="20"/>
      </w:rPr>
      <w:t>s</w:t>
    </w:r>
    <w:r w:rsidRPr="00770A17">
      <w:rPr>
        <w:rFonts w:ascii="Arial" w:hAnsi="Arial" w:cs="Arial"/>
        <w:i/>
        <w:sz w:val="20"/>
        <w:szCs w:val="20"/>
      </w:rPr>
      <w:t xml:space="preserve">mlouva o poskytnutí dotace </w:t>
    </w:r>
    <w:r>
      <w:rPr>
        <w:rFonts w:ascii="Arial" w:hAnsi="Arial" w:cs="Arial"/>
        <w:i/>
        <w:sz w:val="20"/>
        <w:szCs w:val="20"/>
      </w:rPr>
      <w:t>pro DT č. 14_01_2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2B95" w14:textId="77777777" w:rsidR="003C4A42" w:rsidRDefault="003C4A42" w:rsidP="00D40C40">
      <w:r>
        <w:separator/>
      </w:r>
    </w:p>
  </w:footnote>
  <w:footnote w:type="continuationSeparator" w:id="0">
    <w:p w14:paraId="0AD14450" w14:textId="77777777" w:rsidR="003C4A42" w:rsidRDefault="003C4A4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39238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6F7A"/>
    <w:rsid w:val="000576BE"/>
    <w:rsid w:val="00060848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3342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77DBF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D62F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A42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7B3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3169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030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38F"/>
    <w:rsid w:val="0058756D"/>
    <w:rsid w:val="00594745"/>
    <w:rsid w:val="0059526D"/>
    <w:rsid w:val="00596C65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375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4E6F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D03"/>
    <w:rsid w:val="00631EC0"/>
    <w:rsid w:val="00631F97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1C65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7DA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0A17"/>
    <w:rsid w:val="00772762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0E33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08AC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87C"/>
    <w:rsid w:val="00924C5C"/>
    <w:rsid w:val="009264AC"/>
    <w:rsid w:val="00930271"/>
    <w:rsid w:val="009329EC"/>
    <w:rsid w:val="00932DFB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6AF7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1B4E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5B95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49C"/>
    <w:rsid w:val="00A82E58"/>
    <w:rsid w:val="00A85253"/>
    <w:rsid w:val="00A87597"/>
    <w:rsid w:val="00A875A5"/>
    <w:rsid w:val="00A90DD6"/>
    <w:rsid w:val="00A91948"/>
    <w:rsid w:val="00A91B95"/>
    <w:rsid w:val="00A93F37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2246"/>
    <w:rsid w:val="00AC34BB"/>
    <w:rsid w:val="00AC5EC5"/>
    <w:rsid w:val="00AD3B56"/>
    <w:rsid w:val="00AD46AF"/>
    <w:rsid w:val="00AD524E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648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6F2A"/>
    <w:rsid w:val="00C076A4"/>
    <w:rsid w:val="00C11B75"/>
    <w:rsid w:val="00C11E80"/>
    <w:rsid w:val="00C123D6"/>
    <w:rsid w:val="00C15D33"/>
    <w:rsid w:val="00C16E3F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F9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3CAC"/>
    <w:rsid w:val="00CA4AB9"/>
    <w:rsid w:val="00CA67CA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3CD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027A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46BF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5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3BA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02D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223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F431-07A5-4751-B5EF-93982D9D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2752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2</cp:revision>
  <cp:lastPrinted>2021-01-19T12:57:00Z</cp:lastPrinted>
  <dcterms:created xsi:type="dcterms:W3CDTF">2021-02-02T12:07:00Z</dcterms:created>
  <dcterms:modified xsi:type="dcterms:W3CDTF">2021-02-02T12:07:00Z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