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2E199139" w:rsidR="00D171EF" w:rsidRPr="003A4FCA" w:rsidRDefault="00D171EF" w:rsidP="001A5BA9">
      <w:pPr>
        <w:rPr>
          <w:rFonts w:ascii="Arial" w:hAnsi="Arial" w:cs="Arial"/>
          <w:b/>
          <w:sz w:val="24"/>
          <w:szCs w:val="24"/>
        </w:rPr>
      </w:pPr>
    </w:p>
    <w:p w14:paraId="7B308413" w14:textId="77777777" w:rsidR="00315F2E" w:rsidRPr="003A4FCA" w:rsidRDefault="00105D9E" w:rsidP="009075B1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FCA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  <w:r w:rsidR="009075B1" w:rsidRPr="003A4FCA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182A947" w14:textId="0CA6EF21" w:rsidR="00D171EF" w:rsidRPr="003A4FCA" w:rsidRDefault="000605F0" w:rsidP="009075B1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FCA">
        <w:rPr>
          <w:rFonts w:ascii="Arial" w:hAnsi="Arial" w:cs="Arial"/>
          <w:b/>
          <w:sz w:val="40"/>
          <w:szCs w:val="40"/>
        </w:rPr>
        <w:t>„</w:t>
      </w:r>
      <w:r w:rsidRPr="003A4FCA">
        <w:rPr>
          <w:rFonts w:ascii="Arial" w:hAnsi="Arial" w:cs="Arial"/>
          <w:b/>
          <w:sz w:val="40"/>
          <w:szCs w:val="36"/>
        </w:rPr>
        <w:t>PROGRAM NA PODPORU STÁLÝCH PROFESIONÁLNÍCH SOUBORŮ V OLOMOUCKÉM KRAJI V ROCE</w:t>
      </w:r>
      <w:r w:rsidRPr="003A4FCA">
        <w:rPr>
          <w:rFonts w:ascii="Arial" w:hAnsi="Arial" w:cs="Arial"/>
          <w:b/>
          <w:sz w:val="40"/>
          <w:szCs w:val="40"/>
        </w:rPr>
        <w:t xml:space="preserve"> 2021“</w:t>
      </w:r>
    </w:p>
    <w:p w14:paraId="1CA4EACD" w14:textId="77777777" w:rsidR="00D171EF" w:rsidRPr="003A4FCA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3A4FC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A4FCA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341A37F4" w:rsidR="00691685" w:rsidRPr="003A4FC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A3E1B" w:rsidRPr="003A4FCA">
        <w:rPr>
          <w:rFonts w:ascii="Arial" w:hAnsi="Arial" w:cs="Arial"/>
          <w:b/>
          <w:bCs/>
          <w:sz w:val="24"/>
          <w:szCs w:val="24"/>
        </w:rPr>
        <w:t>06_02_</w:t>
      </w:r>
      <w:r w:rsidR="000605F0" w:rsidRPr="003A4FCA">
        <w:rPr>
          <w:rFonts w:ascii="Arial" w:hAnsi="Arial" w:cs="Arial"/>
          <w:b/>
          <w:bCs/>
          <w:sz w:val="24"/>
          <w:szCs w:val="24"/>
        </w:rPr>
        <w:t>Program na podporu stálých profesionálních souborů v Olomouckém kraji v roce 2021</w:t>
      </w:r>
    </w:p>
    <w:p w14:paraId="766C4146" w14:textId="77777777" w:rsidR="00691685" w:rsidRPr="003A4FC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A4FC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A4FC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A4FCA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3A4FC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Řídící orgán: </w:t>
      </w:r>
      <w:r w:rsidRPr="003A4FCA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3A4FCA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3A4FC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A4FCA">
        <w:rPr>
          <w:rFonts w:ascii="Arial" w:hAnsi="Arial" w:cs="Arial"/>
          <w:b/>
          <w:sz w:val="24"/>
          <w:szCs w:val="24"/>
        </w:rPr>
        <w:t>Administrátorem dotačního programu</w:t>
      </w:r>
      <w:r w:rsidRPr="003A4FC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3A4FC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678D810" w:rsidR="00D8543B" w:rsidRPr="003A4FC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605F0" w:rsidRPr="003A4FCA">
        <w:rPr>
          <w:rFonts w:ascii="Arial" w:hAnsi="Arial" w:cs="Arial"/>
          <w:sz w:val="24"/>
        </w:rPr>
        <w:t>sportu, kultury a památkové péče</w:t>
      </w:r>
      <w:r w:rsidR="002C7DDB" w:rsidRPr="003A4FC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A4FC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A4FC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A4FC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>e-podatelna:</w:t>
      </w:r>
      <w:r w:rsidRPr="003A4FCA">
        <w:rPr>
          <w:rFonts w:cs="Arial"/>
          <w:sz w:val="24"/>
          <w:szCs w:val="24"/>
        </w:rPr>
        <w:t xml:space="preserve"> </w:t>
      </w:r>
      <w:r w:rsidR="009A6E56" w:rsidRPr="003A4FC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A4FCA">
        <w:rPr>
          <w:sz w:val="24"/>
          <w:szCs w:val="24"/>
        </w:rPr>
        <w:t xml:space="preserve"> </w:t>
      </w:r>
    </w:p>
    <w:p w14:paraId="7CA0B538" w14:textId="77777777" w:rsidR="00D8543B" w:rsidRPr="003A4FC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A4FC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3A4FC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3A4FC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A4FCA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5E91AD4D" w:rsidR="00FE0B1A" w:rsidRPr="003A4FC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Cílem dotačního programu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="003900DA" w:rsidRPr="003A4FCA">
        <w:rPr>
          <w:rFonts w:ascii="Arial" w:hAnsi="Arial" w:cs="Arial"/>
          <w:sz w:val="24"/>
          <w:szCs w:val="24"/>
        </w:rPr>
        <w:t>je podpora rozvoje kulturního života obyvatel Olomouckého kraje ve veřejném zájmu a v souladu s cíli Olomouckého kraje. Dotační program vychází z Koncepce rozvoje kultury a památkové péče Olomouckého kraje a Strategie rozvoje územního obvodu Olomouckého kraje 2021–2027.</w:t>
      </w:r>
      <w:r w:rsidR="00AA65EC" w:rsidRPr="003A4FCA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3A4FCA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1A8CFB7" w14:textId="77777777" w:rsidR="001C6A0F" w:rsidRPr="003A4FC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b/>
          <w:sz w:val="24"/>
          <w:szCs w:val="24"/>
        </w:rPr>
        <w:t>Kontaktní údaje</w:t>
      </w:r>
      <w:r w:rsidRPr="003A4FCA">
        <w:rPr>
          <w:rFonts w:ascii="Arial" w:hAnsi="Arial" w:cs="Arial"/>
          <w:sz w:val="24"/>
          <w:szCs w:val="24"/>
        </w:rPr>
        <w:t xml:space="preserve"> pro komunikaci s </w:t>
      </w:r>
      <w:r w:rsidR="001C6A0F" w:rsidRPr="003A4FCA">
        <w:rPr>
          <w:rFonts w:ascii="Arial" w:hAnsi="Arial" w:cs="Arial"/>
          <w:sz w:val="24"/>
          <w:szCs w:val="24"/>
        </w:rPr>
        <w:t>administrátorem:</w:t>
      </w:r>
      <w:r w:rsidR="001C6A0F" w:rsidRPr="003A4FC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497720EF" w14:textId="77777777" w:rsidR="000605F0" w:rsidRPr="003A4FCA" w:rsidRDefault="000605F0" w:rsidP="000605F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3A4FCA">
        <w:rPr>
          <w:rFonts w:ascii="Arial" w:hAnsi="Arial" w:cs="Arial"/>
          <w:sz w:val="24"/>
          <w:szCs w:val="24"/>
        </w:rPr>
        <w:t>sportu, kultury a památkové péče</w:t>
      </w:r>
      <w:r w:rsidRPr="003A4FC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Krajského úřadu Olomouckého kraje</w:t>
      </w:r>
    </w:p>
    <w:p w14:paraId="7A3753E0" w14:textId="77777777" w:rsidR="000605F0" w:rsidRPr="003A4FCA" w:rsidRDefault="000605F0" w:rsidP="000605F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3A4FCA">
        <w:rPr>
          <w:rFonts w:ascii="Arial" w:hAnsi="Arial" w:cs="Arial"/>
          <w:sz w:val="24"/>
          <w:szCs w:val="16"/>
          <w:lang w:val="sv-SE"/>
        </w:rPr>
        <w:t>Jeremenkova 1142/42</w:t>
      </w:r>
      <w:r w:rsidRPr="003A4FCA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3A4FCA">
        <w:rPr>
          <w:rFonts w:ascii="Arial" w:hAnsi="Arial" w:cs="Arial"/>
          <w:sz w:val="24"/>
          <w:szCs w:val="24"/>
          <w:lang w:eastAsia="cs-CZ"/>
        </w:rPr>
        <w:t>(budova RCO 1)</w:t>
      </w:r>
    </w:p>
    <w:p w14:paraId="3799BD86" w14:textId="77777777" w:rsidR="000605F0" w:rsidRPr="003A4FCA" w:rsidRDefault="000605F0" w:rsidP="000605F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A4FCA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20088EFB" w14:textId="77777777" w:rsidR="000605F0" w:rsidRPr="003A4FCA" w:rsidRDefault="000605F0" w:rsidP="000605F0">
      <w:pPr>
        <w:ind w:left="0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Telefon:</w:t>
      </w:r>
      <w:r w:rsidRPr="003A4FCA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BC9133B" w14:textId="0361E9BC" w:rsidR="00D841D9" w:rsidRPr="003A4FCA" w:rsidRDefault="000605F0" w:rsidP="000605F0">
      <w:pPr>
        <w:ind w:left="0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3A4FCA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2BF393B4" w14:textId="54B469FC" w:rsidR="00D841D9" w:rsidRPr="003A4FC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D3BF8B2" w:rsidR="00691685" w:rsidRPr="003A4FC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3A4FC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A4FC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3A4FCA">
        <w:rPr>
          <w:rFonts w:ascii="Arial" w:hAnsi="Arial" w:cs="Arial"/>
          <w:b/>
          <w:bCs/>
          <w:sz w:val="26"/>
          <w:szCs w:val="26"/>
        </w:rPr>
        <w:t>programu</w:t>
      </w:r>
      <w:r w:rsidRPr="003A4FC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3A4FC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A81512D" w:rsidR="00691685" w:rsidRPr="003A4FC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Důvodem</w:t>
      </w:r>
      <w:r w:rsidRPr="003A4FCA">
        <w:rPr>
          <w:rFonts w:ascii="Arial" w:hAnsi="Arial" w:cs="Arial"/>
          <w:sz w:val="24"/>
          <w:szCs w:val="24"/>
        </w:rPr>
        <w:t xml:space="preserve"> </w:t>
      </w:r>
      <w:bookmarkStart w:id="1" w:name="_Hlk53472444"/>
      <w:r w:rsidR="003900DA" w:rsidRPr="003A4FCA">
        <w:rPr>
          <w:rFonts w:ascii="Arial" w:hAnsi="Arial" w:cs="Arial"/>
          <w:sz w:val="24"/>
          <w:szCs w:val="24"/>
        </w:rPr>
        <w:t xml:space="preserve">vyhlášení dotačního programu </w:t>
      </w:r>
      <w:bookmarkStart w:id="2" w:name="_Hlk57452494"/>
      <w:r w:rsidR="003900DA" w:rsidRPr="003A4FCA">
        <w:rPr>
          <w:rFonts w:ascii="Arial" w:hAnsi="Arial" w:cs="Arial"/>
          <w:sz w:val="24"/>
          <w:szCs w:val="24"/>
        </w:rPr>
        <w:t xml:space="preserve">je </w:t>
      </w:r>
      <w:bookmarkEnd w:id="2"/>
      <w:r w:rsidR="003900DA" w:rsidRPr="003A4FCA">
        <w:rPr>
          <w:rFonts w:ascii="Arial" w:hAnsi="Arial" w:cs="Arial"/>
          <w:sz w:val="24"/>
          <w:szCs w:val="24"/>
        </w:rPr>
        <w:t>plnění Koncepce rozvoje kultury a památkové péče Olomouckého kraje a Strategie rozvoje územního obvodu Olomouckého kraje 2021–2027.</w:t>
      </w:r>
      <w:bookmarkEnd w:id="1"/>
    </w:p>
    <w:p w14:paraId="72C20929" w14:textId="77777777" w:rsidR="002115B0" w:rsidRPr="003A4FCA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8F6C901" w:rsidR="00691685" w:rsidRPr="003A4FCA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lastRenderedPageBreak/>
        <w:t>Obecným účelem</w:t>
      </w:r>
      <w:r w:rsidRPr="003A4FCA">
        <w:rPr>
          <w:rFonts w:ascii="Arial" w:hAnsi="Arial" w:cs="Arial"/>
          <w:sz w:val="24"/>
          <w:szCs w:val="24"/>
        </w:rPr>
        <w:t xml:space="preserve"> </w:t>
      </w:r>
      <w:bookmarkStart w:id="3" w:name="_Hlk53472457"/>
      <w:r w:rsidR="003900DA" w:rsidRPr="003A4FCA">
        <w:rPr>
          <w:rFonts w:ascii="Arial" w:hAnsi="Arial" w:cs="Arial"/>
          <w:sz w:val="24"/>
          <w:szCs w:val="24"/>
        </w:rPr>
        <w:t>vyhlášeného dotačního programu je podpora celoroční činnosti stálých profesionálních souborů sídlících v územním obvodu Olomouckého kraje.</w:t>
      </w:r>
      <w:bookmarkEnd w:id="3"/>
    </w:p>
    <w:p w14:paraId="32C97DBA" w14:textId="58721BCC" w:rsidR="00EE7E1B" w:rsidRPr="003A4FCA" w:rsidRDefault="00AA65EC" w:rsidP="000605F0">
      <w:pPr>
        <w:ind w:left="0" w:firstLine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i/>
          <w:sz w:val="24"/>
          <w:szCs w:val="24"/>
        </w:rPr>
        <w:t xml:space="preserve"> </w:t>
      </w:r>
      <w:bookmarkStart w:id="4" w:name="okruhŽadatelů"/>
      <w:bookmarkEnd w:id="4"/>
    </w:p>
    <w:p w14:paraId="4846E125" w14:textId="15871F91" w:rsidR="00691685" w:rsidRPr="003A4FC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A4FC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A4FC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A4FC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A4FCA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3A4FC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2FAD7AE" w:rsidR="00F56E1F" w:rsidRPr="003A4FCA" w:rsidRDefault="000605F0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bookmarkStart w:id="5" w:name="_Hlk53472477"/>
      <w:r w:rsidRPr="003A4FCA">
        <w:rPr>
          <w:rFonts w:ascii="Arial" w:hAnsi="Arial" w:cs="Arial"/>
          <w:b/>
          <w:sz w:val="24"/>
          <w:szCs w:val="24"/>
        </w:rPr>
        <w:t>Žadatelem může být pouze právnická osoba, která je blíže specifikována v těchto pravidlech vyhlášeného dotačního programu.</w:t>
      </w:r>
      <w:bookmarkEnd w:id="5"/>
    </w:p>
    <w:p w14:paraId="5A7E45EA" w14:textId="77777777" w:rsidR="00BD553A" w:rsidRPr="003A4FCA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3303020E" w:rsidR="000A57CD" w:rsidRPr="003A4FC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Žadatelem </w:t>
      </w:r>
      <w:r w:rsidR="00545C12" w:rsidRPr="003A4FCA">
        <w:rPr>
          <w:rFonts w:ascii="Arial" w:hAnsi="Arial" w:cs="Arial"/>
          <w:b/>
          <w:sz w:val="24"/>
          <w:szCs w:val="24"/>
        </w:rPr>
        <w:t>mohou</w:t>
      </w:r>
      <w:r w:rsidRPr="003A4FCA">
        <w:rPr>
          <w:rFonts w:ascii="Arial" w:hAnsi="Arial" w:cs="Arial"/>
          <w:b/>
          <w:sz w:val="24"/>
          <w:szCs w:val="24"/>
        </w:rPr>
        <w:t xml:space="preserve"> být</w:t>
      </w:r>
      <w:r w:rsidRPr="003A4FCA">
        <w:rPr>
          <w:rFonts w:ascii="Arial" w:hAnsi="Arial" w:cs="Arial"/>
          <w:sz w:val="24"/>
          <w:szCs w:val="24"/>
        </w:rPr>
        <w:t xml:space="preserve"> pouze: </w:t>
      </w:r>
    </w:p>
    <w:p w14:paraId="2575B168" w14:textId="77777777" w:rsidR="000605F0" w:rsidRPr="003A4FCA" w:rsidRDefault="000605F0" w:rsidP="000605F0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bookmarkStart w:id="6" w:name="_Hlk53472498"/>
      <w:r w:rsidRPr="003A4FCA">
        <w:rPr>
          <w:rFonts w:ascii="Arial" w:hAnsi="Arial" w:cs="Arial"/>
          <w:sz w:val="24"/>
          <w:szCs w:val="24"/>
        </w:rPr>
        <w:t>právnické osoby, kterými jsou:</w:t>
      </w:r>
    </w:p>
    <w:p w14:paraId="2F239941" w14:textId="5446CE7E" w:rsidR="000605F0" w:rsidRPr="003A4FCA" w:rsidRDefault="000605F0" w:rsidP="000605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Divadla </w:t>
      </w:r>
      <w:r w:rsidRPr="003A4FCA">
        <w:rPr>
          <w:rFonts w:ascii="Arial" w:hAnsi="Arial" w:cs="Arial"/>
          <w:sz w:val="24"/>
          <w:szCs w:val="24"/>
        </w:rPr>
        <w:t>- příspěvkové organizace, nestátní neziskové organizace či ostatní právnické osoby</w:t>
      </w:r>
      <w:r w:rsidR="003900DA" w:rsidRPr="003A4FCA">
        <w:rPr>
          <w:rFonts w:ascii="Arial" w:hAnsi="Arial" w:cs="Arial"/>
          <w:sz w:val="24"/>
          <w:szCs w:val="24"/>
        </w:rPr>
        <w:t xml:space="preserve">, jejichž sídlo nebo provozovna se nachází </w:t>
      </w:r>
      <w:r w:rsidR="00226C8B">
        <w:rPr>
          <w:rFonts w:ascii="Arial" w:hAnsi="Arial" w:cs="Arial"/>
          <w:sz w:val="24"/>
          <w:szCs w:val="24"/>
        </w:rPr>
        <w:t>v územním obvodu</w:t>
      </w:r>
      <w:r w:rsidR="003900DA" w:rsidRPr="003A4FCA">
        <w:rPr>
          <w:rFonts w:ascii="Arial" w:hAnsi="Arial" w:cs="Arial"/>
          <w:sz w:val="24"/>
          <w:szCs w:val="24"/>
        </w:rPr>
        <w:t xml:space="preserve"> Olomouckého kraje,</w:t>
      </w:r>
      <w:r w:rsidRPr="003A4FCA">
        <w:rPr>
          <w:rFonts w:ascii="Arial" w:hAnsi="Arial" w:cs="Arial"/>
          <w:sz w:val="24"/>
          <w:szCs w:val="24"/>
        </w:rPr>
        <w:t xml:space="preserve"> s celoroční pravidelnou vlastní uměleckou činností. Vlastní uměleckou činnost žadatel dokládá počtem představení odehraných v letech 2018-2020. Počet představení odehraných v roce 2021 nesmí klesnout pod 90 % průměrného počtu představení odehraných v letech 2018-2020. Nejméně jeden titul na divadelním repertoáru musí být představení pro děti a mládež.</w:t>
      </w:r>
    </w:p>
    <w:p w14:paraId="03BB2E7B" w14:textId="43AD1FCD" w:rsidR="000605F0" w:rsidRPr="003A4FCA" w:rsidRDefault="000605F0" w:rsidP="000605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Symfonické orchestry</w:t>
      </w:r>
      <w:r w:rsidRPr="003A4FCA">
        <w:rPr>
          <w:rFonts w:ascii="Arial" w:hAnsi="Arial" w:cs="Arial"/>
          <w:sz w:val="24"/>
          <w:szCs w:val="24"/>
        </w:rPr>
        <w:t xml:space="preserve"> - příspěvkové organizace, nestátní neziskové organizace či ostatní právnické osoby</w:t>
      </w:r>
      <w:r w:rsidR="003900DA" w:rsidRPr="003A4FCA">
        <w:rPr>
          <w:rFonts w:ascii="Arial" w:hAnsi="Arial" w:cs="Arial"/>
          <w:sz w:val="24"/>
          <w:szCs w:val="24"/>
        </w:rPr>
        <w:t xml:space="preserve">, jejichž sídlo nebo provozovna se nachází </w:t>
      </w:r>
      <w:r w:rsidR="00226C8B">
        <w:rPr>
          <w:rFonts w:ascii="Arial" w:hAnsi="Arial" w:cs="Arial"/>
          <w:sz w:val="24"/>
          <w:szCs w:val="24"/>
        </w:rPr>
        <w:t>v územním obvodu</w:t>
      </w:r>
      <w:r w:rsidR="003900DA" w:rsidRPr="003A4FCA">
        <w:rPr>
          <w:rFonts w:ascii="Arial" w:hAnsi="Arial" w:cs="Arial"/>
          <w:sz w:val="24"/>
          <w:szCs w:val="24"/>
        </w:rPr>
        <w:t xml:space="preserve"> Olomouckého kraje</w:t>
      </w:r>
      <w:r w:rsidRPr="003A4FCA">
        <w:rPr>
          <w:rFonts w:ascii="Arial" w:hAnsi="Arial" w:cs="Arial"/>
          <w:sz w:val="24"/>
          <w:szCs w:val="24"/>
        </w:rPr>
        <w:t xml:space="preserve"> – stálý profesionální symfonický orchestr s celoroční pravidelnou vlastní uměleckou činností. Vlastní uměleckou činnost žadatel dokládá počtem koncertů odehraných v letech 2018-2020. Počet koncertů odehraných v roce 2021 nesmí klesnout pod 90 % průměrného počtu koncertů odehraných v letech 2018-2020.</w:t>
      </w:r>
    </w:p>
    <w:p w14:paraId="3EF2CC52" w14:textId="7A0CF77A" w:rsidR="000605F0" w:rsidRPr="003A4FCA" w:rsidRDefault="000605F0" w:rsidP="000605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Pěvecké sbory </w:t>
      </w:r>
      <w:r w:rsidRPr="003A4FCA">
        <w:rPr>
          <w:rFonts w:ascii="Arial" w:hAnsi="Arial" w:cs="Arial"/>
          <w:sz w:val="24"/>
          <w:szCs w:val="24"/>
        </w:rPr>
        <w:t>- příspěvkové organizace, nestátní neziskové organizace či ostatní právnické osoby</w:t>
      </w:r>
      <w:r w:rsidR="00CF233B" w:rsidRPr="003A4FCA">
        <w:rPr>
          <w:rFonts w:ascii="Arial" w:hAnsi="Arial" w:cs="Arial"/>
          <w:sz w:val="24"/>
          <w:szCs w:val="24"/>
        </w:rPr>
        <w:t xml:space="preserve">, </w:t>
      </w:r>
      <w:r w:rsidR="003900DA" w:rsidRPr="003A4FCA">
        <w:rPr>
          <w:rFonts w:ascii="Arial" w:hAnsi="Arial" w:cs="Arial"/>
          <w:sz w:val="24"/>
          <w:szCs w:val="24"/>
        </w:rPr>
        <w:t xml:space="preserve">jejichž sídlo nebo provozovna se nachází </w:t>
      </w:r>
      <w:r w:rsidR="00226C8B">
        <w:rPr>
          <w:rFonts w:ascii="Arial" w:hAnsi="Arial" w:cs="Arial"/>
          <w:sz w:val="24"/>
          <w:szCs w:val="24"/>
        </w:rPr>
        <w:t>v územním obvodu</w:t>
      </w:r>
      <w:r w:rsidR="003900DA" w:rsidRPr="003A4FCA">
        <w:rPr>
          <w:rFonts w:ascii="Arial" w:hAnsi="Arial" w:cs="Arial"/>
          <w:sz w:val="24"/>
          <w:szCs w:val="24"/>
        </w:rPr>
        <w:t xml:space="preserve"> Olomouckého kraje</w:t>
      </w:r>
      <w:r w:rsidRPr="003A4FCA">
        <w:rPr>
          <w:rFonts w:ascii="Arial" w:hAnsi="Arial" w:cs="Arial"/>
          <w:sz w:val="24"/>
          <w:szCs w:val="24"/>
        </w:rPr>
        <w:t xml:space="preserve"> – stálý profesionální pěvecký sbor s celoroční pravidelnou vlastní uměleckou činností. Vlastní uměleckou činnost žadatel dokládá počtem vystoupení předvedených v letech 2018-2020. Počet vystoupení odehraných v roce 2021 nesmí klesnout pod 90 % průměrného počtu vystoupení odehraných v letech 2018-2020.</w:t>
      </w:r>
    </w:p>
    <w:p w14:paraId="03954301" w14:textId="77777777" w:rsidR="000605F0" w:rsidRPr="003A4FCA" w:rsidRDefault="000605F0" w:rsidP="000605F0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</w:p>
    <w:p w14:paraId="5D5CDA2B" w14:textId="10382F58" w:rsidR="00691685" w:rsidRPr="003A4FCA" w:rsidRDefault="000605F0" w:rsidP="000605F0">
      <w:pPr>
        <w:autoSpaceDE w:val="0"/>
        <w:autoSpaceDN w:val="0"/>
        <w:adjustRightInd w:val="0"/>
        <w:ind w:left="131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</w:rPr>
        <w:t>Žadatel musí vykonávat činnost dle výše uvedeného nejméně 7 let předcházejících roku, ve kterém žádá o dotaci podle pravidel tohoto dotačního programu.</w:t>
      </w:r>
      <w:bookmarkEnd w:id="6"/>
    </w:p>
    <w:p w14:paraId="4E839065" w14:textId="77777777" w:rsidR="006475CB" w:rsidRPr="003A4FC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77777777" w:rsidR="00691685" w:rsidRPr="003A4FC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1E61B310" w:rsidR="00691685" w:rsidRPr="003A4FCA" w:rsidRDefault="004357C7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Na dotační program je předpokládaná výše celkové částky 1</w:t>
      </w:r>
      <w:r w:rsidR="00BC265D" w:rsidRPr="003A4FCA">
        <w:rPr>
          <w:rFonts w:ascii="Arial" w:hAnsi="Arial" w:cs="Arial"/>
          <w:sz w:val="24"/>
          <w:szCs w:val="24"/>
        </w:rPr>
        <w:t>2</w:t>
      </w:r>
      <w:r w:rsidRPr="003A4FCA">
        <w:rPr>
          <w:rFonts w:ascii="Arial" w:hAnsi="Arial" w:cs="Arial"/>
          <w:sz w:val="24"/>
          <w:szCs w:val="24"/>
        </w:rPr>
        <w:t> </w:t>
      </w:r>
      <w:r w:rsidR="00BC265D" w:rsidRPr="003A4FCA">
        <w:rPr>
          <w:rFonts w:ascii="Arial" w:hAnsi="Arial" w:cs="Arial"/>
          <w:sz w:val="24"/>
          <w:szCs w:val="24"/>
        </w:rPr>
        <w:t>5</w:t>
      </w:r>
      <w:r w:rsidRPr="003A4FCA">
        <w:rPr>
          <w:rFonts w:ascii="Arial" w:hAnsi="Arial" w:cs="Arial"/>
          <w:sz w:val="24"/>
          <w:szCs w:val="24"/>
        </w:rPr>
        <w:t>00 000 Kč.</w:t>
      </w:r>
      <w:r w:rsidR="00427DFE" w:rsidRPr="003A4FCA">
        <w:rPr>
          <w:rFonts w:ascii="Arial" w:hAnsi="Arial" w:cs="Arial"/>
          <w:sz w:val="24"/>
          <w:szCs w:val="24"/>
        </w:rPr>
        <w:t xml:space="preserve"> </w:t>
      </w:r>
    </w:p>
    <w:p w14:paraId="6A358125" w14:textId="3126B26A" w:rsidR="00AA65EC" w:rsidRPr="003A4FCA" w:rsidRDefault="00AA65EC" w:rsidP="000E72B7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23C4D547" w14:textId="272D9161" w:rsidR="00A2482D" w:rsidRPr="003A4FCA" w:rsidRDefault="00A2482D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3A4FC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3A4FC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4707ACE" w:rsidR="00691685" w:rsidRPr="003A4FC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="004357C7" w:rsidRPr="003A4FCA">
        <w:rPr>
          <w:rFonts w:ascii="Arial" w:hAnsi="Arial" w:cs="Arial"/>
          <w:sz w:val="24"/>
          <w:szCs w:val="24"/>
        </w:rPr>
        <w:t>dotace na jednu činnost činí 100 000 Kč.</w:t>
      </w:r>
    </w:p>
    <w:p w14:paraId="19826F19" w14:textId="77777777" w:rsidR="00691685" w:rsidRPr="003A4FC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A73ABAC" w:rsidR="00691685" w:rsidRPr="003A4FC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M</w:t>
      </w:r>
      <w:r w:rsidRPr="003A4FC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4357C7" w:rsidRPr="003A4FCA">
        <w:rPr>
          <w:rFonts w:ascii="Arial" w:hAnsi="Arial" w:cs="Arial"/>
          <w:sz w:val="24"/>
          <w:szCs w:val="24"/>
        </w:rPr>
        <w:t xml:space="preserve">dotace na jednu činnost činí </w:t>
      </w:r>
      <w:r w:rsidR="00843DA1" w:rsidRPr="003A4FCA">
        <w:rPr>
          <w:rFonts w:ascii="Arial" w:hAnsi="Arial" w:cs="Arial"/>
          <w:sz w:val="24"/>
          <w:szCs w:val="24"/>
        </w:rPr>
        <w:t>5</w:t>
      </w:r>
      <w:r w:rsidR="004357C7" w:rsidRPr="003A4FCA">
        <w:rPr>
          <w:rFonts w:ascii="Arial" w:hAnsi="Arial" w:cs="Arial"/>
          <w:sz w:val="24"/>
          <w:szCs w:val="24"/>
        </w:rPr>
        <w:t xml:space="preserve"> 000 000 Kč. </w:t>
      </w:r>
      <w:r w:rsidRPr="003A4FCA">
        <w:rPr>
          <w:rFonts w:ascii="Arial" w:hAnsi="Arial" w:cs="Arial"/>
          <w:sz w:val="24"/>
          <w:szCs w:val="24"/>
        </w:rPr>
        <w:t xml:space="preserve"> </w:t>
      </w:r>
    </w:p>
    <w:p w14:paraId="52E840B4" w14:textId="77777777" w:rsidR="00BD553A" w:rsidRPr="003A4FCA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72D4AF74" w14:textId="375B7693" w:rsidR="000F2363" w:rsidRPr="003A4FCA" w:rsidRDefault="000F2363" w:rsidP="00315F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Žadatel </w:t>
      </w:r>
      <w:r w:rsidRPr="003A4FCA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3A4FCA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3A4FCA">
        <w:rPr>
          <w:rFonts w:ascii="Arial" w:hAnsi="Arial" w:cs="Arial"/>
          <w:sz w:val="24"/>
          <w:szCs w:val="24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posuzování, a žadatel bude o této skutečnosti informován.</w:t>
      </w:r>
      <w:r w:rsidR="00AA65EC" w:rsidRPr="003A4FC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45BDEDD" w14:textId="77777777" w:rsidR="005B312C" w:rsidRPr="003A4FC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3A4FC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7" w:name="platebniPodminky"/>
      <w:bookmarkEnd w:id="7"/>
      <w:r w:rsidRPr="003A4FCA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7909E3F" w:rsidR="006347E3" w:rsidRPr="003A4FC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D</w:t>
      </w:r>
      <w:r w:rsidR="00691685" w:rsidRPr="003A4FCA">
        <w:rPr>
          <w:rFonts w:ascii="Arial" w:hAnsi="Arial" w:cs="Arial"/>
          <w:sz w:val="24"/>
          <w:szCs w:val="24"/>
        </w:rPr>
        <w:t>otace bude žadateli poskytnuta</w:t>
      </w:r>
      <w:r w:rsidR="00691685" w:rsidRPr="003A4FC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3A4FC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A4FC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A4FCA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33EEE97C" w:rsidR="00691685" w:rsidRPr="003A4FC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D</w:t>
      </w:r>
      <w:r w:rsidR="00691685" w:rsidRPr="003A4FC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A4FCA">
        <w:rPr>
          <w:rFonts w:ascii="Arial" w:hAnsi="Arial" w:cs="Arial"/>
          <w:sz w:val="24"/>
          <w:szCs w:val="24"/>
        </w:rPr>
        <w:t>S</w:t>
      </w:r>
      <w:r w:rsidR="00691685" w:rsidRPr="003A4FC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3A4FC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A4FC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A4FC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A4FCA">
        <w:rPr>
          <w:rFonts w:ascii="Arial" w:hAnsi="Arial" w:cs="Arial"/>
          <w:sz w:val="24"/>
          <w:szCs w:val="24"/>
        </w:rPr>
        <w:t>.</w:t>
      </w:r>
    </w:p>
    <w:p w14:paraId="64EDF10B" w14:textId="2F700FF2" w:rsidR="00691685" w:rsidRPr="003A4FCA" w:rsidRDefault="004357C7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Dotaci je možno použít na úhradu uznatelných výdajů činnosti výslovně uvedených ve Smlouvě a vzniklých v období realizace činnosti od 1. 1. 2021 do 31. 12. 2021. Dotaci je možné použít na úhradu těchto uznatelných výdajů činnosti nejpozději do 31. 12. 2021, není-li ve Smlouvě sjednáno jinak.</w:t>
      </w:r>
      <w:r w:rsidRPr="003A4FCA">
        <w:rPr>
          <w:rFonts w:ascii="Arial" w:hAnsi="Arial" w:cs="Arial"/>
          <w:sz w:val="24"/>
          <w:szCs w:val="21"/>
        </w:rPr>
        <w:t xml:space="preserve"> V případě platby v cizí měně budou výdaje přepočítány na Kč kurzem ČNB platným ke dni úhrady.</w:t>
      </w:r>
      <w:r w:rsidR="00AA65EC" w:rsidRPr="003A4FCA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13050642" w:rsidR="00497734" w:rsidRPr="003A4FC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3A4FCA">
        <w:rPr>
          <w:rFonts w:ascii="Arial" w:hAnsi="Arial" w:cs="Arial"/>
          <w:sz w:val="24"/>
          <w:szCs w:val="24"/>
        </w:rPr>
        <w:t> </w:t>
      </w:r>
      <w:r w:rsidRPr="003A4FCA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3A4FCA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2CE217F" w:rsidR="00691685" w:rsidRPr="003A4FC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764DBEF8" w:rsidR="00E43B70" w:rsidRPr="003A4FCA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  <w:bookmarkStart w:id="8" w:name="spoluúčast"/>
      <w:bookmarkEnd w:id="8"/>
    </w:p>
    <w:p w14:paraId="534E242B" w14:textId="77777777" w:rsidR="00691685" w:rsidRPr="003A4FC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1FDAD92" w:rsidR="00E2572F" w:rsidRPr="003A4FCA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4357C7" w:rsidRPr="003A4FCA">
        <w:rPr>
          <w:rFonts w:ascii="Arial" w:hAnsi="Arial" w:cs="Arial"/>
          <w:bCs/>
          <w:sz w:val="24"/>
          <w:szCs w:val="24"/>
        </w:rPr>
        <w:t>30</w:t>
      </w:r>
      <w:r w:rsidRPr="003A4FCA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3A4FC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A4FCA">
        <w:rPr>
          <w:rFonts w:ascii="Arial" w:hAnsi="Arial" w:cs="Arial"/>
          <w:bCs/>
          <w:sz w:val="24"/>
          <w:szCs w:val="24"/>
        </w:rPr>
        <w:t xml:space="preserve">maximálně </w:t>
      </w:r>
      <w:r w:rsidR="004357C7" w:rsidRPr="003A4FCA">
        <w:rPr>
          <w:rFonts w:ascii="Arial" w:hAnsi="Arial" w:cs="Arial"/>
          <w:bCs/>
          <w:sz w:val="24"/>
          <w:szCs w:val="24"/>
        </w:rPr>
        <w:t>70</w:t>
      </w:r>
      <w:r w:rsidR="00D95640" w:rsidRPr="003A4FCA">
        <w:rPr>
          <w:rFonts w:ascii="Arial" w:hAnsi="Arial" w:cs="Arial"/>
          <w:bCs/>
          <w:sz w:val="24"/>
          <w:szCs w:val="24"/>
        </w:rPr>
        <w:t xml:space="preserve"> % </w:t>
      </w:r>
      <w:r w:rsidR="00B43B6E" w:rsidRPr="003A4FCA">
        <w:rPr>
          <w:rFonts w:ascii="Arial" w:hAnsi="Arial" w:cs="Arial"/>
          <w:bCs/>
          <w:i/>
          <w:sz w:val="24"/>
          <w:szCs w:val="24"/>
        </w:rPr>
        <w:t xml:space="preserve"> </w:t>
      </w:r>
      <w:r w:rsidRPr="003A4FCA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>.</w:t>
      </w:r>
    </w:p>
    <w:p w14:paraId="124C4532" w14:textId="23AF94D4" w:rsidR="004357C7" w:rsidRPr="003A4FCA" w:rsidRDefault="004357C7" w:rsidP="004357C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Bude-li dotace dle tohoto dotačního programu poskytována jako veřejná podpora slučitelná s vnitřním trhem dle nařízení Komise (EU) č. 651/2014 ze dne 17. června 2014, kterým se v souladu s články 107 a 108 Smlouvy prohlašují určité kategorie </w:t>
      </w:r>
      <w:r w:rsidRPr="003A4FCA">
        <w:rPr>
          <w:rFonts w:ascii="Arial" w:hAnsi="Arial" w:cs="Arial"/>
          <w:sz w:val="24"/>
          <w:szCs w:val="24"/>
        </w:rPr>
        <w:lastRenderedPageBreak/>
        <w:t>podpory za slučitelné s vnitřním trhem, ve znění nařízení Komise (EU) č. 2017/1084 ze dne 14. června 2017 (dále jen „GBER“), je příjemce dotace povinen zajistit, aby souhrn všech veřejných podpor v jakékoli formě poskytnutých ze všech veřejných zdrojů nepřesáhl 80 % (70 % na činnost týkající se vydávání hudby a literatury) celkových skutečně vynaložených uznatelných výdajů na činnost ve smyslu ustanovení čl. 53 odst. 8 a odst. 9 Nařízení Komise (EU) č. 651/2014 ze dne 17. 6. 2014.</w:t>
      </w:r>
    </w:p>
    <w:p w14:paraId="6F8311BC" w14:textId="7BF71720" w:rsidR="004357C7" w:rsidRPr="003A4FCA" w:rsidRDefault="004357C7" w:rsidP="004357C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3A4FCA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3A4FC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3A4FC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3A4FCA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3A4FCA">
        <w:rPr>
          <w:rFonts w:ascii="Arial" w:hAnsi="Arial" w:cs="Arial"/>
          <w:sz w:val="24"/>
          <w:szCs w:val="24"/>
        </w:rPr>
        <w:t xml:space="preserve"> ze všech veřejných zdrojů přesáhne 80% (70 % na činnost týkající se vydávání hudby a literatury) celkových skutečně vynaložených uznatelných výdajů na činnost, je příjemce povinen vrátit takovou část dotace, aby souhrn veřejných podpor ze všech veřejných zdrojů činil maximálně 80 % (70 % na činnost týkající se vydávání hudby a literatury) celkových skutečně vynaložených uznatelných výdajů na činnost.</w:t>
      </w:r>
    </w:p>
    <w:p w14:paraId="3CFD6A6B" w14:textId="6687A2AE" w:rsidR="00167D7A" w:rsidRPr="003A4FCA" w:rsidRDefault="00167D7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</w:rPr>
      </w:pPr>
    </w:p>
    <w:p w14:paraId="0CCDD29A" w14:textId="77777777" w:rsidR="00691685" w:rsidRPr="003A4FC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9" w:name="Společ9"/>
      <w:bookmarkEnd w:id="9"/>
      <w:r w:rsidRPr="003A4FC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A4FC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DB62859" w:rsidR="00691685" w:rsidRPr="003A4FC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3A4FCA">
        <w:rPr>
          <w:rFonts w:ascii="Arial" w:hAnsi="Arial" w:cs="Arial"/>
          <w:sz w:val="24"/>
          <w:szCs w:val="24"/>
        </w:rPr>
        <w:t xml:space="preserve">, </w:t>
      </w:r>
      <w:r w:rsidR="005A6E63" w:rsidRPr="003A4FCA">
        <w:rPr>
          <w:rFonts w:ascii="Arial" w:hAnsi="Arial" w:cs="Arial"/>
          <w:sz w:val="24"/>
          <w:szCs w:val="24"/>
        </w:rPr>
        <w:t xml:space="preserve">výslovně </w:t>
      </w:r>
      <w:r w:rsidR="00351DC7" w:rsidRPr="003A4FCA">
        <w:rPr>
          <w:rFonts w:ascii="Arial" w:hAnsi="Arial" w:cs="Arial"/>
          <w:sz w:val="24"/>
          <w:szCs w:val="24"/>
        </w:rPr>
        <w:t>uveden</w:t>
      </w:r>
      <w:r w:rsidR="000E418F" w:rsidRPr="003A4FCA">
        <w:rPr>
          <w:rFonts w:ascii="Arial" w:hAnsi="Arial" w:cs="Arial"/>
          <w:sz w:val="24"/>
          <w:szCs w:val="24"/>
        </w:rPr>
        <w:t>é</w:t>
      </w:r>
      <w:r w:rsidR="00351DC7" w:rsidRPr="003A4FCA">
        <w:rPr>
          <w:rFonts w:ascii="Arial" w:hAnsi="Arial" w:cs="Arial"/>
          <w:sz w:val="24"/>
          <w:szCs w:val="24"/>
        </w:rPr>
        <w:t xml:space="preserve"> ve </w:t>
      </w:r>
      <w:r w:rsidR="000E418F" w:rsidRPr="003A4FCA">
        <w:rPr>
          <w:rFonts w:ascii="Arial" w:hAnsi="Arial" w:cs="Arial"/>
          <w:sz w:val="24"/>
          <w:szCs w:val="24"/>
        </w:rPr>
        <w:t>S</w:t>
      </w:r>
      <w:r w:rsidR="00351DC7" w:rsidRPr="003A4FCA">
        <w:rPr>
          <w:rFonts w:ascii="Arial" w:hAnsi="Arial" w:cs="Arial"/>
          <w:sz w:val="24"/>
          <w:szCs w:val="24"/>
        </w:rPr>
        <w:t>mlouvě.</w:t>
      </w:r>
      <w:r w:rsidR="008624D2" w:rsidRPr="003A4FCA">
        <w:rPr>
          <w:rFonts w:ascii="Arial" w:hAnsi="Arial" w:cs="Arial"/>
          <w:sz w:val="24"/>
          <w:szCs w:val="24"/>
        </w:rPr>
        <w:t xml:space="preserve"> Dotace</w:t>
      </w:r>
      <w:r w:rsidRPr="003A4FC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A4FCA">
        <w:rPr>
          <w:rFonts w:ascii="Arial" w:hAnsi="Arial" w:cs="Arial"/>
          <w:bCs/>
          <w:sz w:val="24"/>
          <w:szCs w:val="24"/>
        </w:rPr>
        <w:t>činnost</w:t>
      </w:r>
      <w:r w:rsidR="00A438D1" w:rsidRPr="003A4FCA">
        <w:rPr>
          <w:rFonts w:ascii="Arial" w:hAnsi="Arial" w:cs="Arial"/>
          <w:bCs/>
          <w:sz w:val="24"/>
          <w:szCs w:val="24"/>
        </w:rPr>
        <w:t>i</w:t>
      </w:r>
      <w:r w:rsidRPr="003A4FC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3A4FC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A4FC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A4FCA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3A4FCA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10" w:name="VLASTNICTVÍpořizMajetku"/>
      <w:bookmarkEnd w:id="10"/>
    </w:p>
    <w:p w14:paraId="2510BBA4" w14:textId="77777777" w:rsidR="00E82384" w:rsidRPr="003A4FCA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36044513" w:rsidR="00315F2E" w:rsidRPr="003A4FCA" w:rsidRDefault="00691685" w:rsidP="00315F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3A4FCA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3A4FCA">
        <w:rPr>
          <w:rFonts w:ascii="Arial" w:hAnsi="Arial" w:cs="Arial"/>
          <w:sz w:val="24"/>
          <w:szCs w:val="24"/>
        </w:rPr>
        <w:t>příjemce</w:t>
      </w:r>
      <w:r w:rsidR="00547AF3" w:rsidRPr="003A4FCA">
        <w:rPr>
          <w:rFonts w:ascii="Arial" w:hAnsi="Arial" w:cs="Arial"/>
          <w:sz w:val="24"/>
          <w:szCs w:val="24"/>
        </w:rPr>
        <w:t>.</w:t>
      </w:r>
      <w:r w:rsidR="00547AF3" w:rsidRPr="003A4FCA">
        <w:rPr>
          <w:rFonts w:ascii="Arial" w:hAnsi="Arial" w:cs="Arial"/>
          <w:sz w:val="24"/>
          <w:szCs w:val="24"/>
        </w:rPr>
        <w:br/>
      </w:r>
      <w:r w:rsidR="00656BEB" w:rsidRPr="003A4FCA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3A4FCA">
        <w:rPr>
          <w:rFonts w:ascii="Arial" w:hAnsi="Arial" w:cs="Arial"/>
          <w:sz w:val="24"/>
          <w:szCs w:val="24"/>
        </w:rPr>
        <w:t>mohou</w:t>
      </w:r>
      <w:r w:rsidR="00BA36B7" w:rsidRPr="003A4FCA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3A4FCA">
        <w:rPr>
          <w:rFonts w:ascii="Arial" w:hAnsi="Arial" w:cs="Arial"/>
          <w:sz w:val="24"/>
          <w:szCs w:val="24"/>
        </w:rPr>
        <w:t>majetku ve vlastnictví příjemce</w:t>
      </w:r>
      <w:r w:rsidR="00F65EBC">
        <w:rPr>
          <w:rFonts w:ascii="Arial" w:hAnsi="Arial" w:cs="Arial"/>
          <w:sz w:val="24"/>
          <w:szCs w:val="24"/>
        </w:rPr>
        <w:t>.</w:t>
      </w:r>
    </w:p>
    <w:p w14:paraId="1D2F0E32" w14:textId="57E68136" w:rsidR="00B8408D" w:rsidRPr="003A4FCA" w:rsidRDefault="00B8408D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</w:p>
    <w:p w14:paraId="65EC8E83" w14:textId="1CFC503D" w:rsidR="000333AA" w:rsidRPr="003A4FCA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11" w:name="neuznatelnévýdaje"/>
      <w:bookmarkStart w:id="12" w:name="výdajeNaRealizaci"/>
      <w:bookmarkEnd w:id="11"/>
      <w:bookmarkEnd w:id="12"/>
      <w:r w:rsidRPr="003A4FCA">
        <w:rPr>
          <w:rFonts w:ascii="Arial" w:hAnsi="Arial" w:cs="Arial"/>
          <w:bCs/>
          <w:sz w:val="24"/>
          <w:szCs w:val="24"/>
        </w:rPr>
        <w:t xml:space="preserve">Výdaje na </w:t>
      </w:r>
      <w:r w:rsidRPr="003A4FCA">
        <w:rPr>
          <w:rFonts w:ascii="Arial" w:hAnsi="Arial" w:cs="Arial"/>
          <w:sz w:val="24"/>
          <w:szCs w:val="24"/>
        </w:rPr>
        <w:t xml:space="preserve">realizaci </w:t>
      </w:r>
      <w:r w:rsidR="001A3567" w:rsidRPr="003A4FCA">
        <w:rPr>
          <w:rFonts w:ascii="Arial" w:hAnsi="Arial" w:cs="Arial"/>
          <w:sz w:val="24"/>
          <w:szCs w:val="24"/>
        </w:rPr>
        <w:t>činnosti</w:t>
      </w:r>
      <w:r w:rsidR="002D6BFF" w:rsidRPr="003A4FCA">
        <w:rPr>
          <w:rFonts w:ascii="Arial" w:hAnsi="Arial" w:cs="Arial"/>
          <w:sz w:val="24"/>
          <w:szCs w:val="24"/>
        </w:rPr>
        <w:t>:</w:t>
      </w:r>
    </w:p>
    <w:p w14:paraId="3F241939" w14:textId="77777777" w:rsidR="006A45FC" w:rsidRPr="003A4FCA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3A4FCA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A4FC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A4FCA">
        <w:rPr>
          <w:rFonts w:ascii="Arial" w:hAnsi="Arial" w:cs="Arial"/>
          <w:sz w:val="24"/>
          <w:szCs w:val="24"/>
        </w:rPr>
        <w:t xml:space="preserve">, </w:t>
      </w:r>
      <w:r w:rsidRPr="003A4FCA">
        <w:rPr>
          <w:rFonts w:ascii="Arial" w:hAnsi="Arial" w:cs="Arial"/>
          <w:sz w:val="24"/>
          <w:szCs w:val="24"/>
        </w:rPr>
        <w:t xml:space="preserve">použít: </w:t>
      </w:r>
    </w:p>
    <w:p w14:paraId="51EE5CE9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06F2CBD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44"/>
          <w:szCs w:val="24"/>
        </w:rPr>
      </w:pPr>
      <w:r w:rsidRPr="003A4FCA">
        <w:rPr>
          <w:rFonts w:ascii="Arial" w:hAnsi="Arial" w:cs="Arial"/>
          <w:sz w:val="24"/>
          <w:szCs w:val="14"/>
        </w:rPr>
        <w:t xml:space="preserve">výdaje na zpracování a administraci žádosti o dotaci, </w:t>
      </w:r>
    </w:p>
    <w:p w14:paraId="04141D30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úhrada úvěrů a půjček,</w:t>
      </w:r>
    </w:p>
    <w:p w14:paraId="12B07BB4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nákup věcí osobní potřeby,</w:t>
      </w:r>
    </w:p>
    <w:p w14:paraId="178663E3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19B2B77C" w14:textId="0280C525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pojistné</w:t>
      </w:r>
      <w:r w:rsidR="00D42E9F" w:rsidRPr="003A4FCA">
        <w:rPr>
          <w:rFonts w:ascii="Arial" w:hAnsi="Arial" w:cs="Arial"/>
          <w:bCs/>
          <w:sz w:val="24"/>
          <w:szCs w:val="24"/>
        </w:rPr>
        <w:t xml:space="preserve"> (netýká se sociálního a zdravotního pojištění)</w:t>
      </w:r>
      <w:r w:rsidRPr="003A4FCA">
        <w:rPr>
          <w:rFonts w:ascii="Arial" w:hAnsi="Arial" w:cs="Arial"/>
          <w:bCs/>
          <w:sz w:val="24"/>
          <w:szCs w:val="24"/>
        </w:rPr>
        <w:t xml:space="preserve">, </w:t>
      </w:r>
    </w:p>
    <w:p w14:paraId="7835D67A" w14:textId="5F16CB5D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bankovní poplatky,</w:t>
      </w:r>
      <w:r w:rsidR="004B3F1F" w:rsidRPr="003A4FCA">
        <w:rPr>
          <w:rFonts w:ascii="Arial" w:hAnsi="Arial" w:cs="Arial"/>
          <w:bCs/>
          <w:sz w:val="24"/>
          <w:szCs w:val="24"/>
        </w:rPr>
        <w:t xml:space="preserve"> kurzové ztráty</w:t>
      </w:r>
    </w:p>
    <w:p w14:paraId="4471FCA2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poštovné a dopravné (pokud není součástí fakturace),</w:t>
      </w:r>
    </w:p>
    <w:p w14:paraId="63F5A57F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letenky,</w:t>
      </w:r>
    </w:p>
    <w:p w14:paraId="61DAE063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3A4FCA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24DF1B58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lastRenderedPageBreak/>
        <w:t>nákup nemovitostí,</w:t>
      </w:r>
    </w:p>
    <w:p w14:paraId="1E28CF98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leasing, operativní leasing, akontace leasingu,</w:t>
      </w:r>
    </w:p>
    <w:p w14:paraId="1EB0BEC8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občerstvení, potraviny včetně alkoholu,</w:t>
      </w:r>
    </w:p>
    <w:p w14:paraId="7D93B9D9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A4FCA">
        <w:rPr>
          <w:rFonts w:ascii="Arial" w:hAnsi="Arial" w:cs="Arial"/>
          <w:sz w:val="24"/>
          <w:szCs w:val="21"/>
        </w:rPr>
        <w:t>zábavní pyrotechnika,</w:t>
      </w:r>
    </w:p>
    <w:p w14:paraId="274DA6B4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69011E61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14:paraId="6AF76B04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A4FCA">
        <w:rPr>
          <w:rFonts w:ascii="Arial" w:hAnsi="Arial" w:cs="Arial"/>
          <w:sz w:val="24"/>
          <w:szCs w:val="21"/>
        </w:rPr>
        <w:t>spotřeba energií (elektřina, plyn, vodné a stočné), telefonní a telekomunikační poplatky,</w:t>
      </w:r>
    </w:p>
    <w:p w14:paraId="30D17B5B" w14:textId="77777777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A4FCA">
        <w:rPr>
          <w:rFonts w:ascii="Arial" w:hAnsi="Arial" w:cs="Arial"/>
          <w:sz w:val="24"/>
          <w:szCs w:val="21"/>
        </w:rPr>
        <w:t>nákup pohonných hmot,</w:t>
      </w:r>
    </w:p>
    <w:p w14:paraId="6F76121F" w14:textId="78B57345" w:rsidR="004357C7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výtěžek vzniklý z dotované kulturní činnosti věnovaný na charitativní účely,</w:t>
      </w:r>
    </w:p>
    <w:p w14:paraId="4CE9A5A5" w14:textId="1FA214B8" w:rsidR="00691685" w:rsidRPr="003A4FCA" w:rsidRDefault="004357C7" w:rsidP="004357C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A847A5E" w14:textId="77777777" w:rsidR="00401469" w:rsidRPr="003A4FCA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3A4FC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3A4FC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85A0A89" w:rsidR="00A14CE4" w:rsidRPr="003A4FCA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A4FCA">
        <w:rPr>
          <w:rFonts w:ascii="Arial" w:hAnsi="Arial" w:cs="Arial"/>
          <w:sz w:val="24"/>
          <w:szCs w:val="24"/>
        </w:rPr>
        <w:t>definovány jako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="000C594B" w:rsidRPr="003A4FCA">
        <w:rPr>
          <w:rFonts w:ascii="Arial" w:hAnsi="Arial" w:cs="Arial"/>
          <w:sz w:val="24"/>
          <w:szCs w:val="24"/>
        </w:rPr>
        <w:t>ne</w:t>
      </w:r>
      <w:r w:rsidRPr="003A4FCA">
        <w:rPr>
          <w:rFonts w:ascii="Arial" w:hAnsi="Arial" w:cs="Arial"/>
          <w:sz w:val="24"/>
          <w:szCs w:val="24"/>
        </w:rPr>
        <w:t>uzn</w:t>
      </w:r>
      <w:r w:rsidR="001B7E48" w:rsidRPr="003A4FCA">
        <w:rPr>
          <w:rFonts w:ascii="Arial" w:hAnsi="Arial" w:cs="Arial"/>
          <w:sz w:val="24"/>
          <w:szCs w:val="24"/>
        </w:rPr>
        <w:t>atelné</w:t>
      </w:r>
      <w:r w:rsidR="00FC50DF" w:rsidRPr="003A4FCA">
        <w:rPr>
          <w:rFonts w:ascii="Arial" w:hAnsi="Arial" w:cs="Arial"/>
          <w:sz w:val="24"/>
          <w:szCs w:val="24"/>
        </w:rPr>
        <w:t>,</w:t>
      </w:r>
      <w:r w:rsidR="001B7E48" w:rsidRPr="003A4FCA">
        <w:rPr>
          <w:rFonts w:ascii="Arial" w:hAnsi="Arial" w:cs="Arial"/>
          <w:sz w:val="24"/>
          <w:szCs w:val="24"/>
        </w:rPr>
        <w:t xml:space="preserve"> jsou uznatelnými výdaji</w:t>
      </w:r>
      <w:r w:rsidR="00315F2E" w:rsidRPr="003A4FCA">
        <w:rPr>
          <w:rFonts w:ascii="Arial" w:hAnsi="Arial" w:cs="Arial"/>
          <w:sz w:val="24"/>
          <w:szCs w:val="24"/>
        </w:rPr>
        <w:t>.</w:t>
      </w:r>
    </w:p>
    <w:p w14:paraId="58E5F76F" w14:textId="77777777" w:rsidR="00BD553A" w:rsidRPr="003A4FCA" w:rsidRDefault="00BD553A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14:paraId="3645E580" w14:textId="66608822" w:rsidR="003D2FD7" w:rsidRPr="003A4FCA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Změna </w:t>
      </w:r>
      <w:r w:rsidR="00463FB1" w:rsidRPr="003A4FCA">
        <w:rPr>
          <w:rFonts w:ascii="Arial" w:hAnsi="Arial" w:cs="Arial"/>
          <w:sz w:val="24"/>
          <w:szCs w:val="24"/>
        </w:rPr>
        <w:t xml:space="preserve">(upřesnění) </w:t>
      </w:r>
      <w:r w:rsidRPr="003A4FCA">
        <w:rPr>
          <w:rFonts w:ascii="Arial" w:hAnsi="Arial" w:cs="Arial"/>
          <w:sz w:val="24"/>
          <w:szCs w:val="24"/>
        </w:rPr>
        <w:t>konkrétního účelu dotace</w:t>
      </w:r>
      <w:r w:rsidR="0073337B" w:rsidRPr="003A4FCA">
        <w:rPr>
          <w:rFonts w:ascii="Arial" w:hAnsi="Arial" w:cs="Arial"/>
          <w:sz w:val="24"/>
          <w:szCs w:val="24"/>
        </w:rPr>
        <w:t xml:space="preserve"> </w:t>
      </w:r>
      <w:r w:rsidR="00315F2E" w:rsidRPr="003A4FCA">
        <w:rPr>
          <w:rFonts w:ascii="Arial" w:hAnsi="Arial" w:cs="Arial"/>
          <w:sz w:val="24"/>
          <w:szCs w:val="24"/>
        </w:rPr>
        <w:t xml:space="preserve">(např. změna popisu </w:t>
      </w:r>
      <w:r w:rsidR="001A5BA9">
        <w:rPr>
          <w:rFonts w:ascii="Arial" w:hAnsi="Arial" w:cs="Arial"/>
          <w:sz w:val="24"/>
          <w:szCs w:val="24"/>
        </w:rPr>
        <w:t>činnosti</w:t>
      </w:r>
      <w:r w:rsidR="0073337B" w:rsidRPr="003A4FCA">
        <w:rPr>
          <w:rFonts w:ascii="Arial" w:hAnsi="Arial" w:cs="Arial"/>
          <w:sz w:val="24"/>
          <w:szCs w:val="24"/>
        </w:rPr>
        <w:t>)</w:t>
      </w:r>
      <w:r w:rsidR="00DC0E06" w:rsidRPr="003A4FCA">
        <w:rPr>
          <w:rFonts w:ascii="Arial" w:hAnsi="Arial" w:cs="Arial"/>
          <w:sz w:val="24"/>
          <w:szCs w:val="24"/>
        </w:rPr>
        <w:t xml:space="preserve">, </w:t>
      </w:r>
      <w:r w:rsidR="00935597" w:rsidRPr="003A4FCA">
        <w:rPr>
          <w:rFonts w:ascii="Arial" w:hAnsi="Arial" w:cs="Arial"/>
          <w:sz w:val="24"/>
          <w:szCs w:val="24"/>
        </w:rPr>
        <w:t>změna termínu použití dotace</w:t>
      </w:r>
      <w:r w:rsidR="00DC0E06" w:rsidRPr="003A4FCA">
        <w:rPr>
          <w:rFonts w:ascii="Arial" w:hAnsi="Arial" w:cs="Arial"/>
          <w:sz w:val="24"/>
          <w:szCs w:val="24"/>
        </w:rPr>
        <w:t>,</w:t>
      </w:r>
      <w:r w:rsidR="00AF35A9" w:rsidRPr="003A4FCA">
        <w:rPr>
          <w:rFonts w:ascii="Arial" w:hAnsi="Arial" w:cs="Arial"/>
          <w:b/>
          <w:sz w:val="24"/>
          <w:szCs w:val="24"/>
        </w:rPr>
        <w:t xml:space="preserve"> </w:t>
      </w:r>
      <w:r w:rsidR="00DC0E06" w:rsidRPr="003A4FCA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3A4FCA">
        <w:rPr>
          <w:rFonts w:ascii="Arial" w:hAnsi="Arial" w:cs="Arial"/>
          <w:sz w:val="24"/>
          <w:szCs w:val="24"/>
        </w:rPr>
        <w:t>je možná pouze</w:t>
      </w:r>
      <w:r w:rsidR="00F913A7" w:rsidRPr="003A4FCA">
        <w:rPr>
          <w:rFonts w:ascii="Arial" w:hAnsi="Arial" w:cs="Arial"/>
          <w:sz w:val="24"/>
          <w:szCs w:val="24"/>
        </w:rPr>
        <w:t xml:space="preserve"> n</w:t>
      </w:r>
      <w:r w:rsidR="00BA36B7" w:rsidRPr="003A4FCA">
        <w:rPr>
          <w:rFonts w:ascii="Arial" w:hAnsi="Arial" w:cs="Arial"/>
          <w:sz w:val="24"/>
          <w:szCs w:val="24"/>
        </w:rPr>
        <w:t>a základě uzavřeného dodatku ke </w:t>
      </w:r>
      <w:r w:rsidR="00F913A7" w:rsidRPr="003A4FCA">
        <w:rPr>
          <w:rFonts w:ascii="Arial" w:hAnsi="Arial" w:cs="Arial"/>
          <w:sz w:val="24"/>
          <w:szCs w:val="24"/>
        </w:rPr>
        <w:t xml:space="preserve">Smlouvě, </w:t>
      </w:r>
      <w:r w:rsidRPr="003A4FCA">
        <w:rPr>
          <w:rFonts w:ascii="Arial" w:hAnsi="Arial" w:cs="Arial"/>
          <w:sz w:val="24"/>
          <w:szCs w:val="24"/>
        </w:rPr>
        <w:t>s</w:t>
      </w:r>
      <w:r w:rsidR="0017323F" w:rsidRPr="003A4FCA">
        <w:rPr>
          <w:rFonts w:ascii="Arial" w:hAnsi="Arial" w:cs="Arial"/>
          <w:sz w:val="24"/>
          <w:szCs w:val="24"/>
        </w:rPr>
        <w:t> </w:t>
      </w:r>
      <w:r w:rsidRPr="003A4FCA">
        <w:rPr>
          <w:rFonts w:ascii="Arial" w:hAnsi="Arial" w:cs="Arial"/>
          <w:sz w:val="24"/>
          <w:szCs w:val="24"/>
        </w:rPr>
        <w:t>předchozím</w:t>
      </w:r>
      <w:r w:rsidR="0017323F"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A4FCA">
        <w:rPr>
          <w:rFonts w:ascii="Arial" w:hAnsi="Arial" w:cs="Arial"/>
          <w:sz w:val="24"/>
          <w:szCs w:val="24"/>
        </w:rPr>
        <w:t xml:space="preserve">schválení </w:t>
      </w:r>
      <w:r w:rsidRPr="003A4FCA">
        <w:rPr>
          <w:rFonts w:ascii="Arial" w:hAnsi="Arial" w:cs="Arial"/>
          <w:sz w:val="24"/>
          <w:szCs w:val="24"/>
        </w:rPr>
        <w:t>dodatku ke Smlouvě).</w:t>
      </w:r>
      <w:r w:rsidR="009B3841" w:rsidRPr="003A4FCA">
        <w:rPr>
          <w:rFonts w:ascii="Arial" w:eastAsia="Times New Roman" w:hAnsi="Arial" w:cs="Arial"/>
          <w:lang w:eastAsia="cs-CZ"/>
        </w:rPr>
        <w:t xml:space="preserve"> </w:t>
      </w:r>
      <w:r w:rsidR="009B3841" w:rsidRPr="003A4FC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3A4FC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4419B4C" w14:textId="0A0C7FC3" w:rsidR="004357C7" w:rsidRPr="003A4FCA" w:rsidRDefault="009075B1" w:rsidP="004357C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Příjemce je povinen uskutečňovat propagaci činnosti v souladu se Smlouvou a pravidly konkrétního dotačního programu. </w:t>
      </w:r>
      <w:r w:rsidR="004357C7" w:rsidRPr="003A4FCA">
        <w:rPr>
          <w:rFonts w:ascii="Arial" w:hAnsi="Arial" w:cs="Arial"/>
          <w:sz w:val="24"/>
          <w:szCs w:val="24"/>
        </w:rPr>
        <w:t xml:space="preserve">Minimální podmínka pro každého příjemce dotace je povinnost uvádět logo poskytovatele na webových stránkách </w:t>
      </w:r>
      <w:r w:rsidR="00116E46" w:rsidRPr="003A4FCA">
        <w:rPr>
          <w:rFonts w:ascii="Arial" w:hAnsi="Arial" w:cs="Arial"/>
          <w:sz w:val="24"/>
          <w:szCs w:val="24"/>
        </w:rPr>
        <w:t xml:space="preserve">nebo sociálních sítích </w:t>
      </w:r>
      <w:r w:rsidR="004357C7" w:rsidRPr="003A4FCA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="004357C7" w:rsidRPr="003A4FCA">
        <w:rPr>
          <w:rFonts w:ascii="Arial" w:hAnsi="Arial" w:cs="Arial"/>
          <w:b/>
          <w:sz w:val="24"/>
          <w:szCs w:val="24"/>
        </w:rPr>
        <w:t xml:space="preserve"> </w:t>
      </w:r>
      <w:r w:rsidR="004357C7" w:rsidRPr="003A4FCA">
        <w:rPr>
          <w:rFonts w:ascii="Arial" w:hAnsi="Arial" w:cs="Arial"/>
          <w:sz w:val="24"/>
          <w:szCs w:val="24"/>
        </w:rPr>
        <w:t xml:space="preserve">do místa, ve kterém je prováděna podpořená činnost nebo ve kterém je realizována podpořená </w:t>
      </w:r>
      <w:r w:rsidR="006B6AF4">
        <w:rPr>
          <w:rFonts w:ascii="Arial" w:hAnsi="Arial" w:cs="Arial"/>
          <w:sz w:val="24"/>
          <w:szCs w:val="24"/>
        </w:rPr>
        <w:t>činnost</w:t>
      </w:r>
      <w:r w:rsidR="004357C7" w:rsidRPr="003A4FCA">
        <w:rPr>
          <w:rFonts w:ascii="Arial" w:hAnsi="Arial" w:cs="Arial"/>
          <w:sz w:val="24"/>
          <w:szCs w:val="24"/>
        </w:rPr>
        <w:t>.</w:t>
      </w:r>
      <w:r w:rsidR="004357C7" w:rsidRPr="003A4FCA">
        <w:rPr>
          <w:rFonts w:ascii="Arial" w:hAnsi="Arial" w:cs="Arial"/>
          <w:i/>
          <w:sz w:val="24"/>
          <w:szCs w:val="24"/>
        </w:rPr>
        <w:t xml:space="preserve"> </w:t>
      </w:r>
      <w:r w:rsidR="004357C7" w:rsidRPr="003A4FCA">
        <w:rPr>
          <w:rFonts w:ascii="Arial" w:hAnsi="Arial" w:cs="Arial"/>
          <w:sz w:val="24"/>
          <w:szCs w:val="24"/>
        </w:rPr>
        <w:t>Podmínkou u příjemce, kter</w:t>
      </w:r>
      <w:r w:rsidR="00191AD0">
        <w:rPr>
          <w:rFonts w:ascii="Arial" w:hAnsi="Arial" w:cs="Arial"/>
          <w:sz w:val="24"/>
          <w:szCs w:val="24"/>
        </w:rPr>
        <w:t xml:space="preserve">ému je schválena dotace na </w:t>
      </w:r>
      <w:r w:rsidR="004357C7" w:rsidRPr="003A4FCA">
        <w:rPr>
          <w:rFonts w:ascii="Arial" w:hAnsi="Arial" w:cs="Arial"/>
          <w:sz w:val="24"/>
          <w:szCs w:val="24"/>
        </w:rPr>
        <w:t xml:space="preserve">činnost, je pořízení fotodokumentace o propagaci </w:t>
      </w:r>
      <w:r w:rsidR="00191AD0">
        <w:rPr>
          <w:rFonts w:ascii="Arial" w:hAnsi="Arial" w:cs="Arial"/>
          <w:sz w:val="24"/>
          <w:szCs w:val="24"/>
        </w:rPr>
        <w:t xml:space="preserve">Olomouckého kraje při této </w:t>
      </w:r>
      <w:r w:rsidR="004357C7" w:rsidRPr="003A4FCA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="004357C7" w:rsidRPr="003A4FCA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14:paraId="33EF7080" w14:textId="77777777" w:rsidR="004357C7" w:rsidRPr="003A4FCA" w:rsidRDefault="004357C7" w:rsidP="004357C7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2526E8B6" w14:textId="77777777" w:rsidR="00901346" w:rsidRPr="003A4FCA" w:rsidRDefault="004357C7" w:rsidP="004357C7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</w:t>
      </w:r>
      <w:r w:rsidRPr="003A4FCA">
        <w:rPr>
          <w:rFonts w:ascii="Arial" w:hAnsi="Arial" w:cs="Arial"/>
          <w:bCs/>
          <w:sz w:val="24"/>
          <w:szCs w:val="24"/>
        </w:rPr>
        <w:lastRenderedPageBreak/>
        <w:t xml:space="preserve">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3A4FCA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3A4FCA">
        <w:rPr>
          <w:rFonts w:ascii="Arial" w:hAnsi="Arial" w:cs="Arial"/>
          <w:bCs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65C94680" w14:textId="77777777" w:rsidR="00901346" w:rsidRPr="003A4FCA" w:rsidRDefault="00901346" w:rsidP="004357C7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03BBB9B1" w14:textId="4334D370" w:rsidR="004357C7" w:rsidRPr="003A4FCA" w:rsidRDefault="00901346" w:rsidP="004357C7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Nadto příjemce, kterému je schválena dotace na neinvestiční </w:t>
      </w:r>
      <w:r w:rsidR="006B6AF4">
        <w:rPr>
          <w:rFonts w:ascii="Arial" w:hAnsi="Arial" w:cs="Arial"/>
          <w:bCs/>
          <w:sz w:val="24"/>
          <w:szCs w:val="24"/>
        </w:rPr>
        <w:t>činnost</w:t>
      </w:r>
      <w:r w:rsidRPr="003A4FCA">
        <w:rPr>
          <w:rFonts w:ascii="Arial" w:hAnsi="Arial" w:cs="Arial"/>
          <w:bCs/>
          <w:sz w:val="24"/>
          <w:szCs w:val="24"/>
        </w:rPr>
        <w:t xml:space="preserve"> ve výši 1 mil. Kč a více, oznámí poskytovateli přesný termín realizace </w:t>
      </w:r>
      <w:r w:rsidR="006B6AF4">
        <w:rPr>
          <w:rFonts w:ascii="Arial" w:hAnsi="Arial" w:cs="Arial"/>
          <w:bCs/>
          <w:sz w:val="24"/>
          <w:szCs w:val="24"/>
        </w:rPr>
        <w:t>projektu</w:t>
      </w:r>
      <w:r w:rsidRPr="003A4FCA">
        <w:rPr>
          <w:rFonts w:ascii="Arial" w:hAnsi="Arial" w:cs="Arial"/>
          <w:bCs/>
          <w:sz w:val="24"/>
          <w:szCs w:val="24"/>
        </w:rPr>
        <w:t xml:space="preserve"> a umožní osobě pověřené poskytovatelem vstup na </w:t>
      </w:r>
      <w:r w:rsidR="006B6AF4">
        <w:rPr>
          <w:rFonts w:ascii="Arial" w:hAnsi="Arial" w:cs="Arial"/>
          <w:bCs/>
          <w:sz w:val="24"/>
          <w:szCs w:val="24"/>
        </w:rPr>
        <w:t>projekt</w:t>
      </w:r>
      <w:r w:rsidRPr="003A4FCA">
        <w:rPr>
          <w:rFonts w:ascii="Arial" w:hAnsi="Arial" w:cs="Arial"/>
          <w:bCs/>
          <w:sz w:val="24"/>
          <w:szCs w:val="24"/>
        </w:rPr>
        <w:t xml:space="preserve"> za účelem pořízení důkladné dokumentace průběhu </w:t>
      </w:r>
      <w:r w:rsidR="006B6AF4">
        <w:rPr>
          <w:rFonts w:ascii="Arial" w:hAnsi="Arial" w:cs="Arial"/>
          <w:bCs/>
          <w:sz w:val="24"/>
          <w:szCs w:val="24"/>
        </w:rPr>
        <w:t>projektu</w:t>
      </w:r>
      <w:r w:rsidRPr="003A4FCA">
        <w:rPr>
          <w:rFonts w:ascii="Arial" w:hAnsi="Arial" w:cs="Arial"/>
          <w:bCs/>
          <w:sz w:val="24"/>
          <w:szCs w:val="24"/>
        </w:rPr>
        <w:t xml:space="preserve"> a propagace Olomouckého kraje při realizaci </w:t>
      </w:r>
      <w:r w:rsidR="006B6AF4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>. Takto pořízená dokumentace bude uložena u administrátora dotace.</w:t>
      </w:r>
    </w:p>
    <w:p w14:paraId="53CF70F3" w14:textId="77777777" w:rsidR="004357C7" w:rsidRPr="003A4FCA" w:rsidRDefault="004357C7" w:rsidP="004357C7">
      <w:pPr>
        <w:ind w:firstLine="0"/>
        <w:rPr>
          <w:rFonts w:ascii="Arial" w:hAnsi="Arial" w:cs="Arial"/>
          <w:bCs/>
          <w:sz w:val="24"/>
          <w:szCs w:val="24"/>
        </w:rPr>
      </w:pPr>
    </w:p>
    <w:p w14:paraId="1F4F3CD9" w14:textId="23618165" w:rsidR="00DB4F86" w:rsidRPr="003A4FCA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Bude-li dotace poskytována na </w:t>
      </w:r>
      <w:r w:rsidR="006B6AF4">
        <w:rPr>
          <w:rFonts w:ascii="Arial" w:hAnsi="Arial" w:cs="Arial"/>
          <w:bCs/>
          <w:sz w:val="24"/>
          <w:szCs w:val="24"/>
        </w:rPr>
        <w:t>činnost</w:t>
      </w:r>
      <w:r w:rsidRPr="003A4FCA">
        <w:rPr>
          <w:rFonts w:ascii="Arial" w:hAnsi="Arial" w:cs="Arial"/>
          <w:bCs/>
          <w:sz w:val="24"/>
          <w:szCs w:val="24"/>
        </w:rPr>
        <w:t xml:space="preserve"> konanou přede dnem </w:t>
      </w:r>
      <w:r w:rsidR="00CF2D30" w:rsidRPr="003A4FCA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3A4FCA">
        <w:rPr>
          <w:rFonts w:ascii="Arial" w:hAnsi="Arial" w:cs="Arial"/>
          <w:bCs/>
          <w:sz w:val="24"/>
          <w:szCs w:val="24"/>
        </w:rPr>
        <w:t xml:space="preserve">Smlouvě, a to s ohledem na subjekt příjemce a druh podporované </w:t>
      </w:r>
      <w:r w:rsidR="006B6AF4">
        <w:rPr>
          <w:rFonts w:ascii="Arial" w:hAnsi="Arial" w:cs="Arial"/>
          <w:bCs/>
          <w:sz w:val="24"/>
          <w:szCs w:val="24"/>
        </w:rPr>
        <w:t>činnosti</w:t>
      </w:r>
      <w:r w:rsidR="00DB4F86" w:rsidRPr="003A4FCA">
        <w:rPr>
          <w:rFonts w:ascii="Arial" w:hAnsi="Arial" w:cs="Arial"/>
          <w:bCs/>
          <w:sz w:val="24"/>
          <w:szCs w:val="24"/>
        </w:rPr>
        <w:t>.</w:t>
      </w:r>
      <w:r w:rsidR="00923B66" w:rsidRPr="003A4FCA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3DDE201B" w14:textId="77777777" w:rsidR="0094304C" w:rsidRPr="003A4FCA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16C0D47E" w:rsidR="00691685" w:rsidRPr="003A4FCA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Příjemce </w:t>
      </w:r>
      <w:r w:rsidR="00AC1C79" w:rsidRPr="003A4FCA">
        <w:rPr>
          <w:rFonts w:ascii="Arial" w:hAnsi="Arial" w:cs="Arial"/>
          <w:sz w:val="24"/>
          <w:szCs w:val="24"/>
        </w:rPr>
        <w:t xml:space="preserve">je povinen </w:t>
      </w:r>
      <w:r w:rsidRPr="003A4FC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3A4FCA">
        <w:rPr>
          <w:rFonts w:ascii="Arial" w:hAnsi="Arial" w:cs="Arial"/>
          <w:sz w:val="24"/>
          <w:szCs w:val="24"/>
        </w:rPr>
        <w:t xml:space="preserve">a účinnými </w:t>
      </w:r>
      <w:r w:rsidRPr="003A4FCA">
        <w:rPr>
          <w:rFonts w:ascii="Arial" w:hAnsi="Arial" w:cs="Arial"/>
          <w:sz w:val="24"/>
          <w:szCs w:val="24"/>
        </w:rPr>
        <w:t xml:space="preserve">právními předpisy. Výběr dodavatele musí být proveden v souladu s předpisy upravujícími zadávání veřejných zakázek; v případě </w:t>
      </w:r>
      <w:r w:rsidR="006B6AF4">
        <w:rPr>
          <w:rFonts w:ascii="Arial" w:hAnsi="Arial" w:cs="Arial"/>
          <w:sz w:val="24"/>
          <w:szCs w:val="24"/>
        </w:rPr>
        <w:t>činností</w:t>
      </w:r>
      <w:r w:rsidRPr="003A4FCA">
        <w:rPr>
          <w:rFonts w:ascii="Arial" w:hAnsi="Arial" w:cs="Arial"/>
          <w:sz w:val="24"/>
          <w:szCs w:val="24"/>
        </w:rPr>
        <w:t xml:space="preserve"> spolufinancovaných ze strukturálních fondů Evropské unie i podle pravidel platných pro tyto fondy.</w:t>
      </w:r>
    </w:p>
    <w:p w14:paraId="6450B756" w14:textId="77777777" w:rsidR="00691685" w:rsidRPr="003A4FC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3A4FCA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3A4FCA">
        <w:rPr>
          <w:rFonts w:ascii="Arial" w:hAnsi="Arial" w:cs="Arial"/>
          <w:sz w:val="24"/>
          <w:szCs w:val="24"/>
        </w:rPr>
        <w:t>i</w:t>
      </w:r>
      <w:r w:rsidRPr="003A4FCA">
        <w:rPr>
          <w:rFonts w:ascii="Arial" w:hAnsi="Arial" w:cs="Arial"/>
          <w:sz w:val="24"/>
          <w:szCs w:val="24"/>
        </w:rPr>
        <w:t xml:space="preserve"> právním</w:t>
      </w:r>
      <w:r w:rsidR="003C1667" w:rsidRPr="003A4FCA">
        <w:rPr>
          <w:rFonts w:ascii="Arial" w:hAnsi="Arial" w:cs="Arial"/>
          <w:sz w:val="24"/>
          <w:szCs w:val="24"/>
        </w:rPr>
        <w:t>i</w:t>
      </w:r>
      <w:r w:rsidRPr="003A4FCA">
        <w:rPr>
          <w:rFonts w:ascii="Arial" w:hAnsi="Arial" w:cs="Arial"/>
          <w:sz w:val="24"/>
          <w:szCs w:val="24"/>
        </w:rPr>
        <w:t xml:space="preserve"> předpis</w:t>
      </w:r>
      <w:r w:rsidR="003C1667" w:rsidRPr="003A4FCA">
        <w:rPr>
          <w:rFonts w:ascii="Arial" w:hAnsi="Arial" w:cs="Arial"/>
          <w:sz w:val="24"/>
          <w:szCs w:val="24"/>
        </w:rPr>
        <w:t xml:space="preserve">y </w:t>
      </w:r>
      <w:r w:rsidRPr="003A4FCA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3A4FC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3A4FCA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 případě, </w:t>
      </w:r>
      <w:r w:rsidR="00A77DB1" w:rsidRPr="003A4FCA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3A4FCA">
        <w:rPr>
          <w:rFonts w:ascii="Arial" w:hAnsi="Arial" w:cs="Arial"/>
          <w:sz w:val="24"/>
          <w:szCs w:val="24"/>
        </w:rPr>
        <w:t>č. 250/2000 Sb., o </w:t>
      </w:r>
      <w:r w:rsidRPr="003A4FCA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3A4FCA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3A4FCA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3A4FCA">
        <w:rPr>
          <w:rFonts w:ascii="Arial" w:hAnsi="Arial" w:cs="Arial"/>
          <w:sz w:val="24"/>
          <w:szCs w:val="24"/>
        </w:rPr>
        <w:t>ve znění pozdějších předpisů</w:t>
      </w:r>
      <w:r w:rsidRPr="003A4FCA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3A4FCA">
        <w:rPr>
          <w:rFonts w:ascii="Arial" w:hAnsi="Arial" w:cs="Arial"/>
          <w:sz w:val="24"/>
          <w:szCs w:val="24"/>
        </w:rPr>
        <w:t>žné, za které se uloží odvod za </w:t>
      </w:r>
      <w:r w:rsidRPr="003A4FCA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3A4FC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0B5FCAE2" w:rsidR="008072A6" w:rsidRPr="003A4FCA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3A4FCA">
        <w:rPr>
          <w:rFonts w:ascii="Arial" w:hAnsi="Arial" w:cs="Arial"/>
          <w:bCs/>
          <w:sz w:val="24"/>
          <w:szCs w:val="24"/>
        </w:rPr>
        <w:t xml:space="preserve">poskytovatele </w:t>
      </w:r>
      <w:r w:rsidRPr="003A4FCA">
        <w:rPr>
          <w:rFonts w:ascii="Arial" w:hAnsi="Arial" w:cs="Arial"/>
          <w:bCs/>
          <w:sz w:val="24"/>
          <w:szCs w:val="24"/>
        </w:rPr>
        <w:t>(</w:t>
      </w:r>
      <w:r w:rsidR="00BA36B7" w:rsidRPr="003A4FCA">
        <w:rPr>
          <w:rFonts w:ascii="Arial" w:hAnsi="Arial" w:cs="Arial"/>
          <w:sz w:val="24"/>
          <w:szCs w:val="24"/>
        </w:rPr>
        <w:t>schválení a </w:t>
      </w:r>
      <w:r w:rsidRPr="003A4FCA">
        <w:rPr>
          <w:rFonts w:ascii="Arial" w:hAnsi="Arial" w:cs="Arial"/>
          <w:sz w:val="24"/>
          <w:szCs w:val="24"/>
        </w:rPr>
        <w:t>uzavření dodatku ke Smlouvě</w:t>
      </w:r>
      <w:r w:rsidR="0000331A" w:rsidRPr="003A4FCA">
        <w:rPr>
          <w:rFonts w:ascii="Arial" w:hAnsi="Arial" w:cs="Arial"/>
          <w:sz w:val="24"/>
          <w:szCs w:val="24"/>
        </w:rPr>
        <w:t xml:space="preserve">) </w:t>
      </w:r>
      <w:r w:rsidRPr="003A4FCA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3A4FCA">
        <w:rPr>
          <w:rFonts w:ascii="Arial" w:hAnsi="Arial" w:cs="Arial"/>
          <w:bCs/>
          <w:sz w:val="24"/>
          <w:szCs w:val="24"/>
        </w:rPr>
        <w:t>eného k </w:t>
      </w:r>
      <w:r w:rsidRPr="003A4FCA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3A4FCA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</w:t>
      </w:r>
      <w:r w:rsidR="0000331A" w:rsidRPr="003A4FCA">
        <w:rPr>
          <w:rFonts w:ascii="Arial" w:hAnsi="Arial" w:cs="Arial"/>
          <w:bCs/>
          <w:sz w:val="24"/>
          <w:szCs w:val="24"/>
        </w:rPr>
        <w:lastRenderedPageBreak/>
        <w:t>uzavření Smlouvy.</w:t>
      </w:r>
      <w:r w:rsidR="0000331A" w:rsidRPr="003A4FCA">
        <w:rPr>
          <w:rFonts w:ascii="Arial" w:hAnsi="Arial" w:cs="Arial"/>
          <w:sz w:val="24"/>
          <w:szCs w:val="24"/>
        </w:rPr>
        <w:t xml:space="preserve"> </w:t>
      </w:r>
      <w:r w:rsidR="00113FA2" w:rsidRPr="003A4FCA">
        <w:rPr>
          <w:rFonts w:ascii="Arial" w:hAnsi="Arial" w:cs="Arial"/>
          <w:sz w:val="24"/>
          <w:szCs w:val="24"/>
        </w:rPr>
        <w:t>Uzavření dodatku není nutné v</w:t>
      </w:r>
      <w:r w:rsidR="00A946CA" w:rsidRPr="003A4FCA">
        <w:rPr>
          <w:rFonts w:ascii="Arial" w:hAnsi="Arial" w:cs="Arial"/>
          <w:sz w:val="24"/>
          <w:szCs w:val="24"/>
        </w:rPr>
        <w:t> </w:t>
      </w:r>
      <w:r w:rsidR="00113FA2" w:rsidRPr="003A4FCA">
        <w:rPr>
          <w:rFonts w:ascii="Arial" w:hAnsi="Arial" w:cs="Arial"/>
          <w:sz w:val="24"/>
          <w:szCs w:val="24"/>
        </w:rPr>
        <w:t>případ</w:t>
      </w:r>
      <w:r w:rsidR="00A946CA" w:rsidRPr="003A4FCA">
        <w:rPr>
          <w:rFonts w:ascii="Arial" w:hAnsi="Arial" w:cs="Arial"/>
          <w:sz w:val="24"/>
          <w:szCs w:val="24"/>
        </w:rPr>
        <w:t>ech, kd</w:t>
      </w:r>
      <w:r w:rsidR="00BA36B7" w:rsidRPr="003A4FCA">
        <w:rPr>
          <w:rFonts w:ascii="Arial" w:hAnsi="Arial" w:cs="Arial"/>
          <w:sz w:val="24"/>
          <w:szCs w:val="24"/>
        </w:rPr>
        <w:t>y zatížení majetku nemá vliv na </w:t>
      </w:r>
      <w:r w:rsidR="00A946CA" w:rsidRPr="003A4FCA">
        <w:rPr>
          <w:rFonts w:ascii="Arial" w:hAnsi="Arial" w:cs="Arial"/>
          <w:sz w:val="24"/>
          <w:szCs w:val="24"/>
        </w:rPr>
        <w:t xml:space="preserve">funkčnost </w:t>
      </w:r>
      <w:r w:rsidR="00154F67" w:rsidRPr="003A4FCA">
        <w:rPr>
          <w:rFonts w:ascii="Arial" w:hAnsi="Arial" w:cs="Arial"/>
          <w:sz w:val="24"/>
          <w:szCs w:val="24"/>
        </w:rPr>
        <w:t>a</w:t>
      </w:r>
      <w:r w:rsidR="00A946CA" w:rsidRPr="003A4FCA">
        <w:rPr>
          <w:rFonts w:ascii="Arial" w:hAnsi="Arial" w:cs="Arial"/>
          <w:sz w:val="24"/>
          <w:szCs w:val="24"/>
        </w:rPr>
        <w:t xml:space="preserve"> hodnotu majetku</w:t>
      </w:r>
      <w:r w:rsidR="00154F67" w:rsidRPr="003A4FCA">
        <w:rPr>
          <w:rFonts w:ascii="Arial" w:hAnsi="Arial" w:cs="Arial"/>
          <w:sz w:val="24"/>
          <w:szCs w:val="24"/>
        </w:rPr>
        <w:t>, např. zřízení věcného břemene</w:t>
      </w:r>
      <w:r w:rsidR="00FC4019" w:rsidRPr="003A4FCA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3A4FCA">
        <w:rPr>
          <w:rFonts w:ascii="Arial" w:hAnsi="Arial" w:cs="Arial"/>
          <w:sz w:val="24"/>
          <w:szCs w:val="24"/>
        </w:rPr>
        <w:t>vedení inženýrských sítí</w:t>
      </w:r>
      <w:r w:rsidR="00FC4019" w:rsidRPr="003A4FCA">
        <w:rPr>
          <w:rFonts w:ascii="Arial" w:hAnsi="Arial" w:cs="Arial"/>
          <w:sz w:val="24"/>
          <w:szCs w:val="24"/>
        </w:rPr>
        <w:t xml:space="preserve"> apod.</w:t>
      </w:r>
      <w:r w:rsidR="00CE66E8" w:rsidRPr="003A4FCA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3A4FCA">
        <w:rPr>
          <w:rFonts w:ascii="Arial" w:hAnsi="Arial" w:cs="Arial"/>
          <w:sz w:val="24"/>
          <w:szCs w:val="24"/>
        </w:rPr>
        <w:t>.</w:t>
      </w:r>
      <w:r w:rsidR="00C60EBC" w:rsidRPr="003A4FCA">
        <w:rPr>
          <w:rFonts w:ascii="Arial" w:hAnsi="Arial" w:cs="Arial"/>
          <w:sz w:val="24"/>
          <w:szCs w:val="24"/>
        </w:rPr>
        <w:t xml:space="preserve"> </w:t>
      </w:r>
      <w:r w:rsidR="00464A2E" w:rsidRPr="003A4FCA">
        <w:rPr>
          <w:rFonts w:ascii="Arial" w:hAnsi="Arial" w:cs="Arial"/>
          <w:i/>
          <w:sz w:val="24"/>
          <w:szCs w:val="24"/>
        </w:rPr>
        <w:t xml:space="preserve"> </w:t>
      </w:r>
    </w:p>
    <w:p w14:paraId="1C9B5097" w14:textId="77777777" w:rsidR="00BD553A" w:rsidRPr="003A4FCA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2CB82AE9" w14:textId="77777777" w:rsidR="00691685" w:rsidRPr="003A4FC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A4FC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4653B24D" w:rsidR="005B7632" w:rsidRPr="003A4FC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F233B" w:rsidRPr="003A4FCA">
        <w:rPr>
          <w:rFonts w:ascii="Arial" w:hAnsi="Arial" w:cs="Arial"/>
          <w:sz w:val="24"/>
          <w:szCs w:val="24"/>
        </w:rPr>
        <w:t>23</w:t>
      </w:r>
      <w:r w:rsidRPr="003A4FCA">
        <w:rPr>
          <w:rFonts w:ascii="Arial" w:hAnsi="Arial" w:cs="Arial"/>
          <w:sz w:val="24"/>
          <w:szCs w:val="24"/>
        </w:rPr>
        <w:t>. </w:t>
      </w:r>
      <w:r w:rsidR="00CF233B" w:rsidRPr="003A4FCA">
        <w:rPr>
          <w:rFonts w:ascii="Arial" w:hAnsi="Arial" w:cs="Arial"/>
          <w:sz w:val="24"/>
          <w:szCs w:val="24"/>
        </w:rPr>
        <w:t>12</w:t>
      </w:r>
      <w:r w:rsidRPr="003A4FCA">
        <w:rPr>
          <w:rFonts w:ascii="Arial" w:hAnsi="Arial" w:cs="Arial"/>
          <w:sz w:val="24"/>
          <w:szCs w:val="24"/>
        </w:rPr>
        <w:t>. 20</w:t>
      </w:r>
      <w:r w:rsidR="00901346" w:rsidRPr="003A4FCA">
        <w:rPr>
          <w:rFonts w:ascii="Arial" w:hAnsi="Arial" w:cs="Arial"/>
          <w:sz w:val="24"/>
          <w:szCs w:val="24"/>
        </w:rPr>
        <w:t>20</w:t>
      </w:r>
      <w:r w:rsidRPr="003A4FCA">
        <w:rPr>
          <w:rFonts w:ascii="Arial" w:hAnsi="Arial" w:cs="Arial"/>
          <w:sz w:val="24"/>
          <w:szCs w:val="24"/>
        </w:rPr>
        <w:t xml:space="preserve"> do </w:t>
      </w:r>
      <w:r w:rsidR="00E543C5">
        <w:rPr>
          <w:rFonts w:ascii="Arial" w:hAnsi="Arial" w:cs="Arial"/>
          <w:sz w:val="24"/>
          <w:szCs w:val="24"/>
        </w:rPr>
        <w:t>24. 3</w:t>
      </w:r>
      <w:r w:rsidRPr="003A4FCA">
        <w:rPr>
          <w:rFonts w:ascii="Arial" w:hAnsi="Arial" w:cs="Arial"/>
          <w:sz w:val="24"/>
          <w:szCs w:val="24"/>
        </w:rPr>
        <w:t>. 20</w:t>
      </w:r>
      <w:r w:rsidR="00901346" w:rsidRPr="003A4FCA">
        <w:rPr>
          <w:rFonts w:ascii="Arial" w:hAnsi="Arial" w:cs="Arial"/>
          <w:sz w:val="24"/>
          <w:szCs w:val="24"/>
        </w:rPr>
        <w:t>21</w:t>
      </w:r>
      <w:r w:rsidR="00315F2E" w:rsidRPr="003A4FCA">
        <w:rPr>
          <w:rFonts w:ascii="Arial" w:hAnsi="Arial" w:cs="Arial"/>
          <w:sz w:val="24"/>
          <w:szCs w:val="24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3" w:name="lhůtapodání"/>
      <w:bookmarkEnd w:id="13"/>
    </w:p>
    <w:p w14:paraId="3F122AD8" w14:textId="77777777" w:rsidR="00A20D6B" w:rsidRPr="003A4FC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51CFE84" w:rsidR="0071231B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A4FCA">
        <w:rPr>
          <w:rFonts w:ascii="Arial" w:hAnsi="Arial" w:cs="Arial"/>
          <w:b/>
          <w:sz w:val="24"/>
          <w:szCs w:val="24"/>
        </w:rPr>
        <w:t>, včetně povinných příloh,</w:t>
      </w:r>
      <w:r w:rsidRPr="003A4FCA">
        <w:rPr>
          <w:rFonts w:ascii="Arial" w:hAnsi="Arial" w:cs="Arial"/>
          <w:b/>
          <w:sz w:val="24"/>
          <w:szCs w:val="24"/>
        </w:rPr>
        <w:t xml:space="preserve"> je stanovena od</w:t>
      </w:r>
      <w:r w:rsidR="00901346" w:rsidRPr="003A4FCA">
        <w:rPr>
          <w:rFonts w:ascii="Arial" w:hAnsi="Arial" w:cs="Arial"/>
          <w:b/>
          <w:sz w:val="24"/>
          <w:szCs w:val="24"/>
        </w:rPr>
        <w:t xml:space="preserve"> </w:t>
      </w:r>
      <w:r w:rsidR="00F94BF0" w:rsidRPr="003A4FCA">
        <w:rPr>
          <w:rFonts w:ascii="Arial" w:hAnsi="Arial" w:cs="Arial"/>
          <w:b/>
          <w:sz w:val="24"/>
          <w:szCs w:val="24"/>
        </w:rPr>
        <w:t>25</w:t>
      </w:r>
      <w:r w:rsidR="00901346" w:rsidRPr="003A4FCA">
        <w:rPr>
          <w:rFonts w:ascii="Arial" w:hAnsi="Arial" w:cs="Arial"/>
          <w:b/>
          <w:sz w:val="24"/>
          <w:szCs w:val="24"/>
        </w:rPr>
        <w:t>. 1. 2021</w:t>
      </w:r>
      <w:r w:rsidRPr="003A4FCA">
        <w:rPr>
          <w:rFonts w:ascii="Arial" w:hAnsi="Arial" w:cs="Arial"/>
          <w:b/>
          <w:sz w:val="24"/>
          <w:szCs w:val="24"/>
        </w:rPr>
        <w:t xml:space="preserve"> do </w:t>
      </w:r>
      <w:r w:rsidR="00F94BF0" w:rsidRPr="003A4FCA">
        <w:rPr>
          <w:rFonts w:ascii="Arial" w:hAnsi="Arial" w:cs="Arial"/>
          <w:b/>
          <w:sz w:val="24"/>
          <w:szCs w:val="24"/>
        </w:rPr>
        <w:t>5</w:t>
      </w:r>
      <w:r w:rsidR="00901346" w:rsidRPr="003A4FCA">
        <w:rPr>
          <w:rFonts w:ascii="Arial" w:hAnsi="Arial" w:cs="Arial"/>
          <w:b/>
          <w:sz w:val="24"/>
          <w:szCs w:val="24"/>
        </w:rPr>
        <w:t xml:space="preserve">. </w:t>
      </w:r>
      <w:r w:rsidR="00F94BF0" w:rsidRPr="003A4FCA">
        <w:rPr>
          <w:rFonts w:ascii="Arial" w:hAnsi="Arial" w:cs="Arial"/>
          <w:b/>
          <w:sz w:val="24"/>
          <w:szCs w:val="24"/>
        </w:rPr>
        <w:t>2</w:t>
      </w:r>
      <w:r w:rsidR="00901346" w:rsidRPr="003A4FCA">
        <w:rPr>
          <w:rFonts w:ascii="Arial" w:hAnsi="Arial" w:cs="Arial"/>
          <w:b/>
          <w:sz w:val="24"/>
          <w:szCs w:val="24"/>
        </w:rPr>
        <w:t>. 2021</w:t>
      </w:r>
      <w:r w:rsidRPr="003A4FC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3A4FCA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3A4FCA">
        <w:rPr>
          <w:rFonts w:ascii="Arial" w:hAnsi="Arial" w:cs="Arial"/>
          <w:sz w:val="24"/>
          <w:szCs w:val="24"/>
        </w:rPr>
        <w:t>,</w:t>
      </w:r>
      <w:r w:rsidRPr="003A4FCA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3A4FCA">
        <w:rPr>
          <w:rFonts w:ascii="Arial" w:hAnsi="Arial" w:cs="Arial"/>
          <w:sz w:val="24"/>
          <w:szCs w:val="24"/>
        </w:rPr>
        <w:t>tohoto odstavce do 12:00 hod. V </w:t>
      </w:r>
      <w:r w:rsidRPr="003A4FCA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A4FCA">
        <w:rPr>
          <w:rFonts w:ascii="Arial" w:hAnsi="Arial" w:cs="Arial"/>
          <w:sz w:val="24"/>
          <w:szCs w:val="24"/>
        </w:rPr>
        <w:t xml:space="preserve">listinné </w:t>
      </w:r>
      <w:r w:rsidRPr="003A4FCA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A4FCA">
        <w:rPr>
          <w:rFonts w:ascii="Arial" w:hAnsi="Arial" w:cs="Arial"/>
          <w:sz w:val="24"/>
          <w:szCs w:val="24"/>
        </w:rPr>
        <w:t xml:space="preserve">, </w:t>
      </w:r>
      <w:r w:rsidRPr="003A4FCA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A4FCA">
        <w:rPr>
          <w:rFonts w:ascii="Arial" w:hAnsi="Arial" w:cs="Arial"/>
          <w:sz w:val="24"/>
          <w:szCs w:val="24"/>
        </w:rPr>
        <w:t>,</w:t>
      </w:r>
      <w:r w:rsidRPr="003A4FCA">
        <w:rPr>
          <w:rFonts w:ascii="Arial" w:hAnsi="Arial" w:cs="Arial"/>
          <w:sz w:val="24"/>
          <w:szCs w:val="24"/>
        </w:rPr>
        <w:t xml:space="preserve"> podána </w:t>
      </w:r>
      <w:r w:rsidR="00EF5552" w:rsidRPr="003A4FCA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3A4FCA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36244598" w:rsidR="0071231B" w:rsidRPr="003A4FCA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3A4FCA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3A4FCA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3A4FCA">
        <w:rPr>
          <w:rFonts w:ascii="Arial" w:hAnsi="Arial" w:cs="Arial"/>
          <w:sz w:val="24"/>
          <w:szCs w:val="24"/>
        </w:rPr>
        <w:t>doporučujeme používat k </w:t>
      </w:r>
      <w:r w:rsidR="000923FC" w:rsidRPr="003A4FCA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3A4FCA">
        <w:rPr>
          <w:rFonts w:ascii="Arial" w:hAnsi="Arial" w:cs="Arial"/>
          <w:sz w:val="24"/>
          <w:szCs w:val="24"/>
        </w:rPr>
        <w:t xml:space="preserve"> způsobem dle bodu 8.3.1 písm. b)</w:t>
      </w:r>
      <w:r w:rsidR="00315F2E" w:rsidRPr="003A4FCA">
        <w:rPr>
          <w:rFonts w:ascii="Arial" w:hAnsi="Arial" w:cs="Arial"/>
          <w:sz w:val="24"/>
          <w:szCs w:val="24"/>
        </w:rPr>
        <w:t>.</w:t>
      </w:r>
    </w:p>
    <w:p w14:paraId="5A78AEBD" w14:textId="77777777" w:rsidR="0071231B" w:rsidRPr="003A4FCA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3A4FCA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3A4FCA">
        <w:rPr>
          <w:rFonts w:ascii="Arial" w:hAnsi="Arial" w:cs="Arial"/>
          <w:sz w:val="24"/>
          <w:szCs w:val="24"/>
        </w:rPr>
        <w:t>vyhlašovatele</w:t>
      </w:r>
      <w:r w:rsidRPr="003A4FCA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3A4FCA">
        <w:rPr>
          <w:rFonts w:ascii="Arial" w:hAnsi="Arial" w:cs="Arial"/>
          <w:sz w:val="24"/>
          <w:szCs w:val="24"/>
        </w:rPr>
        <w:t xml:space="preserve">vyhlašovatele </w:t>
      </w:r>
      <w:r w:rsidRPr="003A4FCA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3A4FCA">
        <w:rPr>
          <w:rFonts w:ascii="Arial" w:hAnsi="Arial" w:cs="Arial"/>
          <w:sz w:val="24"/>
          <w:szCs w:val="24"/>
        </w:rPr>
        <w:t>KRAJSKÉ DOTACE</w:t>
      </w:r>
      <w:r w:rsidR="0019214B" w:rsidRPr="003A4FCA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3A4FCA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3A4FCA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3A4FCA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3A4FCA">
        <w:rPr>
          <w:rFonts w:ascii="Arial" w:hAnsi="Arial" w:cs="Arial"/>
          <w:sz w:val="24"/>
          <w:szCs w:val="24"/>
        </w:rPr>
        <w:t>(</w:t>
      </w:r>
      <w:r w:rsidR="0029127B" w:rsidRPr="003A4FCA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3A4FC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A4FCA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3A4FCA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A4FCA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3A4FCA">
        <w:rPr>
          <w:rFonts w:ascii="Arial" w:hAnsi="Arial" w:cs="Arial"/>
          <w:sz w:val="24"/>
          <w:szCs w:val="24"/>
        </w:rPr>
        <w:t xml:space="preserve">) </w:t>
      </w:r>
      <w:r w:rsidR="00881D2C" w:rsidRPr="003A4FCA">
        <w:rPr>
          <w:rFonts w:ascii="Arial" w:hAnsi="Arial" w:cs="Arial"/>
          <w:b/>
          <w:sz w:val="24"/>
          <w:szCs w:val="24"/>
        </w:rPr>
        <w:t>a </w:t>
      </w:r>
      <w:r w:rsidRPr="003A4FCA">
        <w:rPr>
          <w:rFonts w:ascii="Arial" w:hAnsi="Arial" w:cs="Arial"/>
          <w:b/>
          <w:sz w:val="24"/>
          <w:szCs w:val="24"/>
        </w:rPr>
        <w:t>doručené žádosti</w:t>
      </w:r>
      <w:r w:rsidRPr="003A4FCA">
        <w:rPr>
          <w:rFonts w:ascii="Arial" w:hAnsi="Arial" w:cs="Arial"/>
          <w:sz w:val="24"/>
          <w:szCs w:val="24"/>
        </w:rPr>
        <w:t xml:space="preserve">, viz </w:t>
      </w:r>
      <w:r w:rsidRPr="003A4FCA">
        <w:rPr>
          <w:rFonts w:ascii="Arial" w:hAnsi="Arial" w:cs="Arial"/>
          <w:b/>
          <w:sz w:val="24"/>
          <w:szCs w:val="24"/>
        </w:rPr>
        <w:t>definice písemné žádosti</w:t>
      </w:r>
      <w:r w:rsidRPr="003A4FCA">
        <w:rPr>
          <w:rFonts w:ascii="Arial" w:hAnsi="Arial" w:cs="Arial"/>
          <w:sz w:val="24"/>
          <w:szCs w:val="24"/>
        </w:rPr>
        <w:t xml:space="preserve"> odst. 11.1</w:t>
      </w:r>
      <w:r w:rsidR="00910A56" w:rsidRPr="003A4FCA">
        <w:rPr>
          <w:rFonts w:ascii="Arial" w:hAnsi="Arial" w:cs="Arial"/>
          <w:sz w:val="24"/>
          <w:szCs w:val="24"/>
        </w:rPr>
        <w:t>1</w:t>
      </w:r>
      <w:r w:rsidR="0029127B" w:rsidRPr="003A4FCA">
        <w:rPr>
          <w:rFonts w:ascii="Arial" w:hAnsi="Arial" w:cs="Arial"/>
          <w:sz w:val="24"/>
          <w:szCs w:val="24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3A4FCA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3A4FCA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3A4FCA">
        <w:rPr>
          <w:rFonts w:ascii="Arial" w:hAnsi="Arial" w:cs="Arial"/>
          <w:sz w:val="24"/>
          <w:szCs w:val="24"/>
        </w:rPr>
        <w:t xml:space="preserve">automaticky </w:t>
      </w:r>
      <w:r w:rsidR="00315823" w:rsidRPr="003A4FCA">
        <w:rPr>
          <w:rFonts w:ascii="Arial" w:hAnsi="Arial" w:cs="Arial"/>
          <w:sz w:val="24"/>
          <w:szCs w:val="24"/>
        </w:rPr>
        <w:t xml:space="preserve">doručen na email žadatele. </w:t>
      </w:r>
      <w:r w:rsidRPr="003A4FCA">
        <w:rPr>
          <w:rFonts w:ascii="Arial" w:hAnsi="Arial" w:cs="Arial"/>
          <w:sz w:val="24"/>
          <w:szCs w:val="24"/>
        </w:rPr>
        <w:t xml:space="preserve">Žádost </w:t>
      </w:r>
      <w:r w:rsidRPr="003A4FCA">
        <w:rPr>
          <w:rFonts w:ascii="Arial" w:hAnsi="Arial" w:cs="Arial"/>
          <w:b/>
          <w:sz w:val="24"/>
          <w:szCs w:val="24"/>
        </w:rPr>
        <w:t>musí být vyplněna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b/>
          <w:sz w:val="24"/>
          <w:szCs w:val="24"/>
        </w:rPr>
        <w:t>elektroni</w:t>
      </w:r>
      <w:r w:rsidR="00BA36B7" w:rsidRPr="003A4FCA">
        <w:rPr>
          <w:rFonts w:ascii="Arial" w:hAnsi="Arial" w:cs="Arial"/>
          <w:b/>
          <w:sz w:val="24"/>
          <w:szCs w:val="24"/>
        </w:rPr>
        <w:t>cky ve formuláři zveřejněném na </w:t>
      </w:r>
      <w:r w:rsidRPr="003A4FCA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3A4FCA">
        <w:rPr>
          <w:rFonts w:ascii="Arial" w:hAnsi="Arial" w:cs="Arial"/>
          <w:b/>
          <w:sz w:val="24"/>
          <w:szCs w:val="24"/>
        </w:rPr>
        <w:t>doručena</w:t>
      </w:r>
      <w:r w:rsidRPr="003A4FCA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3A4FCA">
        <w:rPr>
          <w:rFonts w:ascii="Arial" w:hAnsi="Arial" w:cs="Arial"/>
          <w:b/>
          <w:sz w:val="24"/>
          <w:szCs w:val="24"/>
        </w:rPr>
        <w:t xml:space="preserve">bodu </w:t>
      </w:r>
      <w:r w:rsidRPr="003A4FCA">
        <w:rPr>
          <w:rFonts w:ascii="Arial" w:hAnsi="Arial" w:cs="Arial"/>
          <w:b/>
          <w:sz w:val="24"/>
          <w:szCs w:val="24"/>
        </w:rPr>
        <w:t xml:space="preserve">8.3.1 </w:t>
      </w:r>
      <w:r w:rsidRPr="003A4FCA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3A4FCA">
        <w:rPr>
          <w:rFonts w:ascii="Arial" w:hAnsi="Arial" w:cs="Arial"/>
          <w:sz w:val="24"/>
          <w:szCs w:val="24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3A4FCA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3A4FCA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28B20A7" w:rsidR="00CD1DE7" w:rsidRPr="003A4FCA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3A4FCA">
        <w:rPr>
          <w:rFonts w:ascii="Arial" w:hAnsi="Arial" w:cs="Arial"/>
          <w:b/>
          <w:sz w:val="24"/>
          <w:szCs w:val="24"/>
        </w:rPr>
        <w:lastRenderedPageBreak/>
        <w:t>Ž</w:t>
      </w:r>
      <w:r w:rsidR="00CD1DE7" w:rsidRPr="003A4FCA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3A4FCA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3A4FCA">
        <w:rPr>
          <w:rFonts w:ascii="Arial" w:hAnsi="Arial" w:cs="Arial"/>
          <w:sz w:val="24"/>
          <w:szCs w:val="24"/>
        </w:rPr>
        <w:t>Žadatelé v</w:t>
      </w:r>
      <w:r w:rsidR="00CD1DE7" w:rsidRPr="003A4FCA">
        <w:rPr>
          <w:rFonts w:ascii="Arial" w:hAnsi="Arial" w:cs="Arial"/>
          <w:sz w:val="24"/>
          <w:szCs w:val="24"/>
        </w:rPr>
        <w:t xml:space="preserve">yplní a </w:t>
      </w:r>
      <w:r w:rsidR="00CD1DE7" w:rsidRPr="003A4FCA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3A4FCA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3A4FCA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3A4FCA">
        <w:rPr>
          <w:rFonts w:ascii="Arial" w:hAnsi="Arial" w:cs="Arial"/>
          <w:sz w:val="24"/>
          <w:szCs w:val="24"/>
        </w:rPr>
        <w:t xml:space="preserve">, </w:t>
      </w:r>
      <w:r w:rsidR="004F7056" w:rsidRPr="003A4FCA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3A4FCA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3A4FCA">
        <w:rPr>
          <w:rFonts w:ascii="Arial" w:hAnsi="Arial" w:cs="Arial"/>
          <w:sz w:val="24"/>
          <w:szCs w:val="24"/>
        </w:rPr>
        <w:t xml:space="preserve"> </w:t>
      </w:r>
      <w:r w:rsidR="00CD1DE7" w:rsidRPr="003A4FCA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3A4FCA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3A4FCA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3A4FCA">
        <w:rPr>
          <w:rFonts w:ascii="Arial" w:hAnsi="Arial" w:cs="Arial"/>
          <w:sz w:val="24"/>
          <w:szCs w:val="24"/>
        </w:rPr>
        <w:t>a ve stanov</w:t>
      </w:r>
      <w:r w:rsidR="00122C96" w:rsidRPr="003A4FCA">
        <w:rPr>
          <w:rFonts w:ascii="Arial" w:hAnsi="Arial" w:cs="Arial"/>
          <w:sz w:val="24"/>
          <w:szCs w:val="24"/>
        </w:rPr>
        <w:t>en</w:t>
      </w:r>
      <w:r w:rsidR="00CD1DE7" w:rsidRPr="003A4FCA">
        <w:rPr>
          <w:rFonts w:ascii="Arial" w:hAnsi="Arial" w:cs="Arial"/>
          <w:sz w:val="24"/>
          <w:szCs w:val="24"/>
        </w:rPr>
        <w:t>é lhůtě j</w:t>
      </w:r>
      <w:r w:rsidR="00122C96" w:rsidRPr="003A4FCA">
        <w:rPr>
          <w:rFonts w:ascii="Arial" w:hAnsi="Arial" w:cs="Arial"/>
          <w:sz w:val="24"/>
          <w:szCs w:val="24"/>
        </w:rPr>
        <w:t>i</w:t>
      </w:r>
      <w:r w:rsidR="00CD1DE7" w:rsidRPr="003A4FCA">
        <w:rPr>
          <w:rFonts w:ascii="Arial" w:hAnsi="Arial" w:cs="Arial"/>
          <w:sz w:val="24"/>
          <w:szCs w:val="24"/>
        </w:rPr>
        <w:t xml:space="preserve"> doručí </w:t>
      </w:r>
      <w:r w:rsidR="001A60F9" w:rsidRPr="003A4FCA">
        <w:rPr>
          <w:rFonts w:ascii="Arial" w:hAnsi="Arial" w:cs="Arial"/>
          <w:sz w:val="24"/>
          <w:szCs w:val="24"/>
        </w:rPr>
        <w:t xml:space="preserve">poskytovateli </w:t>
      </w:r>
      <w:r w:rsidR="00CD1DE7" w:rsidRPr="003A4FCA">
        <w:rPr>
          <w:rFonts w:ascii="Arial" w:hAnsi="Arial" w:cs="Arial"/>
          <w:b/>
          <w:sz w:val="24"/>
          <w:szCs w:val="24"/>
        </w:rPr>
        <w:t>jedním</w:t>
      </w:r>
      <w:r w:rsidR="00CD1DE7" w:rsidRPr="003A4FCA">
        <w:rPr>
          <w:rFonts w:ascii="Arial" w:hAnsi="Arial" w:cs="Arial"/>
          <w:sz w:val="24"/>
          <w:szCs w:val="24"/>
        </w:rPr>
        <w:t xml:space="preserve"> z následujících způsobů:</w:t>
      </w:r>
    </w:p>
    <w:p w14:paraId="2BF62C5F" w14:textId="0ED18E72" w:rsidR="00C71F67" w:rsidRPr="003A4FCA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elektronicky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b/>
          <w:sz w:val="24"/>
          <w:szCs w:val="24"/>
        </w:rPr>
        <w:t>emailem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="00B63F11" w:rsidRPr="003A4FCA">
        <w:rPr>
          <w:rFonts w:ascii="Arial" w:hAnsi="Arial" w:cs="Arial"/>
          <w:b/>
          <w:sz w:val="24"/>
          <w:szCs w:val="24"/>
        </w:rPr>
        <w:t>s</w:t>
      </w:r>
      <w:r w:rsidR="007B0503" w:rsidRPr="003A4FCA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3A4FCA">
        <w:rPr>
          <w:rFonts w:ascii="Arial" w:hAnsi="Arial" w:cs="Arial"/>
          <w:b/>
          <w:sz w:val="24"/>
          <w:szCs w:val="24"/>
        </w:rPr>
        <w:t xml:space="preserve">nebo kvalifikovaným </w:t>
      </w:r>
      <w:r w:rsidRPr="003A4FCA">
        <w:rPr>
          <w:rFonts w:ascii="Arial" w:hAnsi="Arial" w:cs="Arial"/>
          <w:b/>
          <w:sz w:val="24"/>
          <w:szCs w:val="24"/>
        </w:rPr>
        <w:t>elektronickým podpisem</w:t>
      </w:r>
      <w:r w:rsidR="00BD1DEF" w:rsidRPr="003A4FCA">
        <w:rPr>
          <w:rFonts w:ascii="Arial" w:hAnsi="Arial" w:cs="Arial"/>
          <w:b/>
          <w:sz w:val="24"/>
          <w:szCs w:val="24"/>
        </w:rPr>
        <w:t xml:space="preserve"> žadatele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="0091453A" w:rsidRPr="003A4FCA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3A4FCA">
        <w:rPr>
          <w:rFonts w:ascii="Arial" w:hAnsi="Arial" w:cs="Arial"/>
          <w:b/>
          <w:bCs/>
          <w:sz w:val="24"/>
          <w:szCs w:val="24"/>
        </w:rPr>
        <w:t>11.7</w:t>
      </w:r>
      <w:r w:rsidR="0091453A" w:rsidRPr="003A4FCA">
        <w:rPr>
          <w:rFonts w:ascii="Arial" w:hAnsi="Arial" w:cs="Arial"/>
          <w:bCs/>
          <w:sz w:val="24"/>
          <w:szCs w:val="24"/>
        </w:rPr>
        <w:t>.</w:t>
      </w:r>
      <w:r w:rsidR="0091453A" w:rsidRPr="003A4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na</w:t>
      </w:r>
      <w:proofErr w:type="gramEnd"/>
      <w:r w:rsidRPr="003A4FCA">
        <w:rPr>
          <w:rFonts w:ascii="Arial" w:hAnsi="Arial" w:cs="Arial"/>
          <w:sz w:val="24"/>
          <w:szCs w:val="24"/>
        </w:rPr>
        <w:t xml:space="preserve"> adresu: </w:t>
      </w:r>
      <w:hyperlink r:id="rId10" w:history="1">
        <w:r w:rsidR="00C454CC"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3A4FCA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3A4FCA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nebo</w:t>
      </w:r>
      <w:r w:rsidR="000F09DA" w:rsidRPr="003A4FCA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70F85F7D" w:rsidR="00B63F11" w:rsidRPr="003A4FCA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elektronicky</w:t>
      </w:r>
      <w:r w:rsidR="00BD1DEF" w:rsidRPr="003A4FCA">
        <w:rPr>
          <w:rFonts w:ascii="Arial" w:hAnsi="Arial" w:cs="Arial"/>
          <w:b/>
          <w:sz w:val="24"/>
          <w:szCs w:val="24"/>
        </w:rPr>
        <w:t xml:space="preserve"> </w:t>
      </w:r>
      <w:r w:rsidR="00CD1DE7" w:rsidRPr="003A4FCA">
        <w:rPr>
          <w:rFonts w:ascii="Arial" w:hAnsi="Arial" w:cs="Arial"/>
          <w:b/>
          <w:sz w:val="24"/>
          <w:szCs w:val="24"/>
        </w:rPr>
        <w:t>datovou</w:t>
      </w:r>
      <w:r w:rsidR="00BD1DEF" w:rsidRPr="003A4FCA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3A4FCA">
        <w:rPr>
          <w:rFonts w:ascii="Arial" w:hAnsi="Arial" w:cs="Arial"/>
          <w:b/>
          <w:sz w:val="24"/>
          <w:szCs w:val="24"/>
        </w:rPr>
        <w:t>o</w:t>
      </w:r>
      <w:r w:rsidR="00BD1DEF" w:rsidRPr="003A4FCA">
        <w:rPr>
          <w:rFonts w:ascii="Arial" w:hAnsi="Arial" w:cs="Arial"/>
          <w:b/>
          <w:sz w:val="24"/>
          <w:szCs w:val="24"/>
        </w:rPr>
        <w:t>u</w:t>
      </w:r>
      <w:r w:rsidR="00BD1DEF" w:rsidRPr="003A4FCA">
        <w:rPr>
          <w:rFonts w:ascii="Arial" w:hAnsi="Arial" w:cs="Arial"/>
          <w:sz w:val="24"/>
          <w:szCs w:val="24"/>
        </w:rPr>
        <w:t xml:space="preserve"> žadatele</w:t>
      </w:r>
      <w:r w:rsidR="00CD1DE7" w:rsidRPr="003A4FCA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3A4FCA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3A4FCA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3A4FCA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3A4FCA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3A4FCA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3A4FCA">
        <w:rPr>
          <w:rFonts w:ascii="Arial" w:hAnsi="Arial" w:cs="Arial"/>
          <w:b/>
          <w:sz w:val="24"/>
          <w:szCs w:val="24"/>
        </w:rPr>
        <w:t>elektronickým podpisem</w:t>
      </w:r>
      <w:r w:rsidR="00C454CC" w:rsidRPr="003A4FCA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3A4FCA">
        <w:rPr>
          <w:rFonts w:ascii="Arial" w:hAnsi="Arial" w:cs="Arial"/>
          <w:b/>
          <w:sz w:val="24"/>
          <w:szCs w:val="24"/>
        </w:rPr>
        <w:t>7</w:t>
      </w:r>
      <w:r w:rsidR="00C454CC" w:rsidRPr="003A4FCA">
        <w:rPr>
          <w:rFonts w:ascii="Arial" w:hAnsi="Arial" w:cs="Arial"/>
          <w:b/>
          <w:sz w:val="24"/>
          <w:szCs w:val="24"/>
        </w:rPr>
        <w:t>.</w:t>
      </w:r>
      <w:r w:rsidR="00DA489C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3A4FCA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3A4FCA">
        <w:rPr>
          <w:rFonts w:ascii="Arial" w:hAnsi="Arial" w:cs="Arial"/>
          <w:b/>
          <w:sz w:val="24"/>
          <w:szCs w:val="24"/>
        </w:rPr>
        <w:t>tímto způsobem</w:t>
      </w:r>
      <w:r w:rsidRPr="003A4FCA">
        <w:rPr>
          <w:rFonts w:ascii="Arial" w:hAnsi="Arial" w:cs="Arial"/>
          <w:b/>
          <w:sz w:val="24"/>
          <w:szCs w:val="24"/>
        </w:rPr>
        <w:t>, bud</w:t>
      </w:r>
      <w:r w:rsidR="005D54E8" w:rsidRPr="003A4FCA">
        <w:rPr>
          <w:rFonts w:ascii="Arial" w:hAnsi="Arial" w:cs="Arial"/>
          <w:b/>
          <w:sz w:val="24"/>
          <w:szCs w:val="24"/>
        </w:rPr>
        <w:t>e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="00B05434" w:rsidRPr="003A4FCA">
        <w:rPr>
          <w:rFonts w:ascii="Arial" w:hAnsi="Arial" w:cs="Arial"/>
          <w:b/>
          <w:sz w:val="24"/>
          <w:szCs w:val="24"/>
        </w:rPr>
        <w:t>S</w:t>
      </w:r>
      <w:r w:rsidRPr="003A4FCA">
        <w:rPr>
          <w:rFonts w:ascii="Arial" w:hAnsi="Arial" w:cs="Arial"/>
          <w:b/>
          <w:sz w:val="24"/>
          <w:szCs w:val="24"/>
        </w:rPr>
        <w:t>mlouv</w:t>
      </w:r>
      <w:r w:rsidR="00B05434" w:rsidRPr="003A4FCA">
        <w:rPr>
          <w:rFonts w:ascii="Arial" w:hAnsi="Arial" w:cs="Arial"/>
          <w:b/>
          <w:sz w:val="24"/>
          <w:szCs w:val="24"/>
        </w:rPr>
        <w:t>a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="00B05434" w:rsidRPr="003A4FCA">
        <w:rPr>
          <w:rFonts w:ascii="Arial" w:hAnsi="Arial" w:cs="Arial"/>
          <w:b/>
          <w:sz w:val="24"/>
          <w:szCs w:val="24"/>
        </w:rPr>
        <w:t xml:space="preserve">uzavírána </w:t>
      </w:r>
      <w:r w:rsidRPr="003A4FCA">
        <w:rPr>
          <w:rFonts w:ascii="Arial" w:hAnsi="Arial" w:cs="Arial"/>
          <w:b/>
          <w:sz w:val="24"/>
          <w:szCs w:val="24"/>
        </w:rPr>
        <w:t>elektronicky</w:t>
      </w:r>
      <w:r w:rsidR="00B05434" w:rsidRPr="003A4FCA">
        <w:rPr>
          <w:rFonts w:ascii="Arial" w:hAnsi="Arial" w:cs="Arial"/>
          <w:b/>
          <w:sz w:val="24"/>
          <w:szCs w:val="24"/>
        </w:rPr>
        <w:t xml:space="preserve"> </w:t>
      </w:r>
      <w:r w:rsidR="00B05434" w:rsidRPr="003A4FCA">
        <w:rPr>
          <w:rFonts w:ascii="Arial" w:hAnsi="Arial" w:cs="Arial"/>
          <w:sz w:val="24"/>
          <w:szCs w:val="24"/>
        </w:rPr>
        <w:t>– viz odst. 11.1</w:t>
      </w:r>
      <w:r w:rsidR="00AC1C5C" w:rsidRPr="003A4FCA">
        <w:rPr>
          <w:rFonts w:ascii="Arial" w:hAnsi="Arial" w:cs="Arial"/>
          <w:sz w:val="24"/>
          <w:szCs w:val="24"/>
        </w:rPr>
        <w:t>7</w:t>
      </w:r>
      <w:r w:rsidRPr="003A4FCA">
        <w:rPr>
          <w:rFonts w:ascii="Arial" w:hAnsi="Arial" w:cs="Arial"/>
          <w:sz w:val="24"/>
          <w:szCs w:val="24"/>
        </w:rPr>
        <w:t>.</w:t>
      </w:r>
      <w:r w:rsidR="00A5048A" w:rsidRPr="003A4FCA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3A4FCA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</w:t>
      </w:r>
      <w:r w:rsidR="00CD1DE7" w:rsidRPr="003A4FCA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3A4FCA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elektronicky datovou schránkou</w:t>
      </w:r>
      <w:r w:rsidRPr="003A4FCA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3A4FCA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3A4FCA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3A4FCA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3A4FCA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osobním doručením </w:t>
      </w:r>
      <w:r w:rsidRPr="003A4FCA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3A4FCA">
        <w:rPr>
          <w:rFonts w:ascii="Arial" w:hAnsi="Arial" w:cs="Arial"/>
          <w:sz w:val="24"/>
          <w:szCs w:val="24"/>
        </w:rPr>
        <w:t>1191/</w:t>
      </w:r>
      <w:r w:rsidRPr="003A4FCA">
        <w:rPr>
          <w:rFonts w:ascii="Arial" w:hAnsi="Arial" w:cs="Arial"/>
          <w:sz w:val="24"/>
          <w:szCs w:val="24"/>
        </w:rPr>
        <w:t xml:space="preserve">40a, </w:t>
      </w:r>
      <w:r w:rsidR="00B63F11" w:rsidRPr="003A4FCA">
        <w:rPr>
          <w:rFonts w:ascii="Arial" w:hAnsi="Arial" w:cs="Arial"/>
          <w:sz w:val="24"/>
          <w:szCs w:val="24"/>
        </w:rPr>
        <w:t xml:space="preserve">779 00 </w:t>
      </w:r>
      <w:r w:rsidR="00751B64" w:rsidRPr="003A4FCA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3A4FCA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nebo</w:t>
      </w:r>
    </w:p>
    <w:p w14:paraId="13815598" w14:textId="64A00E15" w:rsidR="005B31B6" w:rsidRPr="003A4FCA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zasláním </w:t>
      </w:r>
      <w:r w:rsidRPr="003A4FCA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</w:t>
      </w:r>
      <w:r w:rsidR="00F42684" w:rsidRPr="003A4FCA">
        <w:rPr>
          <w:rFonts w:ascii="Arial" w:hAnsi="Arial" w:cs="Arial"/>
          <w:sz w:val="24"/>
          <w:szCs w:val="24"/>
        </w:rPr>
        <w:t>Krajský úřad Olomouckého kraje</w:t>
      </w:r>
      <w:r w:rsidR="00F47F68" w:rsidRPr="003A4FCA">
        <w:rPr>
          <w:rFonts w:ascii="Arial" w:hAnsi="Arial" w:cs="Arial"/>
          <w:sz w:val="24"/>
          <w:szCs w:val="24"/>
        </w:rPr>
        <w:t>, Odbor sportu, kultury a památkové péče, Jeremenkova 1191/40a, 779 00 Olomouc</w:t>
      </w:r>
    </w:p>
    <w:p w14:paraId="30961200" w14:textId="77777777" w:rsidR="00F65D97" w:rsidRPr="003A4FCA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nebo</w:t>
      </w:r>
    </w:p>
    <w:p w14:paraId="7D108F5B" w14:textId="2EE39C17" w:rsidR="00543747" w:rsidRPr="003A4FCA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3A4FCA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3A4FCA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3A4FCA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3A4FCA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3A4FCA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3A4FCA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3A4FCA">
        <w:rPr>
          <w:rFonts w:ascii="Arial" w:hAnsi="Arial" w:cs="Arial"/>
          <w:b/>
          <w:sz w:val="24"/>
          <w:szCs w:val="24"/>
        </w:rPr>
        <w:t xml:space="preserve"> </w:t>
      </w:r>
      <w:r w:rsidR="00AE2C4F" w:rsidRPr="003A4FCA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3A4FCA">
        <w:rPr>
          <w:rFonts w:ascii="Arial" w:hAnsi="Arial" w:cs="Arial"/>
          <w:b/>
          <w:sz w:val="24"/>
          <w:szCs w:val="24"/>
        </w:rPr>
        <w:t xml:space="preserve">ve formátu </w:t>
      </w:r>
      <w:r w:rsidRPr="003A4FCA">
        <w:rPr>
          <w:rFonts w:ascii="Arial" w:hAnsi="Arial" w:cs="Arial"/>
          <w:b/>
          <w:sz w:val="24"/>
          <w:szCs w:val="24"/>
        </w:rPr>
        <w:t xml:space="preserve">PDF, </w:t>
      </w:r>
      <w:r w:rsidRPr="003A4FCA">
        <w:rPr>
          <w:rFonts w:ascii="Arial" w:hAnsi="Arial" w:cs="Arial"/>
          <w:sz w:val="24"/>
          <w:szCs w:val="24"/>
        </w:rPr>
        <w:t>která</w:t>
      </w:r>
      <w:r w:rsidR="007B6268" w:rsidRPr="003A4FCA">
        <w:rPr>
          <w:rFonts w:ascii="Arial" w:hAnsi="Arial" w:cs="Arial"/>
          <w:sz w:val="24"/>
          <w:szCs w:val="24"/>
        </w:rPr>
        <w:t xml:space="preserve"> byla vytištěn</w:t>
      </w:r>
      <w:r w:rsidR="003B0AAF" w:rsidRPr="003A4FCA">
        <w:rPr>
          <w:rFonts w:ascii="Arial" w:hAnsi="Arial" w:cs="Arial"/>
          <w:sz w:val="24"/>
          <w:szCs w:val="24"/>
        </w:rPr>
        <w:t>a</w:t>
      </w:r>
      <w:r w:rsidR="007B6268" w:rsidRPr="003A4FCA">
        <w:rPr>
          <w:rFonts w:ascii="Arial" w:hAnsi="Arial" w:cs="Arial"/>
          <w:sz w:val="24"/>
          <w:szCs w:val="24"/>
        </w:rPr>
        <w:t>, podeps</w:t>
      </w:r>
      <w:r w:rsidR="003B0AAF" w:rsidRPr="003A4FCA">
        <w:rPr>
          <w:rFonts w:ascii="Arial" w:hAnsi="Arial" w:cs="Arial"/>
          <w:sz w:val="24"/>
          <w:szCs w:val="24"/>
        </w:rPr>
        <w:t>ána</w:t>
      </w:r>
      <w:r w:rsidR="007B6268" w:rsidRPr="003A4FCA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3A4FCA">
        <w:rPr>
          <w:rFonts w:ascii="Arial" w:hAnsi="Arial" w:cs="Arial"/>
          <w:sz w:val="24"/>
          <w:szCs w:val="24"/>
        </w:rPr>
        <w:t>á</w:t>
      </w:r>
      <w:r w:rsidR="007B6268" w:rsidRPr="003A4FCA">
        <w:rPr>
          <w:rFonts w:ascii="Arial" w:hAnsi="Arial" w:cs="Arial"/>
          <w:sz w:val="24"/>
          <w:szCs w:val="24"/>
        </w:rPr>
        <w:t>n</w:t>
      </w:r>
      <w:r w:rsidR="003B0AAF" w:rsidRPr="003A4FCA">
        <w:rPr>
          <w:rFonts w:ascii="Arial" w:hAnsi="Arial" w:cs="Arial"/>
          <w:sz w:val="24"/>
          <w:szCs w:val="24"/>
        </w:rPr>
        <w:t xml:space="preserve">a. </w:t>
      </w:r>
      <w:r w:rsidR="00CE3EBF" w:rsidRPr="003A4FCA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3A4FCA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3A4FCA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901346" w:rsidRPr="003A4FCA">
        <w:rPr>
          <w:rFonts w:ascii="Arial" w:hAnsi="Arial" w:cs="Arial"/>
          <w:b/>
          <w:sz w:val="24"/>
          <w:szCs w:val="24"/>
        </w:rPr>
        <w:t>5</w:t>
      </w:r>
      <w:r w:rsidR="00CE3EBF" w:rsidRPr="003A4FCA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3A4FCA" w:rsidRDefault="00543747" w:rsidP="00543747">
      <w:pPr>
        <w:rPr>
          <w:sz w:val="24"/>
          <w:szCs w:val="24"/>
        </w:rPr>
      </w:pPr>
    </w:p>
    <w:p w14:paraId="06C86E53" w14:textId="52B76AAA" w:rsidR="006404FC" w:rsidRPr="003A4FCA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4" w:name="vyplněnáDoručenáŽádost"/>
      <w:bookmarkEnd w:id="14"/>
      <w:r w:rsidRPr="003A4FC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3A4FC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3A4FCA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A4FCA">
        <w:rPr>
          <w:rFonts w:ascii="Arial" w:hAnsi="Arial" w:cs="Arial"/>
          <w:sz w:val="24"/>
          <w:szCs w:val="24"/>
        </w:rPr>
        <w:t>,</w:t>
      </w:r>
    </w:p>
    <w:p w14:paraId="4205FCD5" w14:textId="6A6E8504" w:rsidR="00691685" w:rsidRPr="003A4FC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A4FCA">
        <w:rPr>
          <w:rFonts w:ascii="Arial" w:hAnsi="Arial" w:cs="Arial"/>
          <w:sz w:val="24"/>
          <w:szCs w:val="24"/>
        </w:rPr>
        <w:t>,</w:t>
      </w:r>
      <w:r w:rsidRPr="003A4FC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r w:rsidR="00315F2E" w:rsidRPr="003A4FCA">
        <w:rPr>
          <w:rFonts w:ascii="Arial" w:hAnsi="Arial" w:cs="Arial"/>
          <w:sz w:val="24"/>
          <w:szCs w:val="24"/>
        </w:rPr>
        <w:t>doloží všechny právnické osoby;</w:t>
      </w:r>
    </w:p>
    <w:p w14:paraId="7AC15E1A" w14:textId="7407C08F" w:rsidR="00691685" w:rsidRPr="003A4FCA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3A4FCA">
        <w:rPr>
          <w:rFonts w:ascii="Arial" w:hAnsi="Arial" w:cs="Arial"/>
          <w:sz w:val="24"/>
          <w:szCs w:val="24"/>
        </w:rPr>
        <w:t xml:space="preserve"> </w:t>
      </w:r>
      <w:r w:rsidR="00BA36B7" w:rsidRPr="003A4FCA">
        <w:rPr>
          <w:rFonts w:ascii="Arial" w:hAnsi="Arial" w:cs="Arial"/>
          <w:sz w:val="24"/>
          <w:szCs w:val="24"/>
        </w:rPr>
        <w:t>obce o </w:t>
      </w:r>
      <w:r w:rsidRPr="003A4FCA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3A4FC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134F4C5" w:rsidR="00691685" w:rsidRPr="003A4FC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="00315F2E" w:rsidRPr="003A4FCA">
        <w:rPr>
          <w:rFonts w:ascii="Arial" w:hAnsi="Arial" w:cs="Arial"/>
          <w:sz w:val="24"/>
          <w:szCs w:val="24"/>
        </w:rPr>
        <w:t>,</w:t>
      </w:r>
    </w:p>
    <w:p w14:paraId="4C46C311" w14:textId="77777777" w:rsidR="00901346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prostá kopie dokladu o zřízení běžného účtu zřizovatele (např. prostá kopie smlouvy o zřízení běžného účtu nebo potvrzení banky o zřízení běžného účtu – doloží pouze právnické osoby, které jsou příspěvkovými organizacemi),</w:t>
      </w:r>
    </w:p>
    <w:p w14:paraId="51B64508" w14:textId="77777777" w:rsidR="00901346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A4FC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58832649" w14:textId="77777777" w:rsidR="00901346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přehled poskytnutých dotací – viz Příloha č. 1 žádosti,</w:t>
      </w:r>
    </w:p>
    <w:p w14:paraId="3A60AB51" w14:textId="77777777" w:rsidR="00901346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čestné prohlášení žadatele – právnické osoby – viz Příloha č. 2 žádosti,</w:t>
      </w:r>
    </w:p>
    <w:p w14:paraId="29991260" w14:textId="77777777" w:rsidR="00901346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čestné prohlášení žadatele o struktuře členské základny spolku nebo organizace – viz Příloha č. 3 žádosti,</w:t>
      </w:r>
    </w:p>
    <w:p w14:paraId="74A6C3C4" w14:textId="4276D123" w:rsidR="00B33F02" w:rsidRPr="003A4FCA" w:rsidRDefault="00901346" w:rsidP="009013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3A4FCA">
        <w:rPr>
          <w:rFonts w:ascii="Arial" w:hAnsi="Arial" w:cs="Arial"/>
          <w:sz w:val="24"/>
          <w:szCs w:val="24"/>
        </w:rPr>
        <w:t>rozpočet celkových předpokl</w:t>
      </w:r>
      <w:r w:rsidR="00FC5ED4">
        <w:rPr>
          <w:rFonts w:ascii="Arial" w:hAnsi="Arial" w:cs="Arial"/>
          <w:sz w:val="24"/>
          <w:szCs w:val="24"/>
        </w:rPr>
        <w:t xml:space="preserve">ádaných uznatelných výdajů </w:t>
      </w:r>
      <w:r w:rsidRPr="003A4FCA">
        <w:rPr>
          <w:rFonts w:ascii="Arial" w:hAnsi="Arial" w:cs="Arial"/>
          <w:sz w:val="24"/>
          <w:szCs w:val="24"/>
        </w:rPr>
        <w:t>činnosti – viz Příloha č. 4 žádosti,</w:t>
      </w:r>
      <w:r w:rsidR="00BF07C3" w:rsidRPr="003A4FCA">
        <w:rPr>
          <w:rFonts w:ascii="Arial" w:hAnsi="Arial" w:cs="Arial"/>
          <w:i/>
          <w:sz w:val="24"/>
          <w:szCs w:val="24"/>
        </w:rPr>
        <w:t xml:space="preserve"> </w:t>
      </w:r>
    </w:p>
    <w:p w14:paraId="17216F78" w14:textId="77777777" w:rsidR="00BD553A" w:rsidRPr="003A4FCA" w:rsidRDefault="00BD553A" w:rsidP="006404FC">
      <w:pPr>
        <w:ind w:left="1058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F56F5EB" w14:textId="77777777" w:rsidR="00691685" w:rsidRPr="003A4FC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vyřazenížádosti"/>
      <w:bookmarkEnd w:id="15"/>
      <w:proofErr w:type="gramStart"/>
      <w:r w:rsidRPr="003A4FCA">
        <w:rPr>
          <w:rFonts w:ascii="Arial" w:hAnsi="Arial" w:cs="Arial"/>
          <w:sz w:val="24"/>
          <w:szCs w:val="24"/>
        </w:rPr>
        <w:t>Administrátor</w:t>
      </w:r>
      <w:proofErr w:type="gramEnd"/>
      <w:r w:rsidRPr="003A4FC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3A4FCA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7254D347" w:rsidR="00691685" w:rsidRPr="003A4FCA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nebudou </w:t>
      </w:r>
      <w:r w:rsidRPr="003A4FCA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3A4FCA">
        <w:rPr>
          <w:rFonts w:ascii="Arial" w:hAnsi="Arial" w:cs="Arial"/>
          <w:b/>
          <w:sz w:val="24"/>
          <w:szCs w:val="24"/>
        </w:rPr>
        <w:t>a odeslány</w:t>
      </w:r>
      <w:r w:rsidR="009D6A63"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3A4FCA">
        <w:rPr>
          <w:rFonts w:ascii="Arial" w:hAnsi="Arial" w:cs="Arial"/>
          <w:sz w:val="24"/>
          <w:szCs w:val="24"/>
        </w:rPr>
        <w:t>8.2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3A4FCA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A4FCA">
        <w:rPr>
          <w:rFonts w:ascii="Arial" w:hAnsi="Arial" w:cs="Arial"/>
          <w:b/>
          <w:sz w:val="24"/>
          <w:szCs w:val="24"/>
        </w:rPr>
        <w:t xml:space="preserve"> a </w:t>
      </w:r>
      <w:r w:rsidRPr="003A4FCA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A4FCA">
        <w:rPr>
          <w:rFonts w:ascii="Arial" w:hAnsi="Arial" w:cs="Arial"/>
          <w:b/>
          <w:sz w:val="24"/>
          <w:szCs w:val="24"/>
        </w:rPr>
        <w:t>doručeny včas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="00006BBB" w:rsidRPr="003A4FCA">
        <w:rPr>
          <w:rFonts w:ascii="Arial" w:hAnsi="Arial" w:cs="Arial"/>
          <w:b/>
          <w:sz w:val="24"/>
          <w:szCs w:val="24"/>
        </w:rPr>
        <w:t>v písemné podobě</w:t>
      </w:r>
      <w:r w:rsidR="00006BBB" w:rsidRPr="003A4FCA">
        <w:rPr>
          <w:rFonts w:ascii="Arial" w:hAnsi="Arial" w:cs="Arial"/>
          <w:sz w:val="24"/>
          <w:szCs w:val="24"/>
        </w:rPr>
        <w:t xml:space="preserve"> </w:t>
      </w:r>
      <w:r w:rsidR="00901346" w:rsidRPr="003A4FCA">
        <w:rPr>
          <w:rFonts w:ascii="Arial" w:hAnsi="Arial" w:cs="Arial"/>
          <w:b/>
          <w:sz w:val="24"/>
          <w:szCs w:val="24"/>
        </w:rPr>
        <w:t xml:space="preserve">opatřené PID (čárovým kódem) </w:t>
      </w:r>
      <w:r w:rsidRPr="003A4FCA">
        <w:rPr>
          <w:rFonts w:ascii="Arial" w:hAnsi="Arial" w:cs="Arial"/>
          <w:sz w:val="24"/>
          <w:szCs w:val="24"/>
        </w:rPr>
        <w:t xml:space="preserve">dle lhůty </w:t>
      </w:r>
      <w:r w:rsidR="00855DDD" w:rsidRPr="003A4FCA">
        <w:rPr>
          <w:rFonts w:ascii="Arial" w:hAnsi="Arial" w:cs="Arial"/>
          <w:sz w:val="24"/>
          <w:szCs w:val="24"/>
        </w:rPr>
        <w:t xml:space="preserve">a způsobem </w:t>
      </w:r>
      <w:r w:rsidRPr="003A4FCA">
        <w:rPr>
          <w:rFonts w:ascii="Arial" w:hAnsi="Arial" w:cs="Arial"/>
          <w:sz w:val="24"/>
          <w:szCs w:val="24"/>
        </w:rPr>
        <w:t>podání žádosti uveden</w:t>
      </w:r>
      <w:r w:rsidR="00AC0BD1" w:rsidRPr="003A4FCA">
        <w:rPr>
          <w:rFonts w:ascii="Arial" w:hAnsi="Arial" w:cs="Arial"/>
          <w:sz w:val="24"/>
          <w:szCs w:val="24"/>
        </w:rPr>
        <w:t>ým</w:t>
      </w:r>
      <w:r w:rsidRPr="003A4FCA">
        <w:rPr>
          <w:rFonts w:ascii="Arial" w:hAnsi="Arial" w:cs="Arial"/>
          <w:sz w:val="24"/>
          <w:szCs w:val="24"/>
        </w:rPr>
        <w:t xml:space="preserve"> v odst. </w:t>
      </w:r>
      <w:r w:rsidR="00C5488B" w:rsidRPr="003A4FCA">
        <w:rPr>
          <w:rFonts w:ascii="Arial" w:hAnsi="Arial" w:cs="Arial"/>
          <w:sz w:val="24"/>
          <w:szCs w:val="24"/>
        </w:rPr>
        <w:t>8.</w:t>
      </w:r>
      <w:r w:rsidR="00006BBB" w:rsidRPr="003A4FCA">
        <w:rPr>
          <w:rFonts w:ascii="Arial" w:hAnsi="Arial" w:cs="Arial"/>
          <w:sz w:val="24"/>
          <w:szCs w:val="24"/>
        </w:rPr>
        <w:t>3</w:t>
      </w:r>
      <w:r w:rsidR="00FB6BCF" w:rsidRPr="003A4FCA">
        <w:rPr>
          <w:rFonts w:ascii="Arial" w:hAnsi="Arial" w:cs="Arial"/>
          <w:sz w:val="24"/>
          <w:szCs w:val="24"/>
        </w:rPr>
        <w:t xml:space="preserve">, nebo </w:t>
      </w:r>
    </w:p>
    <w:p w14:paraId="4613407B" w14:textId="3E0F87EE" w:rsidR="008617FB" w:rsidRPr="003A4FC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315F2E" w:rsidRPr="003A4FCA">
        <w:rPr>
          <w:rFonts w:ascii="Arial" w:hAnsi="Arial" w:cs="Arial"/>
          <w:sz w:val="24"/>
          <w:szCs w:val="24"/>
        </w:rPr>
        <w:t xml:space="preserve">programu v daném kalendářním roce; </w:t>
      </w:r>
      <w:r w:rsidRPr="003A4FCA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3A4FCA">
        <w:rPr>
          <w:rFonts w:ascii="Arial" w:hAnsi="Arial" w:cs="Arial"/>
          <w:sz w:val="24"/>
          <w:szCs w:val="24"/>
        </w:rPr>
        <w:t>5.3, nebo</w:t>
      </w:r>
    </w:p>
    <w:p w14:paraId="0C96174D" w14:textId="3A347282" w:rsidR="006C6B32" w:rsidRDefault="009800DF" w:rsidP="00332CA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budou podány ž</w:t>
      </w:r>
      <w:r w:rsidR="005F4783" w:rsidRPr="003A4FCA">
        <w:rPr>
          <w:rFonts w:ascii="Arial" w:hAnsi="Arial" w:cs="Arial"/>
          <w:sz w:val="24"/>
          <w:szCs w:val="24"/>
        </w:rPr>
        <w:t>adatel</w:t>
      </w:r>
      <w:r w:rsidRPr="003A4FCA">
        <w:rPr>
          <w:rFonts w:ascii="Arial" w:hAnsi="Arial" w:cs="Arial"/>
          <w:sz w:val="24"/>
          <w:szCs w:val="24"/>
        </w:rPr>
        <w:t xml:space="preserve">em, který </w:t>
      </w:r>
      <w:r w:rsidR="005F4783" w:rsidRPr="003A4FC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3A4FCA">
        <w:rPr>
          <w:rFonts w:ascii="Arial" w:hAnsi="Arial" w:cs="Arial"/>
          <w:sz w:val="24"/>
          <w:szCs w:val="24"/>
        </w:rPr>
        <w:t xml:space="preserve">v </w:t>
      </w:r>
      <w:r w:rsidR="005F4783" w:rsidRPr="003A4FC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A4FCA">
          <w:rPr>
            <w:rFonts w:ascii="Arial" w:hAnsi="Arial" w:cs="Arial"/>
            <w:sz w:val="24"/>
            <w:szCs w:val="24"/>
          </w:rPr>
          <w:t>3</w:t>
        </w:r>
      </w:hyperlink>
      <w:r w:rsidR="00315F2E" w:rsidRPr="003A4FCA">
        <w:rPr>
          <w:rFonts w:ascii="Arial" w:hAnsi="Arial" w:cs="Arial"/>
          <w:sz w:val="24"/>
          <w:szCs w:val="24"/>
        </w:rPr>
        <w:t>.</w:t>
      </w:r>
    </w:p>
    <w:p w14:paraId="0919C8F6" w14:textId="77777777" w:rsidR="0021701C" w:rsidRPr="003A4FCA" w:rsidRDefault="0021701C" w:rsidP="0021701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24"/>
          <w:szCs w:val="24"/>
        </w:rPr>
      </w:pPr>
    </w:p>
    <w:p w14:paraId="13F840FB" w14:textId="282B6CB4" w:rsidR="00404E6A" w:rsidRPr="00404E6A" w:rsidRDefault="00404E6A" w:rsidP="00404E6A">
      <w:pPr>
        <w:ind w:left="708" w:firstLine="0"/>
        <w:rPr>
          <w:rFonts w:ascii="Arial" w:hAnsi="Arial" w:cs="Arial"/>
          <w:sz w:val="24"/>
          <w:szCs w:val="24"/>
        </w:rPr>
      </w:pPr>
      <w:r w:rsidRPr="00404E6A">
        <w:rPr>
          <w:rFonts w:ascii="Arial" w:hAnsi="Arial" w:cs="Arial"/>
          <w:sz w:val="24"/>
          <w:szCs w:val="24"/>
        </w:rPr>
        <w:t xml:space="preserve">O vyřazení žádosti bude žadatel vyrozuměn administrátorem na email uvedený v žádosti ihned po zjištění nedostatků, viz písm. a) až </w:t>
      </w:r>
      <w:r>
        <w:rPr>
          <w:rFonts w:ascii="Arial" w:hAnsi="Arial" w:cs="Arial"/>
          <w:sz w:val="24"/>
          <w:szCs w:val="24"/>
        </w:rPr>
        <w:t>c</w:t>
      </w:r>
      <w:r w:rsidRPr="00404E6A">
        <w:rPr>
          <w:rFonts w:ascii="Arial" w:hAnsi="Arial" w:cs="Arial"/>
          <w:sz w:val="24"/>
          <w:szCs w:val="24"/>
        </w:rPr>
        <w:t>).</w:t>
      </w:r>
    </w:p>
    <w:p w14:paraId="1E029362" w14:textId="77777777" w:rsidR="00663ABC" w:rsidRPr="003A4FCA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53C4D065" w:rsidR="00691685" w:rsidRPr="003A4FC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6" w:name="Doplněnížádosti"/>
      <w:bookmarkEnd w:id="16"/>
      <w:r w:rsidRPr="003A4FC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A4FCA">
        <w:rPr>
          <w:rFonts w:ascii="Arial" w:hAnsi="Arial" w:cs="Arial"/>
          <w:sz w:val="24"/>
          <w:szCs w:val="24"/>
        </w:rPr>
        <w:t xml:space="preserve"> 8.5</w:t>
      </w:r>
      <w:r w:rsidRPr="003A4FCA">
        <w:rPr>
          <w:rFonts w:ascii="Arial" w:hAnsi="Arial" w:cs="Arial"/>
          <w:sz w:val="24"/>
          <w:szCs w:val="24"/>
        </w:rPr>
        <w:t>,</w:t>
      </w:r>
      <w:r w:rsidR="00E357A6"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 xml:space="preserve">avšak nesplňuje ostatní </w:t>
      </w:r>
      <w:r w:rsidRPr="003A4FCA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A4FCA">
        <w:rPr>
          <w:rFonts w:ascii="Arial" w:hAnsi="Arial" w:cs="Arial"/>
          <w:sz w:val="24"/>
          <w:szCs w:val="24"/>
        </w:rPr>
        <w:t xml:space="preserve">vyzve administrátor </w:t>
      </w:r>
      <w:r w:rsidRPr="003A4FCA">
        <w:rPr>
          <w:rFonts w:ascii="Arial" w:hAnsi="Arial" w:cs="Arial"/>
          <w:sz w:val="24"/>
          <w:szCs w:val="24"/>
        </w:rPr>
        <w:lastRenderedPageBreak/>
        <w:t xml:space="preserve">žadatele, aby nedostatky </w:t>
      </w:r>
      <w:r w:rsidR="0000439B" w:rsidRPr="003A4FCA">
        <w:rPr>
          <w:rFonts w:ascii="Arial" w:hAnsi="Arial" w:cs="Arial"/>
          <w:sz w:val="24"/>
          <w:szCs w:val="24"/>
        </w:rPr>
        <w:t>napravil, a upozorní</w:t>
      </w:r>
      <w:r w:rsidRPr="003A4FC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A4FCA">
        <w:rPr>
          <w:rFonts w:ascii="Arial" w:hAnsi="Arial" w:cs="Arial"/>
          <w:b/>
          <w:sz w:val="24"/>
          <w:szCs w:val="24"/>
        </w:rPr>
        <w:t>do</w:t>
      </w:r>
      <w:r w:rsidR="00D55E98" w:rsidRPr="003A4FCA">
        <w:rPr>
          <w:rFonts w:ascii="Arial" w:hAnsi="Arial" w:cs="Arial"/>
          <w:b/>
          <w:sz w:val="24"/>
          <w:szCs w:val="24"/>
        </w:rPr>
        <w:t xml:space="preserve"> </w:t>
      </w:r>
      <w:r w:rsidR="00901346" w:rsidRPr="003A4FCA">
        <w:rPr>
          <w:rFonts w:ascii="Arial" w:hAnsi="Arial" w:cs="Arial"/>
          <w:b/>
          <w:sz w:val="24"/>
          <w:szCs w:val="24"/>
        </w:rPr>
        <w:t>7</w:t>
      </w:r>
      <w:r w:rsidRPr="003A4FCA">
        <w:rPr>
          <w:rFonts w:ascii="Arial" w:hAnsi="Arial" w:cs="Arial"/>
          <w:b/>
          <w:sz w:val="24"/>
          <w:szCs w:val="24"/>
        </w:rPr>
        <w:t> kalendářních dnů</w:t>
      </w:r>
      <w:r w:rsidRPr="003A4FCA">
        <w:rPr>
          <w:rFonts w:ascii="Arial" w:hAnsi="Arial" w:cs="Arial"/>
          <w:sz w:val="24"/>
          <w:szCs w:val="24"/>
        </w:rPr>
        <w:t xml:space="preserve"> ode dne upozornění, </w:t>
      </w:r>
      <w:r w:rsidRPr="003A4FCA">
        <w:rPr>
          <w:rFonts w:ascii="Arial" w:hAnsi="Arial" w:cs="Arial"/>
          <w:b/>
          <w:sz w:val="24"/>
          <w:szCs w:val="24"/>
        </w:rPr>
        <w:t>bude vyřazena z dalšího posuzování</w:t>
      </w:r>
      <w:r w:rsidRPr="003A4FC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3A4FC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D2362F6" w:rsidR="003F1770" w:rsidRPr="003A4FCA" w:rsidRDefault="00BB0A8A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Výzva k nápravě nedostatků bude žadateli zaslána neprodleně po zjištění nedostatků, a to e-mailem na adresu žadatele uvedenou v žádosti.</w:t>
      </w:r>
    </w:p>
    <w:p w14:paraId="54E1E524" w14:textId="77777777" w:rsidR="00D55E98" w:rsidRPr="003A4FCA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3A4FC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3A4FCA">
        <w:rPr>
          <w:rFonts w:ascii="Arial" w:hAnsi="Arial" w:cs="Arial"/>
          <w:sz w:val="24"/>
          <w:szCs w:val="24"/>
        </w:rPr>
        <w:t>ádostí o dotace) se zakládají u </w:t>
      </w:r>
      <w:r w:rsidRPr="003A4FC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387E4D5D" w:rsidR="000E6014" w:rsidRPr="003A4FC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3A4FC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7" w:name="AdministraceŽád"/>
      <w:bookmarkEnd w:id="17"/>
      <w:r w:rsidRPr="003A4FC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3A4FC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A1DE5BE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3A4FCA">
        <w:rPr>
          <w:rFonts w:ascii="Arial" w:hAnsi="Arial" w:cs="Arial"/>
          <w:bCs/>
          <w:sz w:val="24"/>
          <w:szCs w:val="24"/>
        </w:rPr>
        <w:t>í jejich formální náležitosti a </w:t>
      </w:r>
      <w:r w:rsidRPr="003A4FC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3A4FCA">
        <w:rPr>
          <w:rFonts w:ascii="Arial" w:hAnsi="Arial" w:cs="Arial"/>
          <w:bCs/>
          <w:sz w:val="24"/>
          <w:szCs w:val="24"/>
        </w:rPr>
        <w:t>programu</w:t>
      </w:r>
      <w:r w:rsidRPr="003A4FC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A4FCA">
        <w:rPr>
          <w:rFonts w:ascii="Arial" w:hAnsi="Arial" w:cs="Arial"/>
          <w:bCs/>
          <w:sz w:val="24"/>
          <w:szCs w:val="24"/>
        </w:rPr>
        <w:t>programu</w:t>
      </w:r>
      <w:r w:rsidRPr="003A4FC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3A4FC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3A4FC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A4FCA">
        <w:rPr>
          <w:rFonts w:ascii="Arial" w:hAnsi="Arial" w:cs="Arial"/>
          <w:bCs/>
          <w:sz w:val="24"/>
          <w:szCs w:val="24"/>
        </w:rPr>
        <w:t>8.6</w:t>
      </w:r>
      <w:r w:rsidRPr="003A4FCA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3A4FC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AE99438" w:rsidR="00C03457" w:rsidRPr="003A4FC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A4FCA">
        <w:rPr>
          <w:rFonts w:ascii="Arial" w:hAnsi="Arial" w:cs="Arial"/>
          <w:b/>
          <w:sz w:val="24"/>
          <w:szCs w:val="24"/>
        </w:rPr>
        <w:t>p</w:t>
      </w:r>
      <w:r w:rsidRPr="003A4FC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A4FCA">
        <w:rPr>
          <w:rFonts w:ascii="Arial" w:hAnsi="Arial" w:cs="Arial"/>
          <w:b/>
          <w:sz w:val="24"/>
          <w:szCs w:val="24"/>
        </w:rPr>
        <w:t>programu</w:t>
      </w:r>
      <w:r w:rsidR="001E2BC0" w:rsidRPr="003A4FCA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3A4FC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3A4FC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3A4FCA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6AF74013" w:rsidR="00691685" w:rsidRPr="003A4FCA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6703"/>
        <w:gridCol w:w="1834"/>
      </w:tblGrid>
      <w:tr w:rsidR="003A4FCA" w:rsidRPr="003A4FCA" w14:paraId="2D341211" w14:textId="77777777" w:rsidTr="001D45C5">
        <w:trPr>
          <w:jc w:val="center"/>
        </w:trPr>
        <w:tc>
          <w:tcPr>
            <w:tcW w:w="523" w:type="dxa"/>
          </w:tcPr>
          <w:p w14:paraId="0FDD18F8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703" w:type="dxa"/>
          </w:tcPr>
          <w:p w14:paraId="3013AD2C" w14:textId="12FA8B41" w:rsidR="00BB0A8A" w:rsidRPr="003A4FCA" w:rsidRDefault="00BB0A8A" w:rsidP="00B250E9">
            <w:pPr>
              <w:ind w:left="8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Dlouhodobá a systematická práce žadatele v</w:t>
            </w:r>
            <w:r w:rsidR="00B250E9">
              <w:rPr>
                <w:rFonts w:ascii="Arial" w:hAnsi="Arial" w:cs="Arial"/>
                <w:b/>
                <w:sz w:val="24"/>
                <w:szCs w:val="24"/>
              </w:rPr>
              <w:t> podporovaném projektu</w:t>
            </w:r>
          </w:p>
        </w:tc>
        <w:tc>
          <w:tcPr>
            <w:tcW w:w="1834" w:type="dxa"/>
          </w:tcPr>
          <w:p w14:paraId="7DE74AF8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3A4FCA" w:rsidRPr="003A4FCA" w14:paraId="46A5B428" w14:textId="77777777" w:rsidTr="001D45C5">
        <w:trPr>
          <w:jc w:val="center"/>
        </w:trPr>
        <w:tc>
          <w:tcPr>
            <w:tcW w:w="523" w:type="dxa"/>
          </w:tcPr>
          <w:p w14:paraId="41A5E753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14A82A21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25 a více let.</w:t>
            </w:r>
          </w:p>
        </w:tc>
        <w:tc>
          <w:tcPr>
            <w:tcW w:w="1834" w:type="dxa"/>
            <w:vAlign w:val="center"/>
          </w:tcPr>
          <w:p w14:paraId="1264F8B3" w14:textId="5A5EAD0B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4FCA" w:rsidRPr="003A4FCA" w14:paraId="1483BEA8" w14:textId="77777777" w:rsidTr="001D45C5">
        <w:trPr>
          <w:jc w:val="center"/>
        </w:trPr>
        <w:tc>
          <w:tcPr>
            <w:tcW w:w="523" w:type="dxa"/>
          </w:tcPr>
          <w:p w14:paraId="5DFD4729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89FC78F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20 - 24 let.</w:t>
            </w:r>
          </w:p>
        </w:tc>
        <w:tc>
          <w:tcPr>
            <w:tcW w:w="1834" w:type="dxa"/>
            <w:vAlign w:val="center"/>
          </w:tcPr>
          <w:p w14:paraId="04B7A6B9" w14:textId="06B8349F" w:rsidR="00BB0A8A" w:rsidRPr="003A4FCA" w:rsidRDefault="00BB0A8A" w:rsidP="00CF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A4FCA" w:rsidRPr="003A4FCA" w14:paraId="54A8B720" w14:textId="77777777" w:rsidTr="001D45C5">
        <w:trPr>
          <w:jc w:val="center"/>
        </w:trPr>
        <w:tc>
          <w:tcPr>
            <w:tcW w:w="523" w:type="dxa"/>
          </w:tcPr>
          <w:p w14:paraId="1D35F665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A3A3F7B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15 - 19 let.</w:t>
            </w:r>
          </w:p>
        </w:tc>
        <w:tc>
          <w:tcPr>
            <w:tcW w:w="1834" w:type="dxa"/>
            <w:vAlign w:val="center"/>
          </w:tcPr>
          <w:p w14:paraId="67A233C3" w14:textId="75065216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3A4FCA" w:rsidRPr="003A4FCA" w14:paraId="1D7967C5" w14:textId="77777777" w:rsidTr="001D45C5">
        <w:trPr>
          <w:jc w:val="center"/>
        </w:trPr>
        <w:tc>
          <w:tcPr>
            <w:tcW w:w="523" w:type="dxa"/>
          </w:tcPr>
          <w:p w14:paraId="6786270E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0953B86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10 - 14 let.</w:t>
            </w:r>
          </w:p>
        </w:tc>
        <w:tc>
          <w:tcPr>
            <w:tcW w:w="1834" w:type="dxa"/>
            <w:vAlign w:val="center"/>
          </w:tcPr>
          <w:p w14:paraId="18194BB0" w14:textId="1BE220C5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A4FCA" w:rsidRPr="003A4FCA" w14:paraId="53D90166" w14:textId="77777777" w:rsidTr="001D45C5">
        <w:trPr>
          <w:jc w:val="center"/>
        </w:trPr>
        <w:tc>
          <w:tcPr>
            <w:tcW w:w="523" w:type="dxa"/>
          </w:tcPr>
          <w:p w14:paraId="558EB952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F6866F0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7 - 9 let.</w:t>
            </w:r>
          </w:p>
        </w:tc>
        <w:tc>
          <w:tcPr>
            <w:tcW w:w="1834" w:type="dxa"/>
            <w:vAlign w:val="center"/>
          </w:tcPr>
          <w:p w14:paraId="4341F176" w14:textId="31E5687C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A4FCA" w:rsidRPr="003A4FCA" w14:paraId="7126DD8B" w14:textId="77777777" w:rsidTr="001D45C5">
        <w:trPr>
          <w:jc w:val="center"/>
        </w:trPr>
        <w:tc>
          <w:tcPr>
            <w:tcW w:w="523" w:type="dxa"/>
          </w:tcPr>
          <w:p w14:paraId="47179579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703" w:type="dxa"/>
          </w:tcPr>
          <w:p w14:paraId="6ECE209D" w14:textId="77777777" w:rsidR="00BB0A8A" w:rsidRPr="003A4FCA" w:rsidRDefault="00BB0A8A" w:rsidP="005237C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834" w:type="dxa"/>
          </w:tcPr>
          <w:p w14:paraId="74C6292F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3A4FCA" w:rsidRPr="003A4FCA" w14:paraId="78AE5160" w14:textId="77777777" w:rsidTr="001D45C5">
        <w:trPr>
          <w:jc w:val="center"/>
        </w:trPr>
        <w:tc>
          <w:tcPr>
            <w:tcW w:w="523" w:type="dxa"/>
          </w:tcPr>
          <w:p w14:paraId="7B0E05DE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 w14:paraId="640416E6" w14:textId="77777777" w:rsidR="00BB0A8A" w:rsidRPr="003A4FCA" w:rsidRDefault="00BB0A8A" w:rsidP="005237CE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 xml:space="preserve">Kvalitně připravený projekt. Všechny části projektu jsou zpracovány v dostatečném rozsahu, jednotlivé parametry </w:t>
            </w:r>
            <w:r w:rsidRPr="003A4FCA">
              <w:rPr>
                <w:rFonts w:ascii="Arial" w:hAnsi="Arial" w:cs="Arial"/>
                <w:sz w:val="24"/>
                <w:szCs w:val="24"/>
              </w:rPr>
              <w:lastRenderedPageBreak/>
              <w:t>projektu jsou popsány konkrétně, srozumitelně a tvoří vyvážený celek. Popis projektu obsahuje všechny požadované části.</w:t>
            </w:r>
          </w:p>
        </w:tc>
        <w:tc>
          <w:tcPr>
            <w:tcW w:w="1834" w:type="dxa"/>
            <w:vAlign w:val="center"/>
          </w:tcPr>
          <w:p w14:paraId="0BEF5C23" w14:textId="01B25D72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</w:tr>
      <w:tr w:rsidR="003A4FCA" w:rsidRPr="003A4FCA" w14:paraId="460B797E" w14:textId="77777777" w:rsidTr="001D45C5">
        <w:trPr>
          <w:jc w:val="center"/>
        </w:trPr>
        <w:tc>
          <w:tcPr>
            <w:tcW w:w="523" w:type="dxa"/>
          </w:tcPr>
          <w:p w14:paraId="5274C596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 w14:paraId="64CCF31E" w14:textId="77777777" w:rsidR="00BB0A8A" w:rsidRPr="003A4FCA" w:rsidRDefault="00BB0A8A" w:rsidP="005237CE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Průměrně připravený projekt. Všechny části projektu jsou zpracovány v dostatečném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  <w:vAlign w:val="center"/>
          </w:tcPr>
          <w:p w14:paraId="2597A7C2" w14:textId="16A40257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A4FCA" w:rsidRPr="003A4FCA" w14:paraId="563D9A1E" w14:textId="77777777" w:rsidTr="001D45C5">
        <w:trPr>
          <w:trHeight w:val="1167"/>
          <w:jc w:val="center"/>
        </w:trPr>
        <w:tc>
          <w:tcPr>
            <w:tcW w:w="523" w:type="dxa"/>
          </w:tcPr>
          <w:p w14:paraId="4140C392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 w14:paraId="6C9B87FC" w14:textId="77777777" w:rsidR="00BB0A8A" w:rsidRPr="003A4FCA" w:rsidRDefault="00BB0A8A" w:rsidP="005237CE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  <w:vAlign w:val="center"/>
          </w:tcPr>
          <w:p w14:paraId="25BCC77C" w14:textId="2310385D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4FCA" w:rsidRPr="003A4FCA" w14:paraId="59FEB191" w14:textId="77777777" w:rsidTr="001D45C5">
        <w:trPr>
          <w:jc w:val="center"/>
        </w:trPr>
        <w:tc>
          <w:tcPr>
            <w:tcW w:w="523" w:type="dxa"/>
          </w:tcPr>
          <w:p w14:paraId="144E41F9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703" w:type="dxa"/>
          </w:tcPr>
          <w:p w14:paraId="1945B577" w14:textId="71DC26EA" w:rsidR="00BB0A8A" w:rsidRPr="003A4FCA" w:rsidRDefault="00B250E9" w:rsidP="00B250E9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b/>
                <w:sz w:val="24"/>
                <w:szCs w:val="24"/>
              </w:rPr>
              <w:t>Počet plánovaných představení/koncertů/vystoupení realizovaných v roce 2021</w:t>
            </w:r>
          </w:p>
        </w:tc>
        <w:tc>
          <w:tcPr>
            <w:tcW w:w="1834" w:type="dxa"/>
          </w:tcPr>
          <w:p w14:paraId="224F5F10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3A4FCA" w:rsidRPr="003A4FCA" w14:paraId="02C299E9" w14:textId="77777777" w:rsidTr="001D45C5">
        <w:trPr>
          <w:jc w:val="center"/>
        </w:trPr>
        <w:tc>
          <w:tcPr>
            <w:tcW w:w="523" w:type="dxa"/>
          </w:tcPr>
          <w:p w14:paraId="1AEEEFD4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B735DEC" w14:textId="37D6B7F9" w:rsidR="00BB0A8A" w:rsidRPr="00B250E9" w:rsidRDefault="00B250E9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200 a více představení/koncertů/vystoupení</w:t>
            </w:r>
          </w:p>
        </w:tc>
        <w:tc>
          <w:tcPr>
            <w:tcW w:w="1834" w:type="dxa"/>
          </w:tcPr>
          <w:p w14:paraId="73E712A1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3A4FCA" w:rsidRPr="003A4FCA" w14:paraId="349415EB" w14:textId="77777777" w:rsidTr="001D45C5">
        <w:trPr>
          <w:jc w:val="center"/>
        </w:trPr>
        <w:tc>
          <w:tcPr>
            <w:tcW w:w="523" w:type="dxa"/>
          </w:tcPr>
          <w:p w14:paraId="7E973703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A267737" w14:textId="46FD7DC7" w:rsidR="00BB0A8A" w:rsidRPr="00B250E9" w:rsidRDefault="00B250E9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100–199 představení/koncertů/vystoupení</w:t>
            </w:r>
          </w:p>
        </w:tc>
        <w:tc>
          <w:tcPr>
            <w:tcW w:w="1834" w:type="dxa"/>
          </w:tcPr>
          <w:p w14:paraId="00B82C9C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3A4FCA" w:rsidRPr="003A4FCA" w14:paraId="650E0D63" w14:textId="77777777" w:rsidTr="001D45C5">
        <w:trPr>
          <w:jc w:val="center"/>
        </w:trPr>
        <w:tc>
          <w:tcPr>
            <w:tcW w:w="523" w:type="dxa"/>
          </w:tcPr>
          <w:p w14:paraId="3019A985" w14:textId="77777777" w:rsidR="00BB0A8A" w:rsidRPr="003A4FCA" w:rsidRDefault="00BB0A8A" w:rsidP="0052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3892DCA" w14:textId="70333ECC" w:rsidR="00BB0A8A" w:rsidRPr="00B250E9" w:rsidRDefault="00B250E9" w:rsidP="005237C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0–99 představení/koncertů/vystoupení</w:t>
            </w:r>
          </w:p>
        </w:tc>
        <w:tc>
          <w:tcPr>
            <w:tcW w:w="1834" w:type="dxa"/>
          </w:tcPr>
          <w:p w14:paraId="20AE981B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3A4FCA" w:rsidRPr="003A4FCA" w14:paraId="4831BE39" w14:textId="77777777" w:rsidTr="001D45C5">
        <w:trPr>
          <w:jc w:val="center"/>
        </w:trPr>
        <w:tc>
          <w:tcPr>
            <w:tcW w:w="523" w:type="dxa"/>
          </w:tcPr>
          <w:p w14:paraId="6724770A" w14:textId="77777777" w:rsidR="00BB0A8A" w:rsidRPr="003A4FCA" w:rsidRDefault="00BB0A8A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703" w:type="dxa"/>
          </w:tcPr>
          <w:p w14:paraId="7CF79FEF" w14:textId="7458F4EE" w:rsidR="00BB0A8A" w:rsidRPr="003A4FCA" w:rsidRDefault="00B250E9" w:rsidP="00B250E9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</w:t>
            </w:r>
            <w:r w:rsidRPr="00B250E9">
              <w:rPr>
                <w:rFonts w:ascii="Arial" w:eastAsia="Calibri" w:hAnsi="Arial" w:cs="Arial"/>
                <w:b/>
                <w:sz w:val="24"/>
                <w:szCs w:val="24"/>
              </w:rPr>
              <w:t xml:space="preserve">plánovaných </w:t>
            </w: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představení/koncertů/vystoupení realizovaných v roce 2021 pro děti a mládež</w:t>
            </w:r>
          </w:p>
        </w:tc>
        <w:tc>
          <w:tcPr>
            <w:tcW w:w="1834" w:type="dxa"/>
          </w:tcPr>
          <w:p w14:paraId="42BF83D8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B250E9" w:rsidRPr="003A4FCA" w14:paraId="2D878710" w14:textId="77777777" w:rsidTr="001D45C5">
        <w:trPr>
          <w:jc w:val="center"/>
        </w:trPr>
        <w:tc>
          <w:tcPr>
            <w:tcW w:w="523" w:type="dxa"/>
          </w:tcPr>
          <w:p w14:paraId="375B78DC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B3855D4" w14:textId="3A2DCEF1" w:rsidR="00B250E9" w:rsidRPr="00B250E9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60 a více představení/koncertů/vystoupení</w:t>
            </w:r>
          </w:p>
        </w:tc>
        <w:tc>
          <w:tcPr>
            <w:tcW w:w="1834" w:type="dxa"/>
          </w:tcPr>
          <w:p w14:paraId="4B4191E9" w14:textId="0CB4885D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31 - 50</w:t>
            </w:r>
          </w:p>
        </w:tc>
      </w:tr>
      <w:tr w:rsidR="00B250E9" w:rsidRPr="003A4FCA" w14:paraId="4D032334" w14:textId="77777777" w:rsidTr="001D45C5">
        <w:trPr>
          <w:jc w:val="center"/>
        </w:trPr>
        <w:tc>
          <w:tcPr>
            <w:tcW w:w="523" w:type="dxa"/>
          </w:tcPr>
          <w:p w14:paraId="43554E79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AB053BF" w14:textId="6E188F7A" w:rsidR="00B250E9" w:rsidRPr="00B250E9" w:rsidRDefault="00B250E9" w:rsidP="00B250E9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30–59 představení/koncertů/vystoupení</w:t>
            </w:r>
          </w:p>
        </w:tc>
        <w:tc>
          <w:tcPr>
            <w:tcW w:w="1834" w:type="dxa"/>
          </w:tcPr>
          <w:p w14:paraId="19898D6C" w14:textId="19624D53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11 - 30</w:t>
            </w:r>
          </w:p>
        </w:tc>
      </w:tr>
      <w:tr w:rsidR="00B250E9" w:rsidRPr="003A4FCA" w14:paraId="3898492F" w14:textId="77777777" w:rsidTr="001D45C5">
        <w:trPr>
          <w:jc w:val="center"/>
        </w:trPr>
        <w:tc>
          <w:tcPr>
            <w:tcW w:w="523" w:type="dxa"/>
          </w:tcPr>
          <w:p w14:paraId="0C6A59DC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70609D6" w14:textId="5BCD4F16" w:rsidR="00B250E9" w:rsidRPr="00B250E9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0–29 představení/koncertů/vystoupení</w:t>
            </w:r>
          </w:p>
        </w:tc>
        <w:tc>
          <w:tcPr>
            <w:tcW w:w="1834" w:type="dxa"/>
          </w:tcPr>
          <w:p w14:paraId="6DB44A6E" w14:textId="46777D7F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1 - 10</w:t>
            </w:r>
          </w:p>
        </w:tc>
      </w:tr>
      <w:tr w:rsidR="003A4FCA" w:rsidRPr="003A4FCA" w14:paraId="303CD5DF" w14:textId="77777777" w:rsidTr="001D45C5">
        <w:trPr>
          <w:jc w:val="center"/>
        </w:trPr>
        <w:tc>
          <w:tcPr>
            <w:tcW w:w="523" w:type="dxa"/>
          </w:tcPr>
          <w:p w14:paraId="453C6737" w14:textId="31A1F85A" w:rsidR="00BB0A8A" w:rsidRPr="003A4FCA" w:rsidRDefault="00B250E9" w:rsidP="005237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703" w:type="dxa"/>
          </w:tcPr>
          <w:p w14:paraId="39508C56" w14:textId="3F7ED0C3" w:rsidR="00BB0A8A" w:rsidRPr="00B250E9" w:rsidRDefault="00B250E9" w:rsidP="00B250E9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</w:t>
            </w:r>
            <w:r w:rsidRPr="00B250E9">
              <w:rPr>
                <w:rFonts w:ascii="Arial" w:eastAsia="Calibri" w:hAnsi="Arial" w:cs="Arial"/>
                <w:b/>
                <w:sz w:val="24"/>
                <w:szCs w:val="24"/>
              </w:rPr>
              <w:t xml:space="preserve">plánovaných </w:t>
            </w: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představení/koncertů/vystoupení realizovaných v roce 2021 </w:t>
            </w:r>
            <w:r w:rsidR="0019130E" w:rsidRPr="001913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mimo obec, ve které organizace sídlí</w:t>
            </w:r>
          </w:p>
        </w:tc>
        <w:tc>
          <w:tcPr>
            <w:tcW w:w="1834" w:type="dxa"/>
          </w:tcPr>
          <w:p w14:paraId="62249389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B250E9" w:rsidRPr="003A4FCA" w14:paraId="0D5FC25F" w14:textId="77777777" w:rsidTr="001D45C5">
        <w:trPr>
          <w:jc w:val="center"/>
        </w:trPr>
        <w:tc>
          <w:tcPr>
            <w:tcW w:w="523" w:type="dxa"/>
          </w:tcPr>
          <w:p w14:paraId="28E5A374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CBC7202" w14:textId="38D76A61" w:rsidR="00B250E9" w:rsidRPr="00B250E9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20 a více představení/koncertů/vystoupení</w:t>
            </w:r>
          </w:p>
        </w:tc>
        <w:tc>
          <w:tcPr>
            <w:tcW w:w="1834" w:type="dxa"/>
          </w:tcPr>
          <w:p w14:paraId="346E7A8A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B250E9" w:rsidRPr="003A4FCA" w14:paraId="07FF70C1" w14:textId="77777777" w:rsidTr="001D45C5">
        <w:trPr>
          <w:jc w:val="center"/>
        </w:trPr>
        <w:tc>
          <w:tcPr>
            <w:tcW w:w="523" w:type="dxa"/>
          </w:tcPr>
          <w:p w14:paraId="2DB07FDE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7263AD1" w14:textId="45F3781C" w:rsidR="00B250E9" w:rsidRPr="00B250E9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10–19 představení/koncertů/vystoupení</w:t>
            </w:r>
          </w:p>
        </w:tc>
        <w:tc>
          <w:tcPr>
            <w:tcW w:w="1834" w:type="dxa"/>
          </w:tcPr>
          <w:p w14:paraId="40AB5598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B250E9" w:rsidRPr="003A4FCA" w14:paraId="2B84EF73" w14:textId="77777777" w:rsidTr="001D45C5">
        <w:trPr>
          <w:jc w:val="center"/>
        </w:trPr>
        <w:tc>
          <w:tcPr>
            <w:tcW w:w="523" w:type="dxa"/>
          </w:tcPr>
          <w:p w14:paraId="6D9548FE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31E30E9" w14:textId="2AC52467" w:rsidR="00B250E9" w:rsidRPr="00B250E9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0–9 představení/koncertů/vystoupení</w:t>
            </w:r>
          </w:p>
        </w:tc>
        <w:tc>
          <w:tcPr>
            <w:tcW w:w="1834" w:type="dxa"/>
          </w:tcPr>
          <w:p w14:paraId="08471F35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B250E9" w:rsidRPr="003A4FCA" w14:paraId="6211C3BC" w14:textId="77777777" w:rsidTr="001D45C5">
        <w:trPr>
          <w:jc w:val="center"/>
        </w:trPr>
        <w:tc>
          <w:tcPr>
            <w:tcW w:w="523" w:type="dxa"/>
          </w:tcPr>
          <w:p w14:paraId="3FAB5260" w14:textId="799BA9A1" w:rsidR="00B250E9" w:rsidRPr="00B250E9" w:rsidRDefault="00B250E9" w:rsidP="00B250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0E9"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703" w:type="dxa"/>
          </w:tcPr>
          <w:p w14:paraId="2A83F209" w14:textId="0E932105" w:rsidR="00B250E9" w:rsidRPr="00B250E9" w:rsidRDefault="00B250E9" w:rsidP="00F73DF1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</w:t>
            </w:r>
            <w:r w:rsidRPr="00B250E9">
              <w:rPr>
                <w:rFonts w:ascii="Arial" w:eastAsia="Calibri" w:hAnsi="Arial" w:cs="Arial"/>
                <w:b/>
                <w:sz w:val="24"/>
                <w:szCs w:val="24"/>
              </w:rPr>
              <w:t xml:space="preserve">plánovaných </w:t>
            </w:r>
            <w:r w:rsidRPr="00B25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premiér v roce 2021</w:t>
            </w:r>
          </w:p>
        </w:tc>
        <w:tc>
          <w:tcPr>
            <w:tcW w:w="1834" w:type="dxa"/>
          </w:tcPr>
          <w:p w14:paraId="22E90FD9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0E9" w:rsidRPr="003A4FCA" w14:paraId="09D8061F" w14:textId="77777777" w:rsidTr="001D45C5">
        <w:trPr>
          <w:jc w:val="center"/>
        </w:trPr>
        <w:tc>
          <w:tcPr>
            <w:tcW w:w="523" w:type="dxa"/>
          </w:tcPr>
          <w:p w14:paraId="32140598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276984" w14:textId="5AF9AB0A" w:rsidR="00B250E9" w:rsidRPr="00B250E9" w:rsidRDefault="00B250E9" w:rsidP="00B250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10 a více premiér</w:t>
            </w:r>
          </w:p>
        </w:tc>
        <w:tc>
          <w:tcPr>
            <w:tcW w:w="1834" w:type="dxa"/>
          </w:tcPr>
          <w:p w14:paraId="1407C9DE" w14:textId="5CAC8024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B250E9" w:rsidRPr="003A4FCA" w14:paraId="5D5952B3" w14:textId="77777777" w:rsidTr="001D45C5">
        <w:trPr>
          <w:jc w:val="center"/>
        </w:trPr>
        <w:tc>
          <w:tcPr>
            <w:tcW w:w="523" w:type="dxa"/>
          </w:tcPr>
          <w:p w14:paraId="6ED0F4A5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1465A19" w14:textId="3723971E" w:rsidR="00B250E9" w:rsidRPr="00B250E9" w:rsidRDefault="00B250E9" w:rsidP="00B250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5–9 premiér</w:t>
            </w:r>
          </w:p>
        </w:tc>
        <w:tc>
          <w:tcPr>
            <w:tcW w:w="1834" w:type="dxa"/>
          </w:tcPr>
          <w:p w14:paraId="62FB4A2C" w14:textId="60BCCBF4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B250E9" w:rsidRPr="003A4FCA" w14:paraId="71E6DE80" w14:textId="77777777" w:rsidTr="001D45C5">
        <w:trPr>
          <w:jc w:val="center"/>
        </w:trPr>
        <w:tc>
          <w:tcPr>
            <w:tcW w:w="523" w:type="dxa"/>
          </w:tcPr>
          <w:p w14:paraId="6C9BADF6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B6DB72C" w14:textId="6B6936BB" w:rsidR="00B250E9" w:rsidRPr="00B250E9" w:rsidRDefault="00B250E9" w:rsidP="00B250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50E9">
              <w:rPr>
                <w:rFonts w:ascii="Arial" w:eastAsia="Calibri" w:hAnsi="Arial" w:cs="Arial"/>
                <w:sz w:val="24"/>
                <w:szCs w:val="24"/>
              </w:rPr>
              <w:t>0–4 premiéry</w:t>
            </w:r>
          </w:p>
        </w:tc>
        <w:tc>
          <w:tcPr>
            <w:tcW w:w="1834" w:type="dxa"/>
          </w:tcPr>
          <w:p w14:paraId="2B18CFC1" w14:textId="45E9388A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B250E9" w:rsidRPr="003A4FCA" w14:paraId="28A86260" w14:textId="77777777" w:rsidTr="001D45C5">
        <w:trPr>
          <w:jc w:val="center"/>
        </w:trPr>
        <w:tc>
          <w:tcPr>
            <w:tcW w:w="523" w:type="dxa"/>
          </w:tcPr>
          <w:p w14:paraId="25E2D549" w14:textId="6BF32770" w:rsidR="00B250E9" w:rsidRPr="003A4FCA" w:rsidRDefault="00B250E9" w:rsidP="00B250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703" w:type="dxa"/>
          </w:tcPr>
          <w:p w14:paraId="0A1D2871" w14:textId="77777777" w:rsidR="00B250E9" w:rsidRPr="003A4FCA" w:rsidRDefault="00B250E9" w:rsidP="00B250E9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Význam projektu pro Olomoucký kraj z hlediska propagace</w:t>
            </w:r>
          </w:p>
        </w:tc>
        <w:tc>
          <w:tcPr>
            <w:tcW w:w="1834" w:type="dxa"/>
          </w:tcPr>
          <w:p w14:paraId="1BA51F24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B250E9" w:rsidRPr="003A4FCA" w14:paraId="7289BE34" w14:textId="77777777" w:rsidTr="001D45C5">
        <w:trPr>
          <w:jc w:val="center"/>
        </w:trPr>
        <w:tc>
          <w:tcPr>
            <w:tcW w:w="523" w:type="dxa"/>
          </w:tcPr>
          <w:p w14:paraId="5ED2BC7D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595E96A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Celostátní a mezinárodní propagace Olomouckého kraje.</w:t>
            </w:r>
          </w:p>
        </w:tc>
        <w:tc>
          <w:tcPr>
            <w:tcW w:w="1834" w:type="dxa"/>
          </w:tcPr>
          <w:p w14:paraId="732877D3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B250E9" w:rsidRPr="003A4FCA" w14:paraId="316EE2A1" w14:textId="77777777" w:rsidTr="001D45C5">
        <w:trPr>
          <w:jc w:val="center"/>
        </w:trPr>
        <w:tc>
          <w:tcPr>
            <w:tcW w:w="523" w:type="dxa"/>
          </w:tcPr>
          <w:p w14:paraId="2952C81A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7D366FC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Regionální propagace Olomouckého kraje.</w:t>
            </w:r>
          </w:p>
        </w:tc>
        <w:tc>
          <w:tcPr>
            <w:tcW w:w="1834" w:type="dxa"/>
          </w:tcPr>
          <w:p w14:paraId="3422ADB6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B250E9" w:rsidRPr="003A4FCA" w14:paraId="7BFD6DC1" w14:textId="77777777" w:rsidTr="001D45C5">
        <w:trPr>
          <w:jc w:val="center"/>
        </w:trPr>
        <w:tc>
          <w:tcPr>
            <w:tcW w:w="523" w:type="dxa"/>
          </w:tcPr>
          <w:p w14:paraId="05F90738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D96A2D2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Lokální propagace Olomouckého kraje.</w:t>
            </w:r>
          </w:p>
        </w:tc>
        <w:tc>
          <w:tcPr>
            <w:tcW w:w="1834" w:type="dxa"/>
          </w:tcPr>
          <w:p w14:paraId="56F123F6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B250E9" w:rsidRPr="003A4FCA" w14:paraId="02ED8EE8" w14:textId="77777777" w:rsidTr="001D45C5">
        <w:trPr>
          <w:jc w:val="center"/>
        </w:trPr>
        <w:tc>
          <w:tcPr>
            <w:tcW w:w="523" w:type="dxa"/>
          </w:tcPr>
          <w:p w14:paraId="446879B4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711BA24" w14:textId="77777777" w:rsidR="00B250E9" w:rsidRPr="003A4FCA" w:rsidRDefault="00B250E9" w:rsidP="00B25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E1EE96A" w14:textId="77777777" w:rsidR="00B250E9" w:rsidRPr="003A4FCA" w:rsidRDefault="00B250E9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Mkatabulky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1987"/>
        <w:gridCol w:w="2411"/>
        <w:gridCol w:w="1730"/>
      </w:tblGrid>
      <w:tr w:rsidR="003A4FCA" w:rsidRPr="003A4FCA" w14:paraId="36CFA5AE" w14:textId="77777777" w:rsidTr="005237CE">
        <w:trPr>
          <w:trHeight w:val="392"/>
          <w:jc w:val="center"/>
        </w:trPr>
        <w:tc>
          <w:tcPr>
            <w:tcW w:w="9072" w:type="dxa"/>
            <w:gridSpan w:val="5"/>
            <w:shd w:val="pct15" w:color="auto" w:fill="auto"/>
            <w:vAlign w:val="center"/>
          </w:tcPr>
          <w:p w14:paraId="14630BFD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3A4FCA" w:rsidRPr="003A4FCA" w14:paraId="3AF9F59E" w14:textId="77777777" w:rsidTr="005237CE">
        <w:trPr>
          <w:cantSplit/>
          <w:trHeight w:val="1134"/>
          <w:jc w:val="center"/>
        </w:trPr>
        <w:tc>
          <w:tcPr>
            <w:tcW w:w="818" w:type="dxa"/>
            <w:shd w:val="pct10" w:color="auto" w:fill="auto"/>
            <w:textDirection w:val="btLr"/>
            <w:vAlign w:val="center"/>
          </w:tcPr>
          <w:p w14:paraId="5713C399" w14:textId="77777777" w:rsidR="00BB0A8A" w:rsidRPr="003A4FCA" w:rsidRDefault="00BB0A8A" w:rsidP="005237C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C43B80C" w14:textId="77777777" w:rsidR="00BB0A8A" w:rsidRPr="003A4FCA" w:rsidRDefault="00BB0A8A" w:rsidP="005237C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3CF87AAD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23872248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123AD90F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1730" w:type="dxa"/>
            <w:shd w:val="pct10" w:color="auto" w:fill="auto"/>
            <w:vAlign w:val="center"/>
          </w:tcPr>
          <w:p w14:paraId="76A5D110" w14:textId="77777777" w:rsidR="00BB0A8A" w:rsidRPr="003A4FCA" w:rsidRDefault="00BB0A8A" w:rsidP="005237CE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525250FE" w14:textId="77777777" w:rsidR="00BB0A8A" w:rsidRPr="003A4FCA" w:rsidRDefault="00BB0A8A" w:rsidP="005237CE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3A4FCA" w:rsidRPr="003A4FCA" w14:paraId="319B8CAA" w14:textId="77777777" w:rsidTr="005237CE">
        <w:trPr>
          <w:jc w:val="center"/>
        </w:trPr>
        <w:tc>
          <w:tcPr>
            <w:tcW w:w="818" w:type="dxa"/>
            <w:vAlign w:val="center"/>
          </w:tcPr>
          <w:p w14:paraId="225083F8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05E38535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vAlign w:val="center"/>
          </w:tcPr>
          <w:p w14:paraId="0479FA01" w14:textId="77777777" w:rsidR="00BB0A8A" w:rsidRPr="003A4FCA" w:rsidRDefault="00BB0A8A" w:rsidP="005237CE">
            <w:pPr>
              <w:ind w:left="176" w:firstLine="0"/>
              <w:rPr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5678B13C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6F341F77" w14:textId="103024F4" w:rsidR="00BB0A8A" w:rsidRPr="003A4FCA" w:rsidRDefault="00B250E9" w:rsidP="005237C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1–50</w:t>
            </w:r>
          </w:p>
        </w:tc>
        <w:tc>
          <w:tcPr>
            <w:tcW w:w="2411" w:type="dxa"/>
            <w:vAlign w:val="center"/>
          </w:tcPr>
          <w:p w14:paraId="3DA7FBD0" w14:textId="1754227A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30" w:type="dxa"/>
            <w:vMerge w:val="restart"/>
            <w:vAlign w:val="center"/>
          </w:tcPr>
          <w:p w14:paraId="70741D79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3A4FCA" w:rsidRPr="003A4FCA" w14:paraId="35EBA97E" w14:textId="77777777" w:rsidTr="005237CE">
        <w:trPr>
          <w:jc w:val="center"/>
        </w:trPr>
        <w:tc>
          <w:tcPr>
            <w:tcW w:w="818" w:type="dxa"/>
            <w:vAlign w:val="center"/>
          </w:tcPr>
          <w:p w14:paraId="37702A34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lastRenderedPageBreak/>
              <w:t>B1</w:t>
            </w:r>
          </w:p>
          <w:p w14:paraId="651F8E9D" w14:textId="77777777" w:rsidR="00BB0A8A" w:rsidRDefault="00BB0A8A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  <w:p w14:paraId="277267BE" w14:textId="77777777" w:rsidR="00B250E9" w:rsidRDefault="00B250E9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  <w:p w14:paraId="650FDB90" w14:textId="6E3DB256" w:rsidR="00B250E9" w:rsidRPr="003A4FCA" w:rsidRDefault="00B250E9" w:rsidP="00523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2126" w:type="dxa"/>
            <w:vAlign w:val="center"/>
          </w:tcPr>
          <w:p w14:paraId="2C6718E0" w14:textId="77777777" w:rsidR="00BB0A8A" w:rsidRPr="003A4FCA" w:rsidRDefault="00BB0A8A" w:rsidP="005237CE">
            <w:pPr>
              <w:ind w:left="176" w:firstLine="0"/>
              <w:jc w:val="left"/>
              <w:rPr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0A3222FE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59C64CF5" w14:textId="366696F3" w:rsidR="00BB0A8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1–50</w:t>
            </w:r>
          </w:p>
          <w:p w14:paraId="18B9CB69" w14:textId="719B062F" w:rsidR="00B250E9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1-100</w:t>
            </w:r>
          </w:p>
          <w:p w14:paraId="4075270A" w14:textId="318A709B" w:rsidR="00B250E9" w:rsidRPr="003A4FCA" w:rsidRDefault="00B250E9" w:rsidP="00B250E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1-100</w:t>
            </w:r>
          </w:p>
        </w:tc>
        <w:tc>
          <w:tcPr>
            <w:tcW w:w="2411" w:type="dxa"/>
            <w:vAlign w:val="center"/>
          </w:tcPr>
          <w:p w14:paraId="69679062" w14:textId="5F26A0E4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30" w:type="dxa"/>
            <w:vMerge/>
            <w:vAlign w:val="center"/>
          </w:tcPr>
          <w:p w14:paraId="451AF311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FCA" w:rsidRPr="003A4FCA" w14:paraId="5A93C371" w14:textId="77777777" w:rsidTr="005237CE">
        <w:trPr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5A9E828" w14:textId="3702AD30" w:rsidR="00BB0A8A" w:rsidRPr="003A4FCA" w:rsidRDefault="00B250E9" w:rsidP="00B25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3C0326" w14:textId="49D6C844" w:rsidR="00BB0A8A" w:rsidRPr="003A4FCA" w:rsidRDefault="00BB0A8A" w:rsidP="005237CE">
            <w:pPr>
              <w:ind w:left="176" w:firstLine="0"/>
              <w:jc w:val="left"/>
              <w:rPr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Hodnotí R</w:t>
            </w:r>
            <w:r w:rsidR="00E50E72" w:rsidRPr="003A4FCA">
              <w:rPr>
                <w:rFonts w:ascii="Arial" w:hAnsi="Arial" w:cs="Arial"/>
                <w:sz w:val="24"/>
                <w:szCs w:val="24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2D8BC91B" w14:textId="4CB1746A" w:rsidR="00BB0A8A" w:rsidRPr="00B250E9" w:rsidRDefault="00BB0A8A" w:rsidP="00B2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6AEE660" w14:textId="2B0719CC" w:rsidR="00BB0A8A" w:rsidRPr="003A4FCA" w:rsidRDefault="00B250E9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0A8A" w:rsidRPr="003A4F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5EC8DB59" w14:textId="77777777" w:rsidR="00BB0A8A" w:rsidRPr="003A4FCA" w:rsidRDefault="00BB0A8A" w:rsidP="00523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FCA" w:rsidRPr="003A4FCA" w14:paraId="137AB631" w14:textId="77777777" w:rsidTr="005237CE">
        <w:trPr>
          <w:jc w:val="center"/>
        </w:trPr>
        <w:tc>
          <w:tcPr>
            <w:tcW w:w="9072" w:type="dxa"/>
            <w:gridSpan w:val="5"/>
            <w:shd w:val="clear" w:color="auto" w:fill="BFBFBF" w:themeFill="background1" w:themeFillShade="BF"/>
            <w:vAlign w:val="center"/>
          </w:tcPr>
          <w:p w14:paraId="71BDA548" w14:textId="77777777" w:rsidR="00BB0A8A" w:rsidRPr="003A4FCA" w:rsidRDefault="00BB0A8A" w:rsidP="005237C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3A4FCA" w:rsidRPr="003A4FCA" w14:paraId="5FA7DCC0" w14:textId="77777777" w:rsidTr="005237CE">
        <w:trPr>
          <w:jc w:val="center"/>
        </w:trPr>
        <w:tc>
          <w:tcPr>
            <w:tcW w:w="4931" w:type="dxa"/>
            <w:gridSpan w:val="3"/>
            <w:vAlign w:val="center"/>
          </w:tcPr>
          <w:p w14:paraId="65AC332A" w14:textId="77777777" w:rsidR="00BB0A8A" w:rsidRPr="003A4FCA" w:rsidRDefault="00BB0A8A" w:rsidP="005237CE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A4FCA">
              <w:rPr>
                <w:rFonts w:ascii="Arial" w:hAnsi="Arial" w:cs="Arial"/>
                <w:b/>
                <w:sz w:val="20"/>
                <w:szCs w:val="24"/>
              </w:rPr>
              <w:t>PODKLAD PRO ROZHODNUTÍ ŘÍDÍCÍHO ORGÁNU</w:t>
            </w:r>
          </w:p>
        </w:tc>
        <w:tc>
          <w:tcPr>
            <w:tcW w:w="2411" w:type="dxa"/>
            <w:vAlign w:val="center"/>
          </w:tcPr>
          <w:p w14:paraId="1A33C965" w14:textId="77777777" w:rsidR="00BB0A8A" w:rsidRPr="003A4FCA" w:rsidRDefault="00BB0A8A" w:rsidP="005237C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caps/>
                <w:sz w:val="20"/>
                <w:szCs w:val="24"/>
              </w:rPr>
              <w:t>Počet DOSAŽENÝCH bodů</w:t>
            </w:r>
          </w:p>
        </w:tc>
        <w:tc>
          <w:tcPr>
            <w:tcW w:w="1730" w:type="dxa"/>
            <w:vAlign w:val="center"/>
          </w:tcPr>
          <w:p w14:paraId="4FC1FA30" w14:textId="77777777" w:rsidR="00BB0A8A" w:rsidRPr="003A4FCA" w:rsidRDefault="00BB0A8A" w:rsidP="005237C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3A4FCA">
              <w:rPr>
                <w:rFonts w:ascii="Arial" w:hAnsi="Arial" w:cs="Arial"/>
                <w:b/>
                <w:caps/>
                <w:sz w:val="20"/>
                <w:szCs w:val="24"/>
              </w:rPr>
              <w:t>Návrh řídícímu ORgánu</w:t>
            </w:r>
          </w:p>
        </w:tc>
      </w:tr>
      <w:tr w:rsidR="003A4FCA" w:rsidRPr="003A4FCA" w14:paraId="24BA1F64" w14:textId="77777777" w:rsidTr="005237CE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45CC9F5F" w14:textId="51F65503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Hodnocení administrátorem, odborným orgánem, R</w:t>
            </w:r>
            <w:r w:rsidR="00E50E72" w:rsidRPr="003A4FCA">
              <w:rPr>
                <w:rFonts w:ascii="Arial" w:hAnsi="Arial" w:cs="Arial"/>
                <w:sz w:val="20"/>
                <w:szCs w:val="20"/>
              </w:rPr>
              <w:t>adou Olomouckého kraje</w:t>
            </w:r>
          </w:p>
          <w:p w14:paraId="560ACF62" w14:textId="355CB63F" w:rsidR="00BB0A8A" w:rsidRPr="003A4FCA" w:rsidRDefault="00BB0A8A" w:rsidP="00B250E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C2D490" w14:textId="77777777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861A315" w14:textId="77777777" w:rsidR="00BB0A8A" w:rsidRPr="003A4FCA" w:rsidRDefault="00BB0A8A" w:rsidP="005237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A4FCA" w:rsidRPr="003A4FCA" w14:paraId="7929A0EF" w14:textId="77777777" w:rsidTr="005237CE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1353131A" w14:textId="73FA5713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</w:t>
            </w:r>
            <w:r w:rsidR="00E50E72" w:rsidRPr="003A4FCA">
              <w:rPr>
                <w:rFonts w:ascii="Arial" w:hAnsi="Arial" w:cs="Arial"/>
                <w:sz w:val="20"/>
                <w:szCs w:val="20"/>
              </w:rPr>
              <w:t>Radou Olomouckého kraje</w:t>
            </w:r>
          </w:p>
          <w:p w14:paraId="751082C4" w14:textId="51BCAF2B" w:rsidR="00BB0A8A" w:rsidRPr="003A4FCA" w:rsidRDefault="00BB0A8A" w:rsidP="00B250E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758D7F" w14:textId="77777777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C1F104" w14:textId="078E7B8F" w:rsidR="00BB0A8A" w:rsidRPr="003A4FCA" w:rsidRDefault="00BB0A8A" w:rsidP="005237CE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VYHOVĚT/</w:t>
            </w:r>
          </w:p>
          <w:p w14:paraId="004802EB" w14:textId="6DA09C8B" w:rsidR="00BB0A8A" w:rsidRPr="003A4FCA" w:rsidRDefault="00BB0A8A" w:rsidP="005237CE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5A4AA64" w14:textId="755715F1" w:rsidR="00BB0A8A" w:rsidRPr="003A4FCA" w:rsidRDefault="00BB0A8A" w:rsidP="005237CE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(částečné vyhovění*)/ MŮŽE BÝT NEVYHOVĚNO*</w:t>
            </w:r>
          </w:p>
        </w:tc>
      </w:tr>
      <w:tr w:rsidR="00BB0A8A" w:rsidRPr="003A4FCA" w14:paraId="7F8793A8" w14:textId="77777777" w:rsidTr="005237CE">
        <w:trPr>
          <w:jc w:val="center"/>
        </w:trPr>
        <w:tc>
          <w:tcPr>
            <w:tcW w:w="4931" w:type="dxa"/>
            <w:gridSpan w:val="3"/>
            <w:shd w:val="clear" w:color="auto" w:fill="auto"/>
            <w:vAlign w:val="center"/>
          </w:tcPr>
          <w:p w14:paraId="4D0FDA8C" w14:textId="12457ED7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</w:t>
            </w:r>
            <w:r w:rsidR="00E50E72" w:rsidRPr="003A4FCA">
              <w:rPr>
                <w:rFonts w:ascii="Arial" w:hAnsi="Arial" w:cs="Arial"/>
                <w:sz w:val="20"/>
                <w:szCs w:val="20"/>
              </w:rPr>
              <w:t>Radou Olomouckého kraje</w:t>
            </w:r>
          </w:p>
          <w:p w14:paraId="74401216" w14:textId="1F8E2857" w:rsidR="00BB0A8A" w:rsidRPr="003A4FCA" w:rsidRDefault="00BB0A8A" w:rsidP="00B250E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02BF0A" w14:textId="77777777" w:rsidR="00BB0A8A" w:rsidRPr="003A4FCA" w:rsidRDefault="00BB0A8A" w:rsidP="005237C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67D5F2" w14:textId="7E0702C9" w:rsidR="00BB0A8A" w:rsidRPr="003A4FCA" w:rsidRDefault="00BB0A8A" w:rsidP="00F42684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A4FCA">
              <w:rPr>
                <w:rFonts w:ascii="Arial" w:hAnsi="Arial" w:cs="Arial"/>
                <w:sz w:val="20"/>
                <w:szCs w:val="20"/>
              </w:rPr>
              <w:t>VYHOVĚT</w:t>
            </w:r>
            <w:r w:rsidR="00F42684" w:rsidRPr="003A4FCA">
              <w:rPr>
                <w:rFonts w:ascii="Arial" w:hAnsi="Arial" w:cs="Arial"/>
                <w:sz w:val="20"/>
                <w:szCs w:val="20"/>
              </w:rPr>
              <w:t xml:space="preserve"> PLNĚ</w:t>
            </w:r>
          </w:p>
        </w:tc>
      </w:tr>
    </w:tbl>
    <w:p w14:paraId="2A62156F" w14:textId="77777777" w:rsidR="00BB0A8A" w:rsidRPr="003A4FCA" w:rsidRDefault="00BB0A8A" w:rsidP="001E2BC0">
      <w:pPr>
        <w:rPr>
          <w:rFonts w:ascii="Arial" w:hAnsi="Arial" w:cs="Arial"/>
          <w:bCs/>
          <w:sz w:val="24"/>
          <w:szCs w:val="24"/>
        </w:rPr>
      </w:pPr>
    </w:p>
    <w:p w14:paraId="6938F1A3" w14:textId="4C1AC5D0" w:rsidR="004C62F0" w:rsidRPr="003A4FCA" w:rsidRDefault="00BB0A8A" w:rsidP="00BB0A8A">
      <w:pPr>
        <w:ind w:left="0" w:firstLine="0"/>
        <w:rPr>
          <w:rFonts w:ascii="Arial" w:hAnsi="Arial" w:cs="Arial"/>
          <w:b/>
          <w:caps/>
          <w:sz w:val="26"/>
          <w:szCs w:val="26"/>
          <w:u w:val="single"/>
        </w:rPr>
      </w:pPr>
      <w:r w:rsidRPr="003A4FCA">
        <w:rPr>
          <w:rFonts w:ascii="Arial" w:hAnsi="Arial" w:cs="Arial"/>
          <w:i/>
          <w:sz w:val="24"/>
          <w:szCs w:val="24"/>
        </w:rPr>
        <w:t>* 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seřazeného pořadí žadatelů.</w:t>
      </w:r>
    </w:p>
    <w:p w14:paraId="45B76789" w14:textId="29D5F7E0" w:rsidR="004C62F0" w:rsidRPr="003A4FCA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3A4FCA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49F50941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3A4FCA">
        <w:rPr>
          <w:rFonts w:ascii="Arial" w:hAnsi="Arial" w:cs="Arial"/>
          <w:bCs/>
          <w:sz w:val="24"/>
          <w:szCs w:val="24"/>
        </w:rPr>
        <w:t xml:space="preserve"> </w:t>
      </w:r>
      <w:r w:rsidR="00BB0A8A" w:rsidRPr="003A4FCA">
        <w:rPr>
          <w:rFonts w:ascii="Arial" w:hAnsi="Arial" w:cs="Arial"/>
          <w:bCs/>
          <w:sz w:val="24"/>
          <w:szCs w:val="24"/>
        </w:rPr>
        <w:t>Komise pro kulturu a památkovou péči Rady Olomouckého kraje.</w:t>
      </w:r>
      <w:r w:rsidRPr="003A4FCA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A4FC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A4FCA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A4FCA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A4FCA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A4FC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ab/>
      </w:r>
    </w:p>
    <w:p w14:paraId="3849FC15" w14:textId="0A8294CA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3A4FCA">
        <w:rPr>
          <w:rFonts w:ascii="Arial" w:hAnsi="Arial" w:cs="Arial"/>
          <w:bCs/>
          <w:sz w:val="24"/>
          <w:szCs w:val="24"/>
        </w:rPr>
        <w:t>programu</w:t>
      </w:r>
      <w:r w:rsidRPr="003A4FCA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3A4FC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A4FCA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3A4FC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14665B5" w:rsidR="0003189A" w:rsidRPr="003A4FCA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3A4FCA">
        <w:rPr>
          <w:rFonts w:ascii="Arial" w:hAnsi="Arial" w:cs="Arial"/>
          <w:bCs/>
          <w:sz w:val="24"/>
          <w:szCs w:val="24"/>
        </w:rPr>
        <w:t>činnosti</w:t>
      </w:r>
      <w:r w:rsidRPr="003A4FCA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4983DD20" w:rsidR="0003189A" w:rsidRPr="008B3BB2" w:rsidRDefault="00C5488B" w:rsidP="008B3BB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ab/>
      </w:r>
      <w:r w:rsidR="00BB0A8A" w:rsidRPr="003A4FCA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="00BB0A8A" w:rsidRPr="003A4FCA">
        <w:rPr>
          <w:rFonts w:ascii="Arial" w:hAnsi="Arial" w:cs="Arial"/>
          <w:sz w:val="24"/>
          <w:szCs w:val="24"/>
        </w:rPr>
        <w:t xml:space="preserve">přičemž žádostem s dosaženým </w:t>
      </w:r>
      <w:r w:rsidR="00BB0A8A" w:rsidRPr="003A4FCA">
        <w:rPr>
          <w:rFonts w:ascii="Arial" w:hAnsi="Arial" w:cs="Arial"/>
          <w:sz w:val="24"/>
          <w:szCs w:val="24"/>
        </w:rPr>
        <w:lastRenderedPageBreak/>
        <w:t xml:space="preserve">počtem bodů do 200 </w:t>
      </w:r>
      <w:r w:rsidR="00AC09B5">
        <w:rPr>
          <w:rFonts w:ascii="Arial" w:hAnsi="Arial" w:cs="Arial"/>
          <w:sz w:val="24"/>
          <w:szCs w:val="24"/>
        </w:rPr>
        <w:t xml:space="preserve">bodů </w:t>
      </w:r>
      <w:r w:rsidR="00BB0A8A" w:rsidRPr="003A4FCA">
        <w:rPr>
          <w:rFonts w:ascii="Arial" w:hAnsi="Arial" w:cs="Arial"/>
          <w:sz w:val="24"/>
          <w:szCs w:val="24"/>
        </w:rPr>
        <w:t>včetně nebude vyhověno</w:t>
      </w:r>
      <w:r w:rsidR="008B3BB2">
        <w:rPr>
          <w:rFonts w:ascii="Arial" w:hAnsi="Arial" w:cs="Arial"/>
          <w:sz w:val="24"/>
          <w:szCs w:val="24"/>
        </w:rPr>
        <w:t>, žádostem</w:t>
      </w:r>
      <w:r w:rsidR="00BB0A8A" w:rsidRPr="003A4FCA">
        <w:rPr>
          <w:rFonts w:ascii="Arial" w:hAnsi="Arial" w:cs="Arial"/>
          <w:sz w:val="24"/>
          <w:szCs w:val="24"/>
        </w:rPr>
        <w:t xml:space="preserve"> s dosaženým počtem bodů od 201 do 550 bodů včetně může být vyhověno v plné výši nebo pouze částečně, ale i nevyhověno s ohledem na celkový objem finančních prostředků v dotačním programu</w:t>
      </w:r>
      <w:r w:rsidR="00967189">
        <w:rPr>
          <w:rFonts w:ascii="Arial" w:hAnsi="Arial" w:cs="Arial"/>
          <w:sz w:val="24"/>
          <w:szCs w:val="24"/>
        </w:rPr>
        <w:t>,</w:t>
      </w:r>
      <w:r w:rsidR="008B3BB2">
        <w:rPr>
          <w:rFonts w:ascii="Arial" w:hAnsi="Arial" w:cs="Arial"/>
          <w:sz w:val="24"/>
          <w:szCs w:val="24"/>
        </w:rPr>
        <w:t xml:space="preserve"> a žádostem </w:t>
      </w:r>
      <w:r w:rsidR="008B3BB2" w:rsidRPr="003A4FCA">
        <w:rPr>
          <w:rFonts w:ascii="Arial" w:hAnsi="Arial" w:cs="Arial"/>
          <w:sz w:val="24"/>
          <w:szCs w:val="24"/>
        </w:rPr>
        <w:t xml:space="preserve">s dosaženým počtem bodů od 551 </w:t>
      </w:r>
      <w:r w:rsidR="008B3BB2">
        <w:rPr>
          <w:rFonts w:ascii="Arial" w:hAnsi="Arial" w:cs="Arial"/>
          <w:sz w:val="24"/>
          <w:szCs w:val="24"/>
        </w:rPr>
        <w:t xml:space="preserve">bodů včetně </w:t>
      </w:r>
      <w:r w:rsidR="008B3BB2" w:rsidRPr="003A4FCA">
        <w:rPr>
          <w:rFonts w:ascii="Arial" w:hAnsi="Arial" w:cs="Arial"/>
          <w:sz w:val="24"/>
          <w:szCs w:val="24"/>
        </w:rPr>
        <w:t>bude vyhověno plně.</w:t>
      </w:r>
      <w:r w:rsidR="008B3BB2">
        <w:rPr>
          <w:rFonts w:ascii="Arial" w:hAnsi="Arial" w:cs="Arial"/>
          <w:sz w:val="24"/>
          <w:szCs w:val="24"/>
        </w:rPr>
        <w:t xml:space="preserve"> </w:t>
      </w:r>
      <w:r w:rsidR="00BB0A8A" w:rsidRPr="003A4FCA">
        <w:rPr>
          <w:rFonts w:ascii="Arial" w:hAnsi="Arial" w:cs="Arial"/>
          <w:sz w:val="24"/>
          <w:szCs w:val="24"/>
        </w:rPr>
        <w:t>Řídící orgán rozhoduje o snížení nebo neposkytnutí požadované částky dotace s ohledem na celkový objem finančních prostředků v dotačním programu a množství a bodové hodnocení všech žádostí, hodnocených v dotačním programu.</w:t>
      </w:r>
    </w:p>
    <w:p w14:paraId="4539057E" w14:textId="77777777" w:rsidR="0003189A" w:rsidRPr="003A4FCA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28FBF536" w:rsidR="009A6768" w:rsidRPr="003A4FCA" w:rsidRDefault="00BB0A8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3A4FCA">
        <w:rPr>
          <w:rFonts w:ascii="Arial" w:hAnsi="Arial" w:cs="Arial"/>
          <w:b/>
          <w:bCs/>
          <w:sz w:val="24"/>
          <w:szCs w:val="24"/>
        </w:rPr>
        <w:t>120 dnů</w:t>
      </w:r>
      <w:r w:rsidRPr="003A4FCA">
        <w:rPr>
          <w:rFonts w:ascii="Arial" w:hAnsi="Arial" w:cs="Arial"/>
          <w:bCs/>
          <w:sz w:val="24"/>
          <w:szCs w:val="24"/>
        </w:rPr>
        <w:t xml:space="preserve"> od data ukončení lhůty pro podávání žádostí.</w:t>
      </w:r>
    </w:p>
    <w:p w14:paraId="5BA654E4" w14:textId="77777777" w:rsidR="009A6768" w:rsidRPr="003A4FCA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17139E40" w14:textId="77777777" w:rsidR="00691685" w:rsidRPr="003A4FC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086A0BDC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A4FCA">
        <w:rPr>
          <w:rFonts w:ascii="Arial" w:hAnsi="Arial" w:cs="Arial"/>
          <w:bCs/>
          <w:sz w:val="24"/>
          <w:szCs w:val="24"/>
        </w:rPr>
        <w:t>programu</w:t>
      </w:r>
      <w:r w:rsidRPr="003A4FC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A4FCA">
        <w:rPr>
          <w:rFonts w:ascii="Arial" w:hAnsi="Arial" w:cs="Arial"/>
          <w:bCs/>
          <w:sz w:val="24"/>
          <w:szCs w:val="24"/>
        </w:rPr>
        <w:t>programu</w:t>
      </w:r>
      <w:r w:rsidRPr="003A4FCA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3A4FC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3A4FCA">
        <w:rPr>
          <w:rFonts w:ascii="Arial" w:hAnsi="Arial" w:cs="Arial"/>
          <w:bCs/>
          <w:sz w:val="24"/>
          <w:szCs w:val="24"/>
        </w:rPr>
        <w:t>ím dotace se nezakládá nárok na </w:t>
      </w:r>
      <w:r w:rsidRPr="003A4FCA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3A4FC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3A4FCA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Informac</w:t>
      </w:r>
      <w:r w:rsidR="00805F04" w:rsidRPr="003A4FCA">
        <w:rPr>
          <w:rFonts w:ascii="Arial" w:hAnsi="Arial" w:cs="Arial"/>
          <w:bCs/>
          <w:sz w:val="24"/>
          <w:szCs w:val="24"/>
        </w:rPr>
        <w:t>i</w:t>
      </w:r>
      <w:r w:rsidRPr="003A4FC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A4FC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A4FCA">
        <w:rPr>
          <w:rFonts w:ascii="Arial" w:hAnsi="Arial" w:cs="Arial"/>
          <w:b/>
          <w:bCs/>
          <w:sz w:val="24"/>
          <w:szCs w:val="24"/>
        </w:rPr>
        <w:t>dnů</w:t>
      </w:r>
      <w:r w:rsidRPr="003A4FC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A4FCA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3A4FC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0D0158B" w14:textId="77777777" w:rsidR="00A447CD" w:rsidRPr="003A4FCA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3A4FCA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3A4FCA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3A4FCA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3A4FCA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3A4FCA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3A4FCA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3A4FC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který nemá </w:t>
      </w:r>
      <w:r w:rsidRPr="003A4FCA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3A4FC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3A4FCA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3A4FCA">
        <w:rPr>
          <w:rFonts w:ascii="Arial" w:hAnsi="Arial" w:cs="Arial"/>
          <w:sz w:val="24"/>
          <w:szCs w:val="24"/>
        </w:rPr>
        <w:t xml:space="preserve"> </w:t>
      </w:r>
      <w:r w:rsidR="00BA36B7" w:rsidRPr="003A4FCA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3A4FCA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7F7B6AC0" w14:textId="0EE4E6AA" w:rsidR="00FB6845" w:rsidRPr="001A5BA9" w:rsidRDefault="00FB6845" w:rsidP="001A5BA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  <w:r w:rsidRPr="001A5BA9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1A5BA9">
        <w:rPr>
          <w:rFonts w:ascii="Arial" w:hAnsi="Arial" w:cs="Arial"/>
          <w:sz w:val="24"/>
          <w:szCs w:val="24"/>
        </w:rPr>
        <w:t>činností, na kterou</w:t>
      </w:r>
      <w:r w:rsidRPr="001A5BA9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3A4FCA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lastRenderedPageBreak/>
        <w:t>vůči kterému (případně, vůči jehož majetku) není navrhováno ani vedeno řízení o výkon</w:t>
      </w:r>
      <w:r w:rsidR="00204AFF" w:rsidRPr="003A4FCA">
        <w:rPr>
          <w:rFonts w:ascii="Arial" w:hAnsi="Arial" w:cs="Arial"/>
          <w:sz w:val="24"/>
          <w:szCs w:val="24"/>
        </w:rPr>
        <w:t>u</w:t>
      </w:r>
      <w:r w:rsidRPr="003A4FCA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3A4FCA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3A4FCA">
        <w:rPr>
          <w:rFonts w:ascii="Arial" w:hAnsi="Arial" w:cs="Arial"/>
          <w:sz w:val="24"/>
          <w:szCs w:val="24"/>
        </w:rPr>
        <w:t xml:space="preserve">také </w:t>
      </w:r>
      <w:r w:rsidRPr="003A4FCA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147C246" w:rsidR="00FB6845" w:rsidRPr="003A4FCA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3A4FCA">
        <w:rPr>
          <w:rFonts w:ascii="Arial" w:hAnsi="Arial" w:cs="Arial"/>
          <w:sz w:val="24"/>
          <w:szCs w:val="24"/>
        </w:rPr>
        <w:t>pozdějších předpisů, v úpadku a </w:t>
      </w:r>
      <w:r w:rsidRPr="003A4FCA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4B36C907" w:rsidR="00C42825" w:rsidRPr="003A4FCA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3A4FCA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3A4FCA">
        <w:rPr>
          <w:rFonts w:ascii="Arial" w:hAnsi="Arial" w:cs="Arial"/>
          <w:sz w:val="24"/>
          <w:szCs w:val="24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(např. sloučení, splynutí, </w:t>
      </w:r>
      <w:r w:rsidR="00315F2E" w:rsidRPr="003A4FCA">
        <w:rPr>
          <w:rFonts w:ascii="Arial" w:hAnsi="Arial" w:cs="Arial"/>
          <w:sz w:val="24"/>
          <w:szCs w:val="24"/>
        </w:rPr>
        <w:t>rozdělení obchodní společnosti);</w:t>
      </w:r>
    </w:p>
    <w:p w14:paraId="55E3E8B0" w14:textId="77777777" w:rsidR="00BB0A8A" w:rsidRPr="003A4FCA" w:rsidRDefault="00BB0A8A" w:rsidP="00BB0A8A">
      <w:pPr>
        <w:pStyle w:val="Odstavecseseznamem"/>
        <w:numPr>
          <w:ilvl w:val="0"/>
          <w:numId w:val="5"/>
        </w:numPr>
        <w:spacing w:line="276" w:lineRule="auto"/>
        <w:ind w:hanging="926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</w:t>
      </w:r>
    </w:p>
    <w:p w14:paraId="5B17C946" w14:textId="1CB12ECB" w:rsidR="006456A7" w:rsidRPr="003A4FCA" w:rsidRDefault="00FE27D8" w:rsidP="00BB0A8A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3A4FCA">
        <w:rPr>
          <w:rFonts w:ascii="Arial" w:hAnsi="Arial" w:cs="Arial"/>
          <w:sz w:val="24"/>
          <w:szCs w:val="24"/>
        </w:rPr>
        <w:t>čl.</w:t>
      </w:r>
      <w:proofErr w:type="gramEnd"/>
      <w:r w:rsidRPr="003A4FCA">
        <w:rPr>
          <w:rFonts w:ascii="Arial" w:hAnsi="Arial" w:cs="Arial"/>
          <w:sz w:val="24"/>
          <w:szCs w:val="24"/>
        </w:rPr>
        <w:t xml:space="preserve"> 2 bod 18 nařízení GBER). </w:t>
      </w:r>
      <w:bookmarkStart w:id="18" w:name="_Hlk55392249"/>
      <w:r w:rsidRPr="003A4FCA">
        <w:rPr>
          <w:rFonts w:ascii="Arial" w:hAnsi="Arial" w:cs="Arial"/>
          <w:sz w:val="24"/>
          <w:szCs w:val="24"/>
        </w:rPr>
        <w:t xml:space="preserve"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</w:t>
      </w:r>
      <w:r>
        <w:rPr>
          <w:rFonts w:ascii="Arial" w:hAnsi="Arial" w:cs="Arial"/>
          <w:sz w:val="24"/>
          <w:szCs w:val="24"/>
        </w:rPr>
        <w:t xml:space="preserve">nebyli/y v obtížích ke dni </w:t>
      </w:r>
      <w:r w:rsidR="00BA1A93">
        <w:rPr>
          <w:rFonts w:ascii="Arial" w:hAnsi="Arial" w:cs="Arial"/>
          <w:sz w:val="24"/>
          <w:szCs w:val="24"/>
        </w:rPr>
        <w:t>31. 12. 2019</w:t>
      </w:r>
      <w:r w:rsidR="007A78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kteří (které) </w:t>
      </w:r>
      <w:r w:rsidRPr="003A4FCA">
        <w:rPr>
          <w:rFonts w:ascii="Arial" w:hAnsi="Arial" w:cs="Arial"/>
          <w:sz w:val="24"/>
          <w:szCs w:val="24"/>
        </w:rPr>
        <w:t>se do obtíží dostali/y v období od 1. 1. 2020 do 30. 6. 2021.</w:t>
      </w:r>
      <w:bookmarkEnd w:id="18"/>
    </w:p>
    <w:p w14:paraId="0A1764CC" w14:textId="1AD8D00D" w:rsidR="00FB6845" w:rsidRPr="003A4FCA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3A4FCA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3A4FCA">
        <w:rPr>
          <w:rFonts w:ascii="Arial" w:hAnsi="Arial" w:cs="Arial"/>
          <w:b/>
          <w:sz w:val="24"/>
          <w:szCs w:val="24"/>
        </w:rPr>
        <w:t>/příjemce</w:t>
      </w:r>
      <w:r w:rsidRPr="003A4FCA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3A4FCA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3A4FCA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Žadatel</w:t>
      </w:r>
      <w:r w:rsidR="00C33E1B" w:rsidRPr="003A4FCA">
        <w:rPr>
          <w:rFonts w:ascii="Arial" w:hAnsi="Arial" w:cs="Arial"/>
          <w:sz w:val="24"/>
          <w:szCs w:val="24"/>
        </w:rPr>
        <w:t>/příjemce</w:t>
      </w:r>
      <w:r w:rsidRPr="003A4FCA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3A4FCA">
        <w:rPr>
          <w:rFonts w:ascii="Arial" w:hAnsi="Arial" w:cs="Arial"/>
          <w:sz w:val="24"/>
          <w:szCs w:val="24"/>
        </w:rPr>
        <w:t xml:space="preserve">těchto pravidel </w:t>
      </w:r>
      <w:r w:rsidRPr="003A4FCA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A4FCA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3A4FCA">
        <w:rPr>
          <w:rFonts w:ascii="Arial" w:hAnsi="Arial" w:cs="Arial"/>
          <w:sz w:val="24"/>
          <w:szCs w:val="24"/>
        </w:rPr>
        <w:t xml:space="preserve">po připsání poskytnutých peněžních prostředků na </w:t>
      </w:r>
      <w:r w:rsidR="00633BA0" w:rsidRPr="003A4FCA">
        <w:rPr>
          <w:rFonts w:ascii="Arial" w:hAnsi="Arial" w:cs="Arial"/>
          <w:sz w:val="24"/>
          <w:szCs w:val="24"/>
        </w:rPr>
        <w:lastRenderedPageBreak/>
        <w:t>účet příjemce</w:t>
      </w:r>
      <w:r w:rsidR="00DA69E4" w:rsidRPr="003A4FCA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3A4FCA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655B6148" w:rsidR="00E41167" w:rsidRPr="003A4FCA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3A4FCA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3A4FCA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3A4FCA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3A4FCA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3A4FCA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4C398E04" w:rsidR="006A310B" w:rsidRPr="003A4FCA" w:rsidRDefault="00013614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9" w:name="základníPojmy"/>
      <w:bookmarkEnd w:id="19"/>
      <w:r w:rsidRPr="003A4FCA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3A4FCA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3A4FC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Administrátor</w:t>
      </w:r>
      <w:r w:rsidRPr="003A4FC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0669CC0A" w:rsidR="006A310B" w:rsidRPr="003A4FCA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3A4FC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A4FCA">
        <w:rPr>
          <w:rFonts w:ascii="Arial" w:hAnsi="Arial" w:cs="Arial"/>
          <w:sz w:val="24"/>
          <w:szCs w:val="24"/>
        </w:rPr>
        <w:t>aktivit</w:t>
      </w:r>
      <w:r w:rsidR="006A310B" w:rsidRPr="003A4FC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A4FCA">
        <w:rPr>
          <w:rFonts w:ascii="Arial" w:hAnsi="Arial" w:cs="Arial"/>
          <w:sz w:val="24"/>
          <w:szCs w:val="24"/>
        </w:rPr>
        <w:t>programu</w:t>
      </w:r>
      <w:r w:rsidR="006A310B" w:rsidRPr="003A4FC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A4FCA">
        <w:rPr>
          <w:rFonts w:ascii="Arial" w:hAnsi="Arial" w:cs="Arial"/>
          <w:sz w:val="24"/>
          <w:szCs w:val="24"/>
        </w:rPr>
        <w:t>programu</w:t>
      </w:r>
      <w:r w:rsidRPr="003A4FCA">
        <w:rPr>
          <w:rFonts w:ascii="Arial" w:hAnsi="Arial" w:cs="Arial"/>
          <w:sz w:val="24"/>
          <w:szCs w:val="24"/>
        </w:rPr>
        <w:t xml:space="preserve"> (např. </w:t>
      </w:r>
      <w:r w:rsidR="004B487C" w:rsidRPr="003A4FCA">
        <w:rPr>
          <w:rFonts w:ascii="Arial" w:hAnsi="Arial" w:cs="Arial"/>
          <w:sz w:val="24"/>
          <w:szCs w:val="24"/>
        </w:rPr>
        <w:t xml:space="preserve">kulturní </w:t>
      </w:r>
      <w:r w:rsidRPr="003A4FCA">
        <w:rPr>
          <w:rFonts w:ascii="Arial" w:hAnsi="Arial" w:cs="Arial"/>
          <w:sz w:val="24"/>
          <w:szCs w:val="24"/>
        </w:rPr>
        <w:t>celoroční činnost)</w:t>
      </w:r>
      <w:r w:rsidR="006A310B" w:rsidRPr="003A4FCA">
        <w:rPr>
          <w:rFonts w:ascii="Arial" w:hAnsi="Arial" w:cs="Arial"/>
          <w:sz w:val="24"/>
          <w:szCs w:val="24"/>
        </w:rPr>
        <w:t>.</w:t>
      </w:r>
    </w:p>
    <w:p w14:paraId="268D7581" w14:textId="19FAAE93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A4FC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A4FCA">
        <w:rPr>
          <w:rFonts w:ascii="Arial" w:hAnsi="Arial" w:cs="Arial"/>
          <w:sz w:val="24"/>
          <w:szCs w:val="24"/>
        </w:rPr>
        <w:t>činnost</w:t>
      </w:r>
      <w:r w:rsidR="00D11249" w:rsidRPr="003A4FCA">
        <w:rPr>
          <w:rFonts w:ascii="Arial" w:hAnsi="Arial" w:cs="Arial"/>
          <w:sz w:val="24"/>
          <w:szCs w:val="24"/>
        </w:rPr>
        <w:t>i</w:t>
      </w:r>
      <w:r w:rsidR="00BA36B7" w:rsidRPr="003A4FCA">
        <w:rPr>
          <w:rFonts w:ascii="Arial" w:hAnsi="Arial" w:cs="Arial"/>
          <w:sz w:val="24"/>
          <w:szCs w:val="24"/>
        </w:rPr>
        <w:t xml:space="preserve"> a uvedl je v žádosti o </w:t>
      </w:r>
      <w:r w:rsidRPr="003A4FC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A4FCA">
        <w:rPr>
          <w:rFonts w:ascii="Arial" w:hAnsi="Arial" w:cs="Arial"/>
          <w:sz w:val="24"/>
          <w:szCs w:val="24"/>
        </w:rPr>
        <w:t>činnost</w:t>
      </w:r>
      <w:r w:rsidR="00D11249" w:rsidRPr="003A4FCA">
        <w:rPr>
          <w:rFonts w:ascii="Arial" w:hAnsi="Arial" w:cs="Arial"/>
          <w:sz w:val="24"/>
          <w:szCs w:val="24"/>
        </w:rPr>
        <w:t>i</w:t>
      </w:r>
      <w:r w:rsidRPr="003A4FCA">
        <w:rPr>
          <w:rFonts w:ascii="Arial" w:hAnsi="Arial" w:cs="Arial"/>
          <w:sz w:val="24"/>
          <w:szCs w:val="24"/>
        </w:rPr>
        <w:t xml:space="preserve"> dle Pravidel </w:t>
      </w:r>
      <w:r w:rsidR="009C0F44" w:rsidRPr="003A4FCA">
        <w:rPr>
          <w:rFonts w:ascii="Arial" w:hAnsi="Arial" w:cs="Arial"/>
          <w:sz w:val="24"/>
          <w:szCs w:val="24"/>
        </w:rPr>
        <w:t xml:space="preserve">konkrétního </w:t>
      </w:r>
      <w:r w:rsidRPr="003A4FCA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3A4FCA">
        <w:rPr>
          <w:rFonts w:ascii="Arial" w:hAnsi="Arial" w:cs="Arial"/>
          <w:sz w:val="24"/>
          <w:szCs w:val="24"/>
        </w:rPr>
        <w:t>5.4.</w:t>
      </w:r>
      <w:r w:rsidRPr="003A4FC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5309EA59" w:rsidR="006A310B" w:rsidRPr="000C05C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A4FC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3A4FCA">
        <w:rPr>
          <w:rFonts w:ascii="Arial" w:hAnsi="Arial" w:cs="Arial"/>
          <w:sz w:val="24"/>
          <w:szCs w:val="24"/>
        </w:rPr>
        <w:t>činnosti</w:t>
      </w:r>
      <w:r w:rsidRPr="003A4FC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A4FCA">
        <w:rPr>
          <w:rFonts w:ascii="Arial" w:hAnsi="Arial" w:cs="Arial"/>
          <w:sz w:val="24"/>
          <w:szCs w:val="24"/>
        </w:rPr>
        <w:t xml:space="preserve">činnosti </w:t>
      </w:r>
      <w:r w:rsidRPr="003A4FCA">
        <w:rPr>
          <w:rFonts w:ascii="Arial" w:hAnsi="Arial" w:cs="Arial"/>
          <w:sz w:val="24"/>
          <w:szCs w:val="24"/>
        </w:rPr>
        <w:t xml:space="preserve">dle </w:t>
      </w:r>
      <w:r w:rsidR="00B43176" w:rsidRPr="003A4FCA">
        <w:rPr>
          <w:rFonts w:ascii="Arial" w:hAnsi="Arial" w:cs="Arial"/>
          <w:sz w:val="24"/>
          <w:szCs w:val="24"/>
        </w:rPr>
        <w:t xml:space="preserve">těchto </w:t>
      </w:r>
      <w:r w:rsidR="00AD590C" w:rsidRPr="003A4FCA">
        <w:rPr>
          <w:rFonts w:ascii="Arial" w:hAnsi="Arial" w:cs="Arial"/>
          <w:sz w:val="24"/>
          <w:szCs w:val="24"/>
        </w:rPr>
        <w:t>p</w:t>
      </w:r>
      <w:r w:rsidRPr="003A4FCA">
        <w:rPr>
          <w:rFonts w:ascii="Arial" w:hAnsi="Arial" w:cs="Arial"/>
          <w:sz w:val="24"/>
          <w:szCs w:val="24"/>
        </w:rPr>
        <w:t>ravidel dotačního programu, odst.</w:t>
      </w:r>
      <w:r w:rsidR="003F1369" w:rsidRPr="003A4FCA">
        <w:rPr>
          <w:rFonts w:ascii="Arial" w:hAnsi="Arial" w:cs="Arial"/>
          <w:sz w:val="24"/>
          <w:szCs w:val="24"/>
        </w:rPr>
        <w:t xml:space="preserve"> 5</w:t>
      </w:r>
      <w:r w:rsidRPr="003A4FCA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315F2E" w:rsidRPr="003A4FCA">
        <w:rPr>
          <w:rFonts w:ascii="Arial" w:hAnsi="Arial" w:cs="Arial"/>
          <w:sz w:val="24"/>
          <w:szCs w:val="24"/>
        </w:rPr>
        <w:t>e vlastní spoluúčasti žadatele.</w:t>
      </w:r>
      <w:r w:rsidR="000C05CF">
        <w:rPr>
          <w:rFonts w:ascii="Arial" w:hAnsi="Arial" w:cs="Arial"/>
          <w:sz w:val="24"/>
          <w:szCs w:val="24"/>
        </w:rPr>
        <w:t xml:space="preserve"> </w:t>
      </w:r>
      <w:r w:rsidR="000C05CF" w:rsidRPr="000C05CF">
        <w:rPr>
          <w:rFonts w:ascii="Arial" w:hAnsi="Arial" w:cs="Arial"/>
          <w:sz w:val="24"/>
          <w:szCs w:val="24"/>
        </w:rPr>
        <w:t>Pro potřeby tohoto dotačního programu se celkové skutečně vynaložené uznatelné výdaje současně považují za způsobilé náklady ve smyslu čl. 53 GBER.</w:t>
      </w:r>
    </w:p>
    <w:p w14:paraId="389D866A" w14:textId="77777777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Dotační program</w:t>
      </w:r>
      <w:r w:rsidRPr="003A4FCA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</w:t>
      </w:r>
      <w:r w:rsidRPr="003A4FCA">
        <w:rPr>
          <w:rFonts w:ascii="Arial" w:hAnsi="Arial" w:cs="Arial"/>
          <w:sz w:val="24"/>
          <w:szCs w:val="24"/>
        </w:rPr>
        <w:lastRenderedPageBreak/>
        <w:t>program není dále členěn na dotační tituly, musí být pro dotační program specifikován obecný účel poskytování dotací.</w:t>
      </w:r>
    </w:p>
    <w:p w14:paraId="0E3A5752" w14:textId="4FAA853E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Dotační titul</w:t>
      </w:r>
      <w:r w:rsidRPr="003A4FCA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3A4FCA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3A4FCA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3A4FCA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3A4FCA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11.</w:t>
      </w:r>
      <w:r w:rsidR="00AE3CBE" w:rsidRPr="003A4FCA">
        <w:rPr>
          <w:rFonts w:ascii="Arial" w:hAnsi="Arial" w:cs="Arial"/>
          <w:sz w:val="24"/>
          <w:szCs w:val="24"/>
        </w:rPr>
        <w:t>7</w:t>
      </w:r>
      <w:r w:rsidRPr="003A4FCA">
        <w:rPr>
          <w:rFonts w:ascii="Arial" w:hAnsi="Arial" w:cs="Arial"/>
          <w:sz w:val="24"/>
          <w:szCs w:val="24"/>
        </w:rPr>
        <w:t xml:space="preserve">.1. </w:t>
      </w:r>
      <w:r w:rsidRPr="003A4FCA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3A4FCA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3A4FCA">
        <w:rPr>
          <w:rFonts w:ascii="Arial" w:hAnsi="Arial" w:cs="Arial"/>
          <w:b/>
          <w:sz w:val="24"/>
          <w:szCs w:val="24"/>
        </w:rPr>
        <w:t xml:space="preserve"> jestliže</w:t>
      </w:r>
      <w:r w:rsidRPr="003A4FCA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3A4FCA">
        <w:rPr>
          <w:rFonts w:ascii="Arial" w:hAnsi="Arial" w:cs="Arial"/>
          <w:sz w:val="24"/>
          <w:szCs w:val="24"/>
        </w:rPr>
        <w:t xml:space="preserve">, </w:t>
      </w:r>
      <w:r w:rsidRPr="003A4FCA">
        <w:rPr>
          <w:rFonts w:ascii="Arial" w:hAnsi="Arial" w:cs="Arial"/>
          <w:sz w:val="24"/>
          <w:szCs w:val="24"/>
        </w:rPr>
        <w:t xml:space="preserve">tj. </w:t>
      </w:r>
      <w:r w:rsidRPr="003A4FCA">
        <w:rPr>
          <w:rFonts w:ascii="Arial" w:hAnsi="Arial" w:cs="Arial"/>
          <w:b/>
          <w:sz w:val="24"/>
          <w:szCs w:val="24"/>
        </w:rPr>
        <w:t>veřejnoprávní podepisující</w:t>
      </w:r>
      <w:r w:rsidRPr="003A4FCA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3A4FCA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11.</w:t>
      </w:r>
      <w:r w:rsidR="00AE3CBE" w:rsidRPr="003A4FCA">
        <w:rPr>
          <w:rFonts w:ascii="Arial" w:hAnsi="Arial" w:cs="Arial"/>
          <w:sz w:val="24"/>
          <w:szCs w:val="24"/>
        </w:rPr>
        <w:t>7</w:t>
      </w:r>
      <w:r w:rsidRPr="003A4FCA">
        <w:rPr>
          <w:rFonts w:ascii="Arial" w:hAnsi="Arial" w:cs="Arial"/>
          <w:sz w:val="24"/>
          <w:szCs w:val="24"/>
        </w:rPr>
        <w:t xml:space="preserve">.2. </w:t>
      </w:r>
      <w:r w:rsidRPr="003A4FCA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3A4FCA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3A4FCA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3A4FCA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3A4FCA">
        <w:rPr>
          <w:rFonts w:ascii="Arial" w:hAnsi="Arial" w:cs="Arial"/>
          <w:sz w:val="24"/>
          <w:szCs w:val="24"/>
        </w:rPr>
        <w:t> </w:t>
      </w:r>
      <w:r w:rsidR="009026A3" w:rsidRPr="003A4FCA">
        <w:rPr>
          <w:rFonts w:ascii="Arial" w:hAnsi="Arial" w:cs="Arial"/>
          <w:sz w:val="24"/>
          <w:szCs w:val="24"/>
        </w:rPr>
        <w:t>bodu</w:t>
      </w:r>
      <w:r w:rsidRPr="003A4FCA">
        <w:rPr>
          <w:rFonts w:ascii="Arial" w:hAnsi="Arial" w:cs="Arial"/>
          <w:sz w:val="24"/>
          <w:szCs w:val="24"/>
        </w:rPr>
        <w:t xml:space="preserve"> 11.</w:t>
      </w:r>
      <w:r w:rsidR="006A6D0D" w:rsidRPr="003A4FCA">
        <w:rPr>
          <w:rFonts w:ascii="Arial" w:hAnsi="Arial" w:cs="Arial"/>
          <w:sz w:val="24"/>
          <w:szCs w:val="24"/>
        </w:rPr>
        <w:t>7</w:t>
      </w:r>
      <w:r w:rsidRPr="003A4FCA">
        <w:rPr>
          <w:rFonts w:ascii="Arial" w:hAnsi="Arial" w:cs="Arial"/>
          <w:sz w:val="24"/>
          <w:szCs w:val="24"/>
        </w:rPr>
        <w:t>.1.</w:t>
      </w:r>
      <w:r w:rsidR="00E43F95" w:rsidRPr="003A4FCA">
        <w:rPr>
          <w:rFonts w:ascii="Arial" w:hAnsi="Arial" w:cs="Arial"/>
          <w:sz w:val="24"/>
          <w:szCs w:val="24"/>
        </w:rPr>
        <w:t xml:space="preserve"> (</w:t>
      </w:r>
      <w:r w:rsidRPr="003A4FCA">
        <w:rPr>
          <w:rFonts w:ascii="Arial" w:hAnsi="Arial" w:cs="Arial"/>
          <w:sz w:val="24"/>
          <w:szCs w:val="24"/>
        </w:rPr>
        <w:t>pokud ne</w:t>
      </w:r>
      <w:r w:rsidR="0028077E" w:rsidRPr="003A4FCA">
        <w:rPr>
          <w:rFonts w:ascii="Arial" w:hAnsi="Arial" w:cs="Arial"/>
          <w:sz w:val="24"/>
          <w:szCs w:val="24"/>
        </w:rPr>
        <w:t>po</w:t>
      </w:r>
      <w:r w:rsidRPr="003A4FCA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3A4FCA">
        <w:rPr>
          <w:rFonts w:ascii="Arial" w:hAnsi="Arial" w:cs="Arial"/>
          <w:sz w:val="24"/>
          <w:szCs w:val="24"/>
        </w:rPr>
        <w:t>)</w:t>
      </w:r>
      <w:r w:rsidRPr="003A4FCA">
        <w:rPr>
          <w:rFonts w:ascii="Arial" w:hAnsi="Arial" w:cs="Arial"/>
          <w:sz w:val="24"/>
          <w:szCs w:val="24"/>
        </w:rPr>
        <w:t>.</w:t>
      </w:r>
    </w:p>
    <w:p w14:paraId="6F348ADA" w14:textId="616451B3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Konkrétní účel </w:t>
      </w:r>
      <w:r w:rsidRPr="003A4FC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A4FCA">
        <w:rPr>
          <w:rFonts w:ascii="Arial" w:hAnsi="Arial" w:cs="Arial"/>
          <w:sz w:val="24"/>
          <w:szCs w:val="24"/>
        </w:rPr>
        <w:t>činnost</w:t>
      </w:r>
      <w:r w:rsidRPr="003A4FC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A4FCA">
        <w:rPr>
          <w:rFonts w:ascii="Arial" w:hAnsi="Arial" w:cs="Arial"/>
          <w:sz w:val="24"/>
          <w:szCs w:val="24"/>
        </w:rPr>
        <w:t>činnost</w:t>
      </w:r>
      <w:r w:rsidRPr="003A4FCA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3A4FCA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C3B567C" w:rsidR="006A310B" w:rsidRPr="003A4FCA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Neuznatelné výdaje</w:t>
      </w:r>
      <w:r w:rsidRPr="003A4FCA">
        <w:rPr>
          <w:rFonts w:ascii="Arial" w:hAnsi="Arial" w:cs="Arial"/>
          <w:sz w:val="24"/>
          <w:szCs w:val="24"/>
        </w:rPr>
        <w:t xml:space="preserve"> </w:t>
      </w:r>
      <w:r w:rsidR="003F7B8E" w:rsidRPr="003A4FC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A4FC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A4FCA">
        <w:rPr>
          <w:rFonts w:ascii="Arial" w:hAnsi="Arial" w:cs="Arial"/>
          <w:sz w:val="24"/>
          <w:szCs w:val="24"/>
        </w:rPr>
        <w:t xml:space="preserve">, </w:t>
      </w:r>
      <w:r w:rsidR="003F7B8E" w:rsidRPr="003A4FCA">
        <w:rPr>
          <w:rFonts w:ascii="Arial" w:hAnsi="Arial" w:cs="Arial"/>
          <w:sz w:val="24"/>
          <w:szCs w:val="24"/>
        </w:rPr>
        <w:t>použít.</w:t>
      </w:r>
      <w:r w:rsidR="00272D37" w:rsidRPr="003A4FCA">
        <w:rPr>
          <w:rFonts w:ascii="Arial" w:hAnsi="Arial" w:cs="Arial"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3A4FCA">
        <w:rPr>
          <w:rFonts w:ascii="Arial" w:hAnsi="Arial" w:cs="Arial"/>
          <w:sz w:val="24"/>
          <w:szCs w:val="24"/>
        </w:rPr>
        <w:t>p</w:t>
      </w:r>
      <w:r w:rsidRPr="003A4FCA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3A4FCA">
        <w:rPr>
          <w:rFonts w:ascii="Arial" w:hAnsi="Arial" w:cs="Arial"/>
          <w:sz w:val="24"/>
          <w:szCs w:val="24"/>
        </w:rPr>
        <w:t>7.4</w:t>
      </w:r>
      <w:r w:rsidRPr="003A4FCA">
        <w:rPr>
          <w:rFonts w:ascii="Arial" w:hAnsi="Arial" w:cs="Arial"/>
          <w:sz w:val="24"/>
          <w:szCs w:val="24"/>
        </w:rPr>
        <w:t>.</w:t>
      </w:r>
    </w:p>
    <w:p w14:paraId="63EF0230" w14:textId="7D5400BB" w:rsidR="008268F8" w:rsidRPr="003A4FCA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Obecný účel</w:t>
      </w:r>
      <w:r w:rsidRPr="003A4FC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A4FCA">
        <w:rPr>
          <w:rFonts w:ascii="Arial" w:hAnsi="Arial" w:cs="Arial"/>
          <w:sz w:val="24"/>
          <w:szCs w:val="24"/>
        </w:rPr>
        <w:t>programu</w:t>
      </w:r>
      <w:r w:rsidRPr="003A4FC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A4FC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A4FC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A4FCA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3A4FCA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3A4FCA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3A4FCA">
        <w:rPr>
          <w:rFonts w:ascii="Arial" w:hAnsi="Arial" w:cs="Arial"/>
          <w:sz w:val="24"/>
          <w:szCs w:val="24"/>
        </w:rPr>
        <w:t xml:space="preserve"> v systému RAP</w:t>
      </w:r>
      <w:r w:rsidR="00C8104A" w:rsidRPr="003A4FCA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3A4FCA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3A4FCA">
        <w:rPr>
          <w:rFonts w:ascii="Arial" w:hAnsi="Arial" w:cs="Arial"/>
          <w:sz w:val="24"/>
          <w:szCs w:val="24"/>
        </w:rPr>
        <w:t xml:space="preserve"> </w:t>
      </w:r>
      <w:r w:rsidR="00C8104A" w:rsidRPr="003A4FCA">
        <w:rPr>
          <w:rFonts w:ascii="Arial" w:hAnsi="Arial" w:cs="Arial"/>
          <w:b/>
          <w:sz w:val="24"/>
          <w:szCs w:val="24"/>
        </w:rPr>
        <w:t>kód</w:t>
      </w:r>
      <w:r w:rsidR="00C8104A" w:rsidRPr="003A4FCA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3A4FCA">
        <w:rPr>
          <w:rFonts w:ascii="Arial" w:hAnsi="Arial" w:cs="Arial"/>
          <w:b/>
          <w:sz w:val="24"/>
          <w:szCs w:val="24"/>
        </w:rPr>
        <w:t>formu listinnou</w:t>
      </w:r>
      <w:r w:rsidR="00C8104A" w:rsidRPr="003A4FCA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3A4FCA">
        <w:rPr>
          <w:rFonts w:ascii="Arial" w:hAnsi="Arial" w:cs="Arial"/>
          <w:b/>
          <w:sz w:val="24"/>
          <w:szCs w:val="24"/>
        </w:rPr>
        <w:t>formu elektronickou</w:t>
      </w:r>
      <w:r w:rsidR="003A3C60" w:rsidRPr="003A4FCA">
        <w:rPr>
          <w:rFonts w:ascii="Arial" w:hAnsi="Arial" w:cs="Arial"/>
          <w:b/>
          <w:sz w:val="24"/>
          <w:szCs w:val="24"/>
        </w:rPr>
        <w:t>,</w:t>
      </w:r>
      <w:r w:rsidR="00C8104A" w:rsidRPr="003A4FCA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3A4FCA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3A4FCA">
        <w:rPr>
          <w:rFonts w:ascii="Arial" w:hAnsi="Arial" w:cs="Arial"/>
          <w:sz w:val="24"/>
          <w:szCs w:val="24"/>
        </w:rPr>
        <w:t>elektronickým podpisem</w:t>
      </w:r>
      <w:r w:rsidR="00AB6332" w:rsidRPr="003A4FCA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3A4FCA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11.1</w:t>
      </w:r>
      <w:r w:rsidR="00A41634" w:rsidRPr="003A4FCA">
        <w:rPr>
          <w:rFonts w:ascii="Arial" w:hAnsi="Arial" w:cs="Arial"/>
          <w:sz w:val="24"/>
          <w:szCs w:val="24"/>
        </w:rPr>
        <w:t>1</w:t>
      </w:r>
      <w:r w:rsidRPr="003A4FCA">
        <w:rPr>
          <w:rFonts w:ascii="Arial" w:hAnsi="Arial" w:cs="Arial"/>
          <w:sz w:val="24"/>
          <w:szCs w:val="24"/>
        </w:rPr>
        <w:t>.1.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="001F69D8" w:rsidRPr="003A4FCA">
        <w:rPr>
          <w:rFonts w:ascii="Arial" w:hAnsi="Arial" w:cs="Arial"/>
          <w:b/>
          <w:sz w:val="24"/>
          <w:szCs w:val="24"/>
        </w:rPr>
        <w:t>Listinná</w:t>
      </w:r>
      <w:r w:rsidR="00CD1DE7" w:rsidRPr="003A4FCA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3A4FCA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3A4FCA">
        <w:rPr>
          <w:rFonts w:ascii="Arial" w:hAnsi="Arial" w:cs="Arial"/>
          <w:sz w:val="24"/>
          <w:szCs w:val="24"/>
        </w:rPr>
        <w:t xml:space="preserve">a odeslaná </w:t>
      </w:r>
      <w:r w:rsidR="00CD1DE7" w:rsidRPr="003A4FCA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3A4FCA">
        <w:rPr>
          <w:rFonts w:ascii="Arial" w:hAnsi="Arial" w:cs="Arial"/>
          <w:sz w:val="24"/>
          <w:szCs w:val="24"/>
        </w:rPr>
        <w:t>,</w:t>
      </w:r>
      <w:r w:rsidR="00CD1DE7" w:rsidRPr="003A4FC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A4FCA">
        <w:rPr>
          <w:rFonts w:ascii="Arial" w:hAnsi="Arial" w:cs="Arial"/>
          <w:sz w:val="24"/>
          <w:szCs w:val="24"/>
        </w:rPr>
        <w:t>,</w:t>
      </w:r>
      <w:r w:rsidR="00CD1DE7" w:rsidRPr="003A4FCA">
        <w:rPr>
          <w:rFonts w:ascii="Arial" w:hAnsi="Arial" w:cs="Arial"/>
          <w:sz w:val="24"/>
          <w:szCs w:val="24"/>
        </w:rPr>
        <w:t xml:space="preserve"> </w:t>
      </w:r>
      <w:r w:rsidR="006F548B" w:rsidRPr="003A4FCA">
        <w:rPr>
          <w:rFonts w:ascii="Arial" w:hAnsi="Arial" w:cs="Arial"/>
          <w:sz w:val="24"/>
          <w:szCs w:val="24"/>
        </w:rPr>
        <w:t>a následně</w:t>
      </w:r>
      <w:r w:rsidR="006F6255" w:rsidRPr="003A4FCA">
        <w:rPr>
          <w:rFonts w:ascii="Arial" w:hAnsi="Arial" w:cs="Arial"/>
          <w:sz w:val="24"/>
          <w:szCs w:val="24"/>
        </w:rPr>
        <w:t xml:space="preserve"> </w:t>
      </w:r>
      <w:r w:rsidR="00CD1DE7" w:rsidRPr="003A4FCA">
        <w:rPr>
          <w:rFonts w:ascii="Arial" w:hAnsi="Arial" w:cs="Arial"/>
          <w:b/>
          <w:sz w:val="24"/>
          <w:szCs w:val="24"/>
        </w:rPr>
        <w:t>vytištěn</w:t>
      </w:r>
      <w:r w:rsidR="008D2F0A" w:rsidRPr="003A4FCA">
        <w:rPr>
          <w:rFonts w:ascii="Arial" w:hAnsi="Arial" w:cs="Arial"/>
          <w:b/>
          <w:sz w:val="24"/>
          <w:szCs w:val="24"/>
        </w:rPr>
        <w:t>á</w:t>
      </w:r>
      <w:r w:rsidR="006F548B" w:rsidRPr="003A4FCA">
        <w:rPr>
          <w:rFonts w:ascii="Arial" w:hAnsi="Arial" w:cs="Arial"/>
          <w:sz w:val="24"/>
          <w:szCs w:val="24"/>
        </w:rPr>
        <w:t>,</w:t>
      </w:r>
      <w:r w:rsidR="008D2F0A" w:rsidRPr="003A4FCA">
        <w:rPr>
          <w:rFonts w:ascii="Arial" w:hAnsi="Arial" w:cs="Arial"/>
          <w:sz w:val="24"/>
          <w:szCs w:val="24"/>
        </w:rPr>
        <w:t xml:space="preserve"> opatřená</w:t>
      </w:r>
      <w:r w:rsidR="006F548B" w:rsidRPr="003A4FCA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3A4FCA">
        <w:rPr>
          <w:rFonts w:ascii="Arial" w:hAnsi="Arial" w:cs="Arial"/>
          <w:sz w:val="24"/>
          <w:szCs w:val="24"/>
        </w:rPr>
        <w:t> </w:t>
      </w:r>
      <w:r w:rsidR="001207B5" w:rsidRPr="003A4FCA">
        <w:rPr>
          <w:rFonts w:ascii="Arial" w:hAnsi="Arial" w:cs="Arial"/>
          <w:sz w:val="24"/>
          <w:szCs w:val="24"/>
        </w:rPr>
        <w:t>doručená</w:t>
      </w:r>
      <w:r w:rsidR="00CD1DE7" w:rsidRPr="003A4FCA">
        <w:rPr>
          <w:rFonts w:ascii="Arial" w:hAnsi="Arial" w:cs="Arial"/>
          <w:sz w:val="24"/>
          <w:szCs w:val="24"/>
        </w:rPr>
        <w:t xml:space="preserve"> </w:t>
      </w:r>
      <w:r w:rsidR="001F69D8" w:rsidRPr="003A4FCA">
        <w:rPr>
          <w:rFonts w:ascii="Arial" w:hAnsi="Arial" w:cs="Arial"/>
          <w:sz w:val="24"/>
          <w:szCs w:val="24"/>
        </w:rPr>
        <w:t xml:space="preserve">dle bodu 8.3.1 </w:t>
      </w:r>
      <w:r w:rsidR="007A1EF8" w:rsidRPr="003A4FCA">
        <w:rPr>
          <w:rFonts w:ascii="Arial" w:hAnsi="Arial" w:cs="Arial"/>
          <w:sz w:val="24"/>
          <w:szCs w:val="24"/>
        </w:rPr>
        <w:t>písm</w:t>
      </w:r>
      <w:r w:rsidR="001F69D8" w:rsidRPr="003A4FCA">
        <w:rPr>
          <w:rFonts w:ascii="Arial" w:hAnsi="Arial" w:cs="Arial"/>
          <w:sz w:val="24"/>
          <w:szCs w:val="24"/>
        </w:rPr>
        <w:t xml:space="preserve">. </w:t>
      </w:r>
      <w:r w:rsidR="009026A3" w:rsidRPr="003A4FCA">
        <w:rPr>
          <w:rFonts w:ascii="Arial" w:hAnsi="Arial" w:cs="Arial"/>
          <w:sz w:val="24"/>
          <w:szCs w:val="24"/>
        </w:rPr>
        <w:t>d</w:t>
      </w:r>
      <w:r w:rsidR="007A1EF8" w:rsidRPr="003A4FCA">
        <w:rPr>
          <w:rFonts w:ascii="Arial" w:hAnsi="Arial" w:cs="Arial"/>
          <w:sz w:val="24"/>
          <w:szCs w:val="24"/>
        </w:rPr>
        <w:t>)</w:t>
      </w:r>
      <w:r w:rsidR="00BD1DEF" w:rsidRPr="003A4FCA">
        <w:rPr>
          <w:rFonts w:ascii="Arial" w:hAnsi="Arial" w:cs="Arial"/>
          <w:sz w:val="24"/>
          <w:szCs w:val="24"/>
        </w:rPr>
        <w:t xml:space="preserve"> </w:t>
      </w:r>
      <w:r w:rsidR="007A1EF8" w:rsidRPr="003A4FCA">
        <w:rPr>
          <w:rFonts w:ascii="Arial" w:hAnsi="Arial" w:cs="Arial"/>
          <w:sz w:val="24"/>
          <w:szCs w:val="24"/>
        </w:rPr>
        <w:t>nebo</w:t>
      </w:r>
      <w:r w:rsidR="00BD1DEF" w:rsidRPr="003A4FCA">
        <w:rPr>
          <w:rFonts w:ascii="Arial" w:hAnsi="Arial" w:cs="Arial"/>
          <w:sz w:val="24"/>
          <w:szCs w:val="24"/>
        </w:rPr>
        <w:t xml:space="preserve"> </w:t>
      </w:r>
      <w:r w:rsidR="009026A3" w:rsidRPr="003A4FCA">
        <w:rPr>
          <w:rFonts w:ascii="Arial" w:hAnsi="Arial" w:cs="Arial"/>
          <w:sz w:val="24"/>
          <w:szCs w:val="24"/>
        </w:rPr>
        <w:t>e</w:t>
      </w:r>
      <w:r w:rsidR="007A1EF8" w:rsidRPr="003A4FCA">
        <w:rPr>
          <w:rFonts w:ascii="Arial" w:hAnsi="Arial" w:cs="Arial"/>
          <w:sz w:val="24"/>
          <w:szCs w:val="24"/>
        </w:rPr>
        <w:t>)</w:t>
      </w:r>
      <w:r w:rsidR="006F6255" w:rsidRPr="003A4FCA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3A4FCA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lastRenderedPageBreak/>
        <w:t>11.1</w:t>
      </w:r>
      <w:r w:rsidR="00A41634" w:rsidRPr="003A4FCA">
        <w:rPr>
          <w:rFonts w:ascii="Arial" w:hAnsi="Arial" w:cs="Arial"/>
          <w:sz w:val="24"/>
          <w:szCs w:val="24"/>
        </w:rPr>
        <w:t>1</w:t>
      </w:r>
      <w:r w:rsidRPr="003A4FCA">
        <w:rPr>
          <w:rFonts w:ascii="Arial" w:hAnsi="Arial" w:cs="Arial"/>
          <w:sz w:val="24"/>
          <w:szCs w:val="24"/>
        </w:rPr>
        <w:t>.2.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="002919AB" w:rsidRPr="003A4FCA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3A4FCA">
        <w:rPr>
          <w:rFonts w:ascii="Arial" w:hAnsi="Arial" w:cs="Arial"/>
          <w:sz w:val="24"/>
          <w:szCs w:val="24"/>
        </w:rPr>
        <w:t>o poskytnutí dotace je žádost,</w:t>
      </w:r>
      <w:r w:rsidR="008D2F0A" w:rsidRPr="003A4FCA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3A4FCA">
        <w:rPr>
          <w:rFonts w:ascii="Arial" w:hAnsi="Arial" w:cs="Arial"/>
          <w:sz w:val="24"/>
          <w:szCs w:val="24"/>
        </w:rPr>
        <w:t>,</w:t>
      </w:r>
      <w:r w:rsidR="008D2F0A" w:rsidRPr="003A4FCA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A4FCA">
        <w:rPr>
          <w:rFonts w:ascii="Arial" w:hAnsi="Arial" w:cs="Arial"/>
          <w:sz w:val="24"/>
          <w:szCs w:val="24"/>
        </w:rPr>
        <w:t>,</w:t>
      </w:r>
      <w:r w:rsidR="008D2F0A" w:rsidRPr="003A4FCA">
        <w:rPr>
          <w:rFonts w:ascii="Arial" w:hAnsi="Arial" w:cs="Arial"/>
          <w:sz w:val="24"/>
          <w:szCs w:val="24"/>
        </w:rPr>
        <w:t xml:space="preserve"> a odeslaná </w:t>
      </w:r>
      <w:r w:rsidR="006F6255" w:rsidRPr="003A4FCA">
        <w:rPr>
          <w:rFonts w:ascii="Arial" w:hAnsi="Arial" w:cs="Arial"/>
          <w:sz w:val="24"/>
          <w:szCs w:val="24"/>
        </w:rPr>
        <w:t xml:space="preserve">elektronicky </w:t>
      </w:r>
      <w:r w:rsidR="008D2F0A" w:rsidRPr="003A4FCA">
        <w:rPr>
          <w:rFonts w:ascii="Arial" w:hAnsi="Arial" w:cs="Arial"/>
          <w:sz w:val="24"/>
          <w:szCs w:val="24"/>
        </w:rPr>
        <w:t xml:space="preserve">dle bodu </w:t>
      </w:r>
      <w:r w:rsidR="009F1160" w:rsidRPr="003A4FCA">
        <w:rPr>
          <w:rFonts w:ascii="Arial" w:hAnsi="Arial" w:cs="Arial"/>
          <w:sz w:val="24"/>
          <w:szCs w:val="24"/>
        </w:rPr>
        <w:t>8.3.1. písm.</w:t>
      </w:r>
      <w:r w:rsidR="00C71F67" w:rsidRPr="003A4FCA">
        <w:rPr>
          <w:rFonts w:ascii="Arial" w:hAnsi="Arial" w:cs="Arial"/>
          <w:sz w:val="24"/>
          <w:szCs w:val="24"/>
        </w:rPr>
        <w:t xml:space="preserve"> a</w:t>
      </w:r>
      <w:r w:rsidR="007A1EF8" w:rsidRPr="003A4FCA">
        <w:rPr>
          <w:rFonts w:ascii="Arial" w:hAnsi="Arial" w:cs="Arial"/>
          <w:sz w:val="24"/>
          <w:szCs w:val="24"/>
        </w:rPr>
        <w:t>)</w:t>
      </w:r>
      <w:r w:rsidR="009026A3" w:rsidRPr="003A4FCA">
        <w:rPr>
          <w:rFonts w:ascii="Arial" w:hAnsi="Arial" w:cs="Arial"/>
          <w:sz w:val="24"/>
          <w:szCs w:val="24"/>
        </w:rPr>
        <w:t>,</w:t>
      </w:r>
      <w:r w:rsidR="00C71F67" w:rsidRPr="003A4FCA">
        <w:rPr>
          <w:rFonts w:ascii="Arial" w:hAnsi="Arial" w:cs="Arial"/>
          <w:sz w:val="24"/>
          <w:szCs w:val="24"/>
        </w:rPr>
        <w:t xml:space="preserve"> b</w:t>
      </w:r>
      <w:r w:rsidR="007A1EF8" w:rsidRPr="003A4FCA">
        <w:rPr>
          <w:rFonts w:ascii="Arial" w:hAnsi="Arial" w:cs="Arial"/>
          <w:sz w:val="24"/>
          <w:szCs w:val="24"/>
        </w:rPr>
        <w:t>)</w:t>
      </w:r>
      <w:r w:rsidR="00786F00" w:rsidRPr="003A4FCA">
        <w:rPr>
          <w:rFonts w:ascii="Arial" w:hAnsi="Arial" w:cs="Arial"/>
          <w:sz w:val="24"/>
          <w:szCs w:val="24"/>
        </w:rPr>
        <w:t xml:space="preserve">, </w:t>
      </w:r>
      <w:r w:rsidR="009026A3" w:rsidRPr="003A4FCA">
        <w:rPr>
          <w:rFonts w:ascii="Arial" w:hAnsi="Arial" w:cs="Arial"/>
          <w:sz w:val="24"/>
          <w:szCs w:val="24"/>
        </w:rPr>
        <w:t xml:space="preserve">c) nebo </w:t>
      </w:r>
      <w:r w:rsidR="00F5523A" w:rsidRPr="003A4FCA">
        <w:rPr>
          <w:rFonts w:ascii="Arial" w:hAnsi="Arial" w:cs="Arial"/>
          <w:sz w:val="24"/>
          <w:szCs w:val="24"/>
        </w:rPr>
        <w:t>f</w:t>
      </w:r>
      <w:r w:rsidR="00786F00" w:rsidRPr="003A4FCA">
        <w:rPr>
          <w:rFonts w:ascii="Arial" w:hAnsi="Arial" w:cs="Arial"/>
          <w:sz w:val="24"/>
          <w:szCs w:val="24"/>
        </w:rPr>
        <w:t>)</w:t>
      </w:r>
      <w:r w:rsidR="006F6255" w:rsidRPr="003A4FCA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3A4FCA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0" w:name="píseŽádostDefinice"/>
      <w:bookmarkEnd w:id="20"/>
      <w:r w:rsidRPr="003A4FCA">
        <w:rPr>
          <w:rFonts w:ascii="Arial" w:hAnsi="Arial" w:cs="Arial"/>
          <w:b/>
          <w:sz w:val="24"/>
          <w:szCs w:val="24"/>
        </w:rPr>
        <w:t>Poradní orgán</w:t>
      </w:r>
      <w:r w:rsidRPr="003A4FC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Poskytovatel dotace</w:t>
      </w:r>
      <w:r w:rsidRPr="003A4FC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F98E700" w:rsidR="00724C93" w:rsidRPr="003A4FCA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Projekt</w:t>
      </w:r>
      <w:r w:rsidR="00AB6332" w:rsidRPr="003A4FCA">
        <w:rPr>
          <w:rFonts w:ascii="Arial" w:hAnsi="Arial" w:cs="Arial"/>
          <w:b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programu, např. kulturní celoroční činnost)</w:t>
      </w:r>
      <w:r w:rsidR="00786F00" w:rsidRPr="003A4FCA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Příjemce</w:t>
      </w:r>
      <w:r w:rsidRPr="003A4FC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3A4FCA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Řídící orgán </w:t>
      </w:r>
      <w:r w:rsidRPr="003A4FCA">
        <w:rPr>
          <w:rFonts w:ascii="Arial" w:hAnsi="Arial" w:cs="Arial"/>
          <w:sz w:val="24"/>
          <w:szCs w:val="24"/>
        </w:rPr>
        <w:t>u poskytovatele je</w:t>
      </w:r>
      <w:r w:rsidRPr="003A4FCA">
        <w:rPr>
          <w:rFonts w:ascii="Arial" w:hAnsi="Arial" w:cs="Arial"/>
          <w:b/>
          <w:sz w:val="24"/>
          <w:szCs w:val="24"/>
        </w:rPr>
        <w:t xml:space="preserve"> </w:t>
      </w:r>
      <w:r w:rsidRPr="003A4FCA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3A4FCA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3A4FCA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Smlouva </w:t>
      </w:r>
      <w:r w:rsidRPr="003A4FCA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3A4FCA">
        <w:rPr>
          <w:rFonts w:ascii="Arial" w:hAnsi="Arial" w:cs="Arial"/>
          <w:sz w:val="24"/>
          <w:szCs w:val="24"/>
        </w:rPr>
        <w:t xml:space="preserve"> </w:t>
      </w:r>
      <w:r w:rsidR="00BA36B7" w:rsidRPr="003A4FCA">
        <w:rPr>
          <w:rFonts w:ascii="Arial" w:hAnsi="Arial" w:cs="Arial"/>
          <w:b/>
          <w:sz w:val="24"/>
          <w:szCs w:val="24"/>
        </w:rPr>
        <w:t>S </w:t>
      </w:r>
      <w:r w:rsidR="00DD1CAB" w:rsidRPr="003A4FCA">
        <w:rPr>
          <w:rFonts w:ascii="Arial" w:hAnsi="Arial" w:cs="Arial"/>
          <w:b/>
          <w:sz w:val="24"/>
          <w:szCs w:val="24"/>
        </w:rPr>
        <w:t>příjemci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3A4FCA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3A4FCA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3A4FCA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3A4FCA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3A4FCA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3A4FCA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3A4FCA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3A4FCA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3A4FCA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3A4FCA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3A4FCA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3A4FC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3A4FCA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3A4FCA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3A4FC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3A4FCA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3A4FCA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3A4FCA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3A4FCA">
        <w:rPr>
          <w:rFonts w:ascii="Arial" w:hAnsi="Arial" w:cs="Arial"/>
          <w:sz w:val="24"/>
          <w:szCs w:val="24"/>
          <w:lang w:val="sv-SE"/>
        </w:rPr>
        <w:t>,</w:t>
      </w:r>
      <w:r w:rsidR="00291D62" w:rsidRPr="003A4FCA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3A4FCA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3A4FCA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BD8312F" w:rsidR="00C14143" w:rsidRPr="003A4FCA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Uznatelný výdaj</w:t>
      </w:r>
      <w:r w:rsidRPr="003A4FCA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3A4FCA">
        <w:rPr>
          <w:rFonts w:ascii="Arial" w:hAnsi="Arial" w:cs="Arial"/>
          <w:sz w:val="24"/>
          <w:szCs w:val="24"/>
        </w:rPr>
        <w:t>těchto p</w:t>
      </w:r>
      <w:r w:rsidRPr="003A4FCA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3A4FCA">
        <w:rPr>
          <w:rFonts w:ascii="Arial" w:hAnsi="Arial" w:cs="Arial"/>
          <w:sz w:val="24"/>
          <w:szCs w:val="24"/>
        </w:rPr>
        <w:t>5.4</w:t>
      </w:r>
      <w:r w:rsidRPr="003A4FCA">
        <w:rPr>
          <w:rFonts w:ascii="Arial" w:hAnsi="Arial" w:cs="Arial"/>
          <w:sz w:val="24"/>
          <w:szCs w:val="24"/>
          <w:u w:val="single"/>
        </w:rPr>
        <w:t>.</w:t>
      </w:r>
      <w:r w:rsidRPr="003A4FCA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A4FCA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A4FCA">
        <w:rPr>
          <w:rFonts w:ascii="Arial" w:hAnsi="Arial" w:cs="Arial"/>
          <w:sz w:val="24"/>
          <w:szCs w:val="24"/>
        </w:rPr>
        <w:t>ky uznatelnosti musí splňovat i </w:t>
      </w:r>
      <w:r w:rsidRPr="003A4FCA">
        <w:rPr>
          <w:rFonts w:ascii="Arial" w:hAnsi="Arial" w:cs="Arial"/>
          <w:sz w:val="24"/>
          <w:szCs w:val="24"/>
        </w:rPr>
        <w:t>výdaje týkající s</w:t>
      </w:r>
      <w:r w:rsidR="00315F2E" w:rsidRPr="003A4FCA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21164264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A4FCA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3A4FCA">
        <w:rPr>
          <w:rFonts w:ascii="Arial" w:hAnsi="Arial" w:cs="Arial"/>
          <w:sz w:val="24"/>
          <w:szCs w:val="24"/>
        </w:rPr>
        <w:t>činnosti</w:t>
      </w:r>
      <w:r w:rsidRPr="003A4FCA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3A4FCA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Žadatel</w:t>
      </w:r>
      <w:r w:rsidRPr="003A4FC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3A4FCA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3A4FCA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1A96DF15" w:rsidR="006A310B" w:rsidRPr="003A4FC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lastRenderedPageBreak/>
        <w:t xml:space="preserve">Zdroje spolufinancování </w:t>
      </w:r>
      <w:r w:rsidRPr="003A4FCA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3A4FCA">
        <w:rPr>
          <w:rFonts w:ascii="Arial" w:hAnsi="Arial" w:cs="Arial"/>
          <w:sz w:val="24"/>
          <w:szCs w:val="24"/>
        </w:rPr>
        <w:t>činnosti</w:t>
      </w:r>
      <w:r w:rsidRPr="003A4FCA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2E285834" w:rsidR="006A310B" w:rsidRPr="003A4FCA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>Vlastní zdroje</w:t>
      </w:r>
      <w:r w:rsidRPr="003A4FCA">
        <w:rPr>
          <w:rFonts w:ascii="Arial" w:hAnsi="Arial" w:cs="Arial"/>
          <w:sz w:val="24"/>
          <w:szCs w:val="24"/>
        </w:rPr>
        <w:t xml:space="preserve"> – </w:t>
      </w:r>
      <w:r w:rsidR="00EF5BD2" w:rsidRPr="003A4FC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A4FCA">
        <w:rPr>
          <w:rFonts w:ascii="Arial" w:hAnsi="Arial" w:cs="Arial"/>
          <w:sz w:val="24"/>
          <w:szCs w:val="24"/>
        </w:rPr>
        <w:t>í</w:t>
      </w:r>
      <w:r w:rsidR="00EF5BD2" w:rsidRPr="003A4FCA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4B2D98D4" w:rsidR="00EF5BD2" w:rsidRPr="003A4FCA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A4FCA">
        <w:rPr>
          <w:rFonts w:ascii="Arial" w:hAnsi="Arial" w:cs="Arial"/>
          <w:b/>
          <w:bCs/>
        </w:rPr>
        <w:t>Jiné zdroje</w:t>
      </w:r>
      <w:r w:rsidRPr="003A4FCA">
        <w:rPr>
          <w:rFonts w:ascii="Arial" w:hAnsi="Arial" w:cs="Arial"/>
        </w:rPr>
        <w:t xml:space="preserve"> – </w:t>
      </w:r>
      <w:r w:rsidR="00EF5BD2" w:rsidRPr="003A4FCA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dary)</w:t>
      </w:r>
      <w:r w:rsidR="00AC0CE3">
        <w:rPr>
          <w:rFonts w:ascii="Arial" w:hAnsi="Arial" w:cs="Arial"/>
          <w:sz w:val="24"/>
          <w:szCs w:val="24"/>
        </w:rPr>
        <w:t>.</w:t>
      </w:r>
    </w:p>
    <w:p w14:paraId="6A38DFA1" w14:textId="73CC8293" w:rsidR="005B4D66" w:rsidRPr="003A4FCA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A4FC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A4FCA">
        <w:rPr>
          <w:rFonts w:ascii="Arial" w:hAnsi="Arial" w:cs="Arial"/>
          <w:sz w:val="24"/>
          <w:szCs w:val="24"/>
        </w:rPr>
        <w:t xml:space="preserve">jsou </w:t>
      </w:r>
      <w:r w:rsidR="005B4D66" w:rsidRPr="003A4FC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</w:t>
      </w:r>
      <w:r w:rsidR="006B6AF4">
        <w:rPr>
          <w:rFonts w:ascii="Arial" w:hAnsi="Arial" w:cs="Arial"/>
          <w:sz w:val="24"/>
          <w:szCs w:val="24"/>
        </w:rPr>
        <w:t>činnosti</w:t>
      </w:r>
      <w:r w:rsidR="005B4D66" w:rsidRPr="003A4FCA">
        <w:rPr>
          <w:rFonts w:ascii="Arial" w:hAnsi="Arial" w:cs="Arial"/>
          <w:sz w:val="24"/>
          <w:szCs w:val="24"/>
        </w:rPr>
        <w:t xml:space="preserve">, </w:t>
      </w:r>
      <w:r w:rsidR="00E233CD" w:rsidRPr="003A4FCA">
        <w:rPr>
          <w:rFonts w:ascii="Arial" w:hAnsi="Arial" w:cs="Arial"/>
          <w:sz w:val="24"/>
          <w:szCs w:val="24"/>
        </w:rPr>
        <w:t xml:space="preserve">např. </w:t>
      </w:r>
      <w:r w:rsidR="005B4D66" w:rsidRPr="003A4FC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A4FCA">
        <w:rPr>
          <w:rFonts w:ascii="Arial" w:hAnsi="Arial" w:cs="Arial"/>
          <w:sz w:val="24"/>
          <w:szCs w:val="24"/>
        </w:rPr>
        <w:t xml:space="preserve">, </w:t>
      </w:r>
      <w:r w:rsidR="005B4D66" w:rsidRPr="003A4FCA">
        <w:rPr>
          <w:rFonts w:ascii="Arial" w:hAnsi="Arial" w:cs="Arial"/>
          <w:sz w:val="24"/>
          <w:szCs w:val="24"/>
        </w:rPr>
        <w:t>příspěvky, dary, vstupné</w:t>
      </w:r>
      <w:r w:rsidR="00E233CD" w:rsidRPr="003A4FCA">
        <w:rPr>
          <w:rFonts w:ascii="Arial" w:hAnsi="Arial" w:cs="Arial"/>
          <w:sz w:val="24"/>
          <w:szCs w:val="24"/>
        </w:rPr>
        <w:t xml:space="preserve">, příjmy z pronájmu prostor na </w:t>
      </w:r>
      <w:r w:rsidR="006B6AF4">
        <w:rPr>
          <w:rFonts w:ascii="Arial" w:hAnsi="Arial" w:cs="Arial"/>
          <w:sz w:val="24"/>
          <w:szCs w:val="24"/>
        </w:rPr>
        <w:t>činnost</w:t>
      </w:r>
      <w:r w:rsidR="000D23CF" w:rsidRPr="003A4FCA">
        <w:rPr>
          <w:rFonts w:ascii="Arial" w:hAnsi="Arial" w:cs="Arial"/>
          <w:sz w:val="24"/>
          <w:szCs w:val="24"/>
        </w:rPr>
        <w:t>.</w:t>
      </w:r>
    </w:p>
    <w:p w14:paraId="787526CF" w14:textId="77777777" w:rsidR="00691685" w:rsidRPr="003A4FC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A4FC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A4FC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A4FC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3A4FCA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A4FCA">
        <w:rPr>
          <w:rFonts w:ascii="Arial" w:hAnsi="Arial" w:cs="Arial"/>
          <w:bCs/>
          <w:sz w:val="24"/>
          <w:szCs w:val="24"/>
        </w:rPr>
        <w:t>čuje lhůtu pro přijetí návrhu v </w:t>
      </w:r>
      <w:r w:rsidRPr="003A4FCA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3A4FC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6B6EAA0C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3A4FCA">
        <w:rPr>
          <w:rFonts w:ascii="Arial" w:hAnsi="Arial" w:cs="Arial"/>
          <w:bCs/>
          <w:sz w:val="24"/>
          <w:szCs w:val="24"/>
        </w:rPr>
        <w:t xml:space="preserve">ani její část </w:t>
      </w:r>
      <w:r w:rsidRPr="003A4FCA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7D5360" w:rsidRPr="003A4FCA">
        <w:rPr>
          <w:rFonts w:ascii="Arial" w:hAnsi="Arial" w:cs="Arial"/>
          <w:bCs/>
          <w:sz w:val="24"/>
          <w:szCs w:val="24"/>
        </w:rPr>
        <w:t>činnosti</w:t>
      </w:r>
      <w:r w:rsidR="00C90C2B" w:rsidRPr="003A4FCA">
        <w:rPr>
          <w:rFonts w:ascii="Arial" w:hAnsi="Arial" w:cs="Arial"/>
          <w:bCs/>
          <w:sz w:val="24"/>
          <w:szCs w:val="24"/>
        </w:rPr>
        <w:t xml:space="preserve"> nebo jinou osobu</w:t>
      </w:r>
      <w:r w:rsidRPr="003A4FCA">
        <w:rPr>
          <w:rFonts w:ascii="Arial" w:hAnsi="Arial" w:cs="Arial"/>
          <w:bCs/>
          <w:sz w:val="24"/>
          <w:szCs w:val="24"/>
        </w:rPr>
        <w:t>.</w:t>
      </w:r>
      <w:r w:rsidR="00C90C2B" w:rsidRPr="003A4FCA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3A4FC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441AD07" w14:textId="78D93F43" w:rsidR="00D81DFB" w:rsidRPr="003A4FCA" w:rsidRDefault="00FE27D8" w:rsidP="0041215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Dotace dle tohoto dotačního programu bude poskytována jako veřejná podpora slučitelná s vnitřním trhem</w:t>
      </w:r>
      <w:r w:rsidRPr="003A4FCA">
        <w:rPr>
          <w:rFonts w:ascii="Arial" w:hAnsi="Arial" w:cs="Arial"/>
          <w:bCs/>
          <w:sz w:val="24"/>
          <w:szCs w:val="24"/>
        </w:rPr>
        <w:t xml:space="preserve"> dle GBER (čl. 53 Podpora kultury a zachování kulturního dědictví). </w:t>
      </w:r>
      <w:r w:rsidR="00412158" w:rsidRPr="003A4FCA">
        <w:rPr>
          <w:rFonts w:ascii="Arial" w:hAnsi="Arial" w:cs="Arial"/>
          <w:bCs/>
          <w:sz w:val="24"/>
          <w:szCs w:val="24"/>
        </w:rPr>
        <w:t xml:space="preserve"> </w:t>
      </w:r>
    </w:p>
    <w:p w14:paraId="1697ECDE" w14:textId="77777777" w:rsidR="00691685" w:rsidRPr="003A4FCA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3448E27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3A4FCA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9D2D587" w:rsidR="00691685" w:rsidRPr="003A4FC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3A4FCA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4BA66520" w14:textId="77777777" w:rsidR="00BB0A8A" w:rsidRPr="003A4FCA" w:rsidRDefault="00BB0A8A" w:rsidP="00BB0A8A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5A796B56" w14:textId="77777777" w:rsidR="00BB0A8A" w:rsidRPr="003A4FCA" w:rsidRDefault="00BB0A8A" w:rsidP="00BB0A8A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Vzorové smlouvy na celoroční činnost:</w:t>
      </w:r>
    </w:p>
    <w:p w14:paraId="7C77CCBF" w14:textId="77777777" w:rsidR="00002A3A" w:rsidRPr="003A4FCA" w:rsidRDefault="00BB0A8A" w:rsidP="00002A3A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t>Vzorová veřejnoprávní smlouva o poskytnutí dotace na celoroční činnost právnickým osobám,</w:t>
      </w:r>
    </w:p>
    <w:p w14:paraId="240D6194" w14:textId="6D1DE73A" w:rsidR="00691685" w:rsidRPr="003A4FCA" w:rsidRDefault="00BB0A8A" w:rsidP="00002A3A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sz w:val="24"/>
          <w:szCs w:val="24"/>
        </w:rPr>
        <w:lastRenderedPageBreak/>
        <w:t>Vzorová veřejnoprávní smlouva o poskytnutí dotace na celoroční činnost příspěvkovým organizacím,</w:t>
      </w:r>
    </w:p>
    <w:p w14:paraId="2F3C84E5" w14:textId="13CB5612" w:rsidR="00C36E58" w:rsidRPr="003A4FCA" w:rsidRDefault="000536ED" w:rsidP="00C36E5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Vzor vyúčtování na </w:t>
      </w:r>
      <w:r w:rsidR="00C36E58" w:rsidRPr="003A4FCA">
        <w:rPr>
          <w:rFonts w:ascii="Arial" w:hAnsi="Arial" w:cs="Arial"/>
          <w:bCs/>
          <w:sz w:val="24"/>
          <w:szCs w:val="24"/>
        </w:rPr>
        <w:t>činnost</w:t>
      </w:r>
    </w:p>
    <w:p w14:paraId="13DE2E20" w14:textId="77777777" w:rsidR="00691685" w:rsidRPr="003A4FC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3A4FC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956187C" w:rsidR="00691685" w:rsidRPr="003A4FC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A4FCA">
        <w:rPr>
          <w:rFonts w:ascii="Arial" w:hAnsi="Arial" w:cs="Arial"/>
          <w:bCs/>
          <w:sz w:val="24"/>
          <w:szCs w:val="24"/>
        </w:rPr>
        <w:t xml:space="preserve"> </w:t>
      </w:r>
      <w:r w:rsidRPr="003A4FCA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A4FCA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3A4FCA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3A4FCA">
        <w:rPr>
          <w:rFonts w:ascii="Arial" w:hAnsi="Arial" w:cs="Arial"/>
          <w:bCs/>
          <w:sz w:val="24"/>
          <w:szCs w:val="24"/>
        </w:rPr>
        <w:t xml:space="preserve"> č. </w:t>
      </w:r>
      <w:r w:rsidRPr="003A4FCA">
        <w:rPr>
          <w:rFonts w:ascii="Arial" w:hAnsi="Arial" w:cs="Arial"/>
          <w:bCs/>
          <w:i/>
          <w:sz w:val="24"/>
          <w:szCs w:val="24"/>
        </w:rPr>
        <w:t>UZ/</w:t>
      </w:r>
      <w:r w:rsidR="00B1030A" w:rsidRPr="003A4FCA">
        <w:rPr>
          <w:rFonts w:ascii="Arial" w:hAnsi="Arial" w:cs="Arial"/>
          <w:bCs/>
          <w:i/>
          <w:sz w:val="24"/>
          <w:szCs w:val="24"/>
        </w:rPr>
        <w:t>………………</w:t>
      </w:r>
      <w:r w:rsidR="00702925" w:rsidRPr="003A4FCA">
        <w:rPr>
          <w:rFonts w:ascii="Arial" w:hAnsi="Arial" w:cs="Arial"/>
          <w:bCs/>
          <w:i/>
          <w:sz w:val="24"/>
          <w:szCs w:val="24"/>
        </w:rPr>
        <w:t>*</w:t>
      </w:r>
      <w:r w:rsidR="0084235D" w:rsidRPr="003A4FCA">
        <w:rPr>
          <w:rFonts w:ascii="Arial" w:hAnsi="Arial" w:cs="Arial"/>
          <w:bCs/>
          <w:i/>
          <w:sz w:val="24"/>
          <w:szCs w:val="24"/>
        </w:rPr>
        <w:t>*</w:t>
      </w:r>
    </w:p>
    <w:p w14:paraId="111AD4CB" w14:textId="77777777" w:rsidR="009D63E1" w:rsidRPr="003A4FCA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  <w:t>jmé</w:t>
      </w:r>
      <w:bookmarkStart w:id="21" w:name="_GoBack"/>
      <w:bookmarkEnd w:id="21"/>
      <w:r w:rsidRPr="003A4FCA">
        <w:rPr>
          <w:rFonts w:ascii="Arial" w:hAnsi="Arial" w:cs="Arial"/>
          <w:bCs/>
          <w:sz w:val="24"/>
          <w:szCs w:val="24"/>
        </w:rPr>
        <w:t>no</w:t>
      </w:r>
    </w:p>
    <w:p w14:paraId="70F8C135" w14:textId="553CDABB" w:rsidR="004135CA" w:rsidRPr="003A4F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ab/>
      </w:r>
      <w:r w:rsidR="00315F2E" w:rsidRPr="003A4FCA">
        <w:rPr>
          <w:rFonts w:ascii="Arial" w:hAnsi="Arial" w:cs="Arial"/>
          <w:bCs/>
          <w:sz w:val="24"/>
          <w:szCs w:val="24"/>
        </w:rPr>
        <w:tab/>
      </w:r>
      <w:r w:rsidR="00315F2E" w:rsidRPr="003A4FCA">
        <w:rPr>
          <w:rFonts w:ascii="Arial" w:hAnsi="Arial" w:cs="Arial"/>
          <w:bCs/>
          <w:sz w:val="24"/>
          <w:szCs w:val="24"/>
        </w:rPr>
        <w:tab/>
      </w:r>
      <w:r w:rsidR="00315F2E" w:rsidRPr="003A4FCA">
        <w:rPr>
          <w:rFonts w:ascii="Arial" w:hAnsi="Arial" w:cs="Arial"/>
          <w:bCs/>
          <w:sz w:val="24"/>
          <w:szCs w:val="24"/>
        </w:rPr>
        <w:tab/>
      </w:r>
      <w:r w:rsidRPr="003A4FCA">
        <w:rPr>
          <w:rFonts w:ascii="Arial" w:hAnsi="Arial" w:cs="Arial"/>
          <w:bCs/>
          <w:sz w:val="24"/>
          <w:szCs w:val="24"/>
        </w:rPr>
        <w:t>funkce</w:t>
      </w:r>
    </w:p>
    <w:p w14:paraId="1E1E16F7" w14:textId="121EE7D7" w:rsidR="00702925" w:rsidRPr="003A4FCA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3A4FCA" w:rsidSect="00842E3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418" w:header="709" w:footer="947" w:gutter="0"/>
      <w:pgNumType w:start="3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3137" w16cex:dateUtc="2020-11-26T12:50:00Z"/>
  <w16cex:commentExtensible w16cex:durableId="2367DEBA" w16cex:dateUtc="2020-11-24T18:34:00Z"/>
  <w16cex:commentExtensible w16cex:durableId="236A2499" w16cex:dateUtc="2020-11-26T11:56:00Z"/>
  <w16cex:commentExtensible w16cex:durableId="2367E0EE" w16cex:dateUtc="2020-11-24T18:43:00Z"/>
  <w16cex:commentExtensible w16cex:durableId="2367E102" w16cex:dateUtc="2020-11-24T18:44:00Z"/>
  <w16cex:commentExtensible w16cex:durableId="2369F90A" w16cex:dateUtc="2020-11-26T08:51:00Z"/>
  <w16cex:commentExtensible w16cex:durableId="2367E148" w16cex:dateUtc="2020-11-24T18:45:00Z"/>
  <w16cex:commentExtensible w16cex:durableId="2367E178" w16cex:dateUtc="2020-11-24T18:46:00Z"/>
  <w16cex:commentExtensible w16cex:durableId="2369F8D3" w16cex:dateUtc="2020-11-26T08:50:00Z"/>
  <w16cex:commentExtensible w16cex:durableId="2367E1B1" w16cex:dateUtc="2020-11-24T18:46:00Z"/>
  <w16cex:commentExtensible w16cex:durableId="2367E1D3" w16cex:dateUtc="2020-11-24T18:47:00Z"/>
  <w16cex:commentExtensible w16cex:durableId="2367E2E1" w16cex:dateUtc="2020-11-24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78F6F" w14:textId="77777777" w:rsidR="003900DA" w:rsidRDefault="003900DA">
      <w:r>
        <w:separator/>
      </w:r>
    </w:p>
  </w:endnote>
  <w:endnote w:type="continuationSeparator" w:id="0">
    <w:p w14:paraId="035C13CC" w14:textId="77777777" w:rsidR="003900DA" w:rsidRDefault="003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4C61" w14:textId="590CF68B" w:rsidR="003900DA" w:rsidRPr="00256C15" w:rsidRDefault="00820B7B" w:rsidP="00F47F6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21. 12. 2020</w:t>
    </w:r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42E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82217">
      <w:rPr>
        <w:rFonts w:ascii="Arial" w:eastAsia="Times New Roman" w:hAnsi="Arial" w:cs="Arial"/>
        <w:i/>
        <w:iCs/>
        <w:sz w:val="20"/>
        <w:szCs w:val="20"/>
        <w:lang w:eastAsia="cs-CZ"/>
      </w:rPr>
      <w:t>51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18AF3E9" w14:textId="2B9CBD45" w:rsidR="003900DA" w:rsidRPr="007F3908" w:rsidRDefault="003907D9" w:rsidP="00F47F68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842E3E">
      <w:rPr>
        <w:rFonts w:ascii="Arial" w:eastAsia="Times New Roman" w:hAnsi="Arial" w:cs="Arial"/>
        <w:i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3900DA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3900DA">
      <w:rPr>
        <w:rFonts w:ascii="Arial" w:hAnsi="Arial" w:cs="Arial"/>
        <w:i/>
        <w:sz w:val="20"/>
        <w:szCs w:val="20"/>
      </w:rPr>
      <w:t>21</w:t>
    </w:r>
    <w:r w:rsidR="003900DA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2301C71F" w14:textId="7ABC2734" w:rsidR="003900DA" w:rsidRPr="00F47F68" w:rsidRDefault="003900DA" w:rsidP="00F47F68">
    <w:pPr>
      <w:pStyle w:val="Zpat"/>
      <w:ind w:left="0" w:firstLine="0"/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</w:t>
    </w:r>
    <w:r>
      <w:rPr>
        <w:rFonts w:ascii="Arial" w:hAnsi="Arial" w:cs="Arial"/>
        <w:i/>
        <w:sz w:val="20"/>
        <w:szCs w:val="24"/>
      </w:rPr>
      <w:t>1</w:t>
    </w:r>
    <w:r w:rsidRPr="009B669C">
      <w:rPr>
        <w:rFonts w:ascii="Arial" w:hAnsi="Arial" w:cs="Arial"/>
        <w:i/>
        <w:sz w:val="20"/>
        <w:szCs w:val="24"/>
      </w:rPr>
      <w:t>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5CC2B" w14:textId="5EFF1E0A" w:rsidR="003900DA" w:rsidRPr="00256C15" w:rsidRDefault="00820B7B" w:rsidP="000605F0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bookmarkStart w:id="22" w:name="_Hlk55547525"/>
    <w:r>
      <w:rPr>
        <w:rFonts w:ascii="Arial" w:eastAsia="Times New Roman" w:hAnsi="Arial"/>
        <w:i/>
        <w:sz w:val="20"/>
        <w:szCs w:val="20"/>
        <w:lang w:eastAsia="cs-CZ"/>
      </w:rPr>
      <w:t>Zastupitelstvo Olomouckého kraje 21. 12. 2020</w:t>
    </w:r>
    <w:bookmarkEnd w:id="22"/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42E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900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582217">
      <w:rPr>
        <w:rFonts w:ascii="Arial" w:eastAsia="Times New Roman" w:hAnsi="Arial" w:cs="Arial"/>
        <w:i/>
        <w:iCs/>
        <w:sz w:val="20"/>
        <w:szCs w:val="20"/>
        <w:lang w:eastAsia="cs-CZ"/>
      </w:rPr>
      <w:t>51</w:t>
    </w:r>
    <w:r w:rsidR="003900DA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3C67D7E" w14:textId="28B8D564" w:rsidR="003900DA" w:rsidRPr="007F3908" w:rsidRDefault="003907D9" w:rsidP="000605F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842E3E">
      <w:rPr>
        <w:rFonts w:ascii="Arial" w:eastAsia="Times New Roman" w:hAnsi="Arial" w:cs="Arial"/>
        <w:i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3900DA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3900DA">
      <w:rPr>
        <w:rFonts w:ascii="Arial" w:hAnsi="Arial" w:cs="Arial"/>
        <w:i/>
        <w:sz w:val="20"/>
        <w:szCs w:val="20"/>
      </w:rPr>
      <w:t>21</w:t>
    </w:r>
    <w:r w:rsidR="003900DA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5A5699FF" w14:textId="70C90597" w:rsidR="003900DA" w:rsidRPr="000605F0" w:rsidRDefault="003900DA" w:rsidP="000605F0">
    <w:pPr>
      <w:pStyle w:val="Zpat"/>
      <w:ind w:left="0" w:firstLine="0"/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9B669C">
      <w:rPr>
        <w:rFonts w:ascii="Arial" w:hAnsi="Arial" w:cs="Arial"/>
        <w:i/>
        <w:sz w:val="20"/>
        <w:szCs w:val="24"/>
      </w:rPr>
      <w:t>Program na podporu stálých profesionálních souborů v</w:t>
    </w:r>
    <w:r w:rsidRPr="009B669C">
      <w:rPr>
        <w:i/>
        <w:sz w:val="18"/>
      </w:rPr>
      <w:t> </w:t>
    </w:r>
    <w:r w:rsidRPr="009B669C">
      <w:rPr>
        <w:rFonts w:ascii="Arial" w:hAnsi="Arial" w:cs="Arial"/>
        <w:i/>
        <w:sz w:val="20"/>
        <w:szCs w:val="24"/>
      </w:rPr>
      <w:t>Olomouckém kraji v roce 202</w:t>
    </w:r>
    <w:r>
      <w:rPr>
        <w:rFonts w:ascii="Arial" w:hAnsi="Arial" w:cs="Arial"/>
        <w:i/>
        <w:sz w:val="20"/>
        <w:szCs w:val="24"/>
      </w:rPr>
      <w:t>1</w:t>
    </w:r>
    <w:r w:rsidRPr="009B669C">
      <w:rPr>
        <w:rFonts w:ascii="Arial" w:hAnsi="Arial" w:cs="Arial"/>
        <w:i/>
        <w:sz w:val="20"/>
        <w:szCs w:val="24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43430" w14:textId="77777777" w:rsidR="003900DA" w:rsidRDefault="003900DA">
      <w:r>
        <w:separator/>
      </w:r>
    </w:p>
  </w:footnote>
  <w:footnote w:type="continuationSeparator" w:id="0">
    <w:p w14:paraId="4788A3F1" w14:textId="77777777" w:rsidR="003900DA" w:rsidRDefault="003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3900DA" w:rsidRDefault="003900DA">
    <w:pPr>
      <w:pStyle w:val="Zhlav"/>
    </w:pPr>
  </w:p>
  <w:p w14:paraId="5FA58F7C" w14:textId="77777777" w:rsidR="003900DA" w:rsidRDefault="003900D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3900DA" w:rsidRDefault="003900D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A238CDA4"/>
    <w:lvl w:ilvl="0" w:tplc="C984476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CA580D3A"/>
    <w:lvl w:ilvl="0" w:tplc="C2A4B30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95CADEF6"/>
    <w:lvl w:ilvl="0" w:tplc="34FC0AE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A3A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3614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6ED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5F0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5CF"/>
    <w:rsid w:val="000C0CA2"/>
    <w:rsid w:val="000C1DB4"/>
    <w:rsid w:val="000C2D68"/>
    <w:rsid w:val="000C348C"/>
    <w:rsid w:val="000C3A46"/>
    <w:rsid w:val="000C4488"/>
    <w:rsid w:val="000C594B"/>
    <w:rsid w:val="000C5975"/>
    <w:rsid w:val="000C5F2E"/>
    <w:rsid w:val="000C670D"/>
    <w:rsid w:val="000D0137"/>
    <w:rsid w:val="000D1039"/>
    <w:rsid w:val="000D23CF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E46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5D3B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DE9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485"/>
    <w:rsid w:val="00174828"/>
    <w:rsid w:val="00175342"/>
    <w:rsid w:val="00175AC5"/>
    <w:rsid w:val="0017623E"/>
    <w:rsid w:val="00176989"/>
    <w:rsid w:val="00181149"/>
    <w:rsid w:val="00181176"/>
    <w:rsid w:val="001811B1"/>
    <w:rsid w:val="001814AE"/>
    <w:rsid w:val="00182957"/>
    <w:rsid w:val="00184054"/>
    <w:rsid w:val="00184518"/>
    <w:rsid w:val="00185413"/>
    <w:rsid w:val="001867ED"/>
    <w:rsid w:val="0018698C"/>
    <w:rsid w:val="0019056C"/>
    <w:rsid w:val="0019130E"/>
    <w:rsid w:val="001914A2"/>
    <w:rsid w:val="00191AD0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BA9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5C5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35B7"/>
    <w:rsid w:val="001E4A04"/>
    <w:rsid w:val="001E554D"/>
    <w:rsid w:val="001E5D82"/>
    <w:rsid w:val="001E7A38"/>
    <w:rsid w:val="001F02A9"/>
    <w:rsid w:val="001F0569"/>
    <w:rsid w:val="001F07BE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40E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01C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6C8B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4DA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5F2E"/>
    <w:rsid w:val="0031600B"/>
    <w:rsid w:val="0031629F"/>
    <w:rsid w:val="00316E07"/>
    <w:rsid w:val="00317ED5"/>
    <w:rsid w:val="0032010D"/>
    <w:rsid w:val="00321176"/>
    <w:rsid w:val="00321272"/>
    <w:rsid w:val="00321773"/>
    <w:rsid w:val="00321844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0DA"/>
    <w:rsid w:val="003907D9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4FCA"/>
    <w:rsid w:val="003A58AA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4E6A"/>
    <w:rsid w:val="00405D1A"/>
    <w:rsid w:val="00407565"/>
    <w:rsid w:val="00407DD5"/>
    <w:rsid w:val="004111F5"/>
    <w:rsid w:val="00412158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7C7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93A"/>
    <w:rsid w:val="004731EF"/>
    <w:rsid w:val="00473205"/>
    <w:rsid w:val="0047352F"/>
    <w:rsid w:val="004739CD"/>
    <w:rsid w:val="00473DA2"/>
    <w:rsid w:val="0047471B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F1F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37CE"/>
    <w:rsid w:val="00526F03"/>
    <w:rsid w:val="00527675"/>
    <w:rsid w:val="00527989"/>
    <w:rsid w:val="00532215"/>
    <w:rsid w:val="00532553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C12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39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217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06E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052B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CB3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AF4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6593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9C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9BC"/>
    <w:rsid w:val="00763749"/>
    <w:rsid w:val="00764722"/>
    <w:rsid w:val="007659F0"/>
    <w:rsid w:val="007662FC"/>
    <w:rsid w:val="0076656F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8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0B7B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1B81"/>
    <w:rsid w:val="0084235D"/>
    <w:rsid w:val="00842E3E"/>
    <w:rsid w:val="00843DA1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3B7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BB2"/>
    <w:rsid w:val="008B51F0"/>
    <w:rsid w:val="008B53A7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346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5B1"/>
    <w:rsid w:val="00907E17"/>
    <w:rsid w:val="00910A56"/>
    <w:rsid w:val="00912461"/>
    <w:rsid w:val="009125D9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5BF8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189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073A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04D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0E69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DAA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2D0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4C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9B5"/>
    <w:rsid w:val="00AC0BD1"/>
    <w:rsid w:val="00AC0BFE"/>
    <w:rsid w:val="00AC0CE3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7BF5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0E9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CB8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D6F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A93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0A8A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65D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6E5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2727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75C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AE9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33B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8F5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2E9F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88C"/>
    <w:rsid w:val="00DA0925"/>
    <w:rsid w:val="00DA09D7"/>
    <w:rsid w:val="00DA29F5"/>
    <w:rsid w:val="00DA2EF5"/>
    <w:rsid w:val="00DA3E1B"/>
    <w:rsid w:val="00DA489C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4F24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0E72"/>
    <w:rsid w:val="00E51243"/>
    <w:rsid w:val="00E513F7"/>
    <w:rsid w:val="00E514D8"/>
    <w:rsid w:val="00E53482"/>
    <w:rsid w:val="00E543C5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68F1"/>
    <w:rsid w:val="00F171B3"/>
    <w:rsid w:val="00F173F5"/>
    <w:rsid w:val="00F20158"/>
    <w:rsid w:val="00F20BA5"/>
    <w:rsid w:val="00F216D2"/>
    <w:rsid w:val="00F22294"/>
    <w:rsid w:val="00F230E5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684"/>
    <w:rsid w:val="00F42DAF"/>
    <w:rsid w:val="00F43CF5"/>
    <w:rsid w:val="00F4403B"/>
    <w:rsid w:val="00F44BB7"/>
    <w:rsid w:val="00F47959"/>
    <w:rsid w:val="00F47F6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877"/>
    <w:rsid w:val="00F63C9D"/>
    <w:rsid w:val="00F646A9"/>
    <w:rsid w:val="00F64DFE"/>
    <w:rsid w:val="00F64ED6"/>
    <w:rsid w:val="00F65D97"/>
    <w:rsid w:val="00F65DD9"/>
    <w:rsid w:val="00F65EBC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DF1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4BF0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415"/>
    <w:rsid w:val="00FB493B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5ED4"/>
    <w:rsid w:val="00FC7FAF"/>
    <w:rsid w:val="00FD0DF5"/>
    <w:rsid w:val="00FD1121"/>
    <w:rsid w:val="00FD1246"/>
    <w:rsid w:val="00FD14AA"/>
    <w:rsid w:val="00FD1A9E"/>
    <w:rsid w:val="00FD1ACA"/>
    <w:rsid w:val="00FD25D5"/>
    <w:rsid w:val="00FD2B95"/>
    <w:rsid w:val="00FD2BBB"/>
    <w:rsid w:val="00FD34F3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7D8"/>
    <w:rsid w:val="00FE2FF9"/>
    <w:rsid w:val="00FE36B9"/>
    <w:rsid w:val="00FE36C6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BB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navratil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8424-C821-4FBC-A14E-ECB46D7C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19</Pages>
  <Words>6210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89</cp:revision>
  <cp:lastPrinted>2019-08-19T05:50:00Z</cp:lastPrinted>
  <dcterms:created xsi:type="dcterms:W3CDTF">2020-10-13T07:44:00Z</dcterms:created>
  <dcterms:modified xsi:type="dcterms:W3CDTF">2020-12-15T07:38:00Z</dcterms:modified>
</cp:coreProperties>
</file>