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8F47067" w:rsidR="00A97BE7" w:rsidRPr="00350629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programové</w:t>
      </w:r>
      <w:r w:rsidR="00B85724"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dotace</w:t>
      </w:r>
      <w:r w:rsidR="00987C7A"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z dotačního programu podpora výstavby, obnovy a vybavení dětstkých dopravních hřišť 2021</w:t>
      </w:r>
      <w:r w:rsidR="009D7B35" w:rsidRPr="0035062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35062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35062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5062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50629">
        <w:rPr>
          <w:rFonts w:ascii="Arial" w:eastAsia="Times New Roman" w:hAnsi="Arial" w:cs="Arial"/>
          <w:lang w:eastAsia="cs-CZ"/>
        </w:rPr>
        <w:t>500/2004</w:t>
      </w:r>
      <w:r w:rsidRPr="00350629">
        <w:rPr>
          <w:rFonts w:ascii="Arial" w:eastAsia="Times New Roman" w:hAnsi="Arial" w:cs="Arial"/>
          <w:lang w:eastAsia="cs-CZ"/>
        </w:rPr>
        <w:t> </w:t>
      </w:r>
      <w:r w:rsidR="009A3DA5" w:rsidRPr="0035062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5062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5062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35062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35062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35062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35062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5062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5062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A4101A9" w:rsidR="00E62519" w:rsidRPr="00350629" w:rsidRDefault="00E62519" w:rsidP="00D57467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70568171" w:rsidR="00E62519" w:rsidRPr="0035062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35062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5062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350629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35062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35062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6EB49888" w:rsidR="00621063" w:rsidRPr="0035062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CCB31FC" w:rsidR="00621063" w:rsidRPr="0035062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350629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350629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5062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35062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96353E9" w:rsidR="009A3DA5" w:rsidRPr="00350629" w:rsidRDefault="009A3DA5" w:rsidP="00F92DE7">
      <w:pPr>
        <w:numPr>
          <w:ilvl w:val="0"/>
          <w:numId w:val="16"/>
        </w:numPr>
        <w:tabs>
          <w:tab w:val="clear" w:pos="56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35062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50629">
        <w:rPr>
          <w:rFonts w:ascii="Arial" w:hAnsi="Arial" w:cs="Arial"/>
          <w:sz w:val="24"/>
          <w:szCs w:val="24"/>
        </w:rPr>
        <w:t xml:space="preserve"> </w:t>
      </w:r>
      <w:r w:rsidR="006D2534" w:rsidRPr="00350629">
        <w:rPr>
          <w:rFonts w:ascii="Arial" w:hAnsi="Arial" w:cs="Arial"/>
          <w:sz w:val="24"/>
          <w:szCs w:val="24"/>
        </w:rPr>
        <w:t xml:space="preserve">za účelem </w:t>
      </w:r>
      <w:r w:rsidR="00987C7A" w:rsidRPr="00350629">
        <w:rPr>
          <w:rFonts w:ascii="Arial" w:hAnsi="Arial" w:cs="Arial"/>
          <w:sz w:val="24"/>
          <w:szCs w:val="24"/>
        </w:rPr>
        <w:t>podpory dětských dopravních hřišť, jejichž rozvoj přispěje ke zvýšení bezpečnosti a ochrany dětí na pozemních komunikacích a také ke snížení rizika úrazů dětí v silničním provozu.</w:t>
      </w:r>
    </w:p>
    <w:p w14:paraId="3C9258CF" w14:textId="01C888DF" w:rsidR="009A3DA5" w:rsidRPr="0035062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5062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5062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005B6DED" w:rsidR="009A3DA5" w:rsidRPr="0035062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5062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506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5062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5062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5062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5062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5062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5062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506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35062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506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5062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35062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5062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5062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5062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5062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182887A" w:rsidR="00001074" w:rsidRPr="0035062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87C7A" w:rsidRPr="00350629">
        <w:rPr>
          <w:rFonts w:ascii="Arial" w:eastAsia="Times New Roman" w:hAnsi="Arial" w:cs="Arial"/>
          <w:sz w:val="24"/>
          <w:szCs w:val="24"/>
          <w:lang w:eastAsia="cs-CZ"/>
        </w:rPr>
        <w:t>Podpora výstavby, obnovy a vybavení dětských dopravních hřišť 2021</w:t>
      </w:r>
      <w:r w:rsid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35062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ále také jen „Pravidla“).</w:t>
      </w:r>
    </w:p>
    <w:p w14:paraId="5F5FA310" w14:textId="6CEA3F12" w:rsidR="00986793" w:rsidRPr="0035062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0F8F97C" w:rsidR="009A3DA5" w:rsidRPr="0035062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5062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5062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5062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5062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5062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C54CFEE" w:rsidR="009A3DA5" w:rsidRPr="0035062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611EDCD" w:rsidR="001455CD" w:rsidRPr="00350629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5062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5062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5062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5062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5062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5062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5062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987C7A" w:rsidRPr="00350629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35062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5062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5062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35062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5062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5D468D3D" w:rsidR="009A3DA5" w:rsidRPr="00350629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87C7A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31. 12. 2021.</w:t>
      </w:r>
      <w:r w:rsidR="00B9505C" w:rsidRPr="003506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DD9A339" w:rsidR="009A3DA5" w:rsidRPr="0035062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87C7A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EF93922" w:rsidR="00B67C75" w:rsidRPr="00350629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5175F6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5062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50629">
        <w:rPr>
          <w:rFonts w:ascii="Arial" w:hAnsi="Arial" w:cs="Arial"/>
          <w:sz w:val="24"/>
          <w:szCs w:val="24"/>
        </w:rPr>
        <w:t xml:space="preserve">dotace </w:t>
      </w:r>
      <w:r w:rsidRPr="00350629">
        <w:rPr>
          <w:rFonts w:ascii="Arial" w:hAnsi="Arial" w:cs="Arial"/>
          <w:sz w:val="24"/>
          <w:szCs w:val="24"/>
        </w:rPr>
        <w:t xml:space="preserve">odpovídala </w:t>
      </w:r>
      <w:r w:rsidR="005175F6" w:rsidRPr="00350629">
        <w:rPr>
          <w:rFonts w:ascii="Arial" w:hAnsi="Arial" w:cs="Arial"/>
          <w:sz w:val="24"/>
          <w:szCs w:val="24"/>
        </w:rPr>
        <w:t xml:space="preserve">nejvýše </w:t>
      </w:r>
      <w:r w:rsidRPr="00350629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14ACB8E3" w14:textId="43748500" w:rsidR="00CB5336" w:rsidRPr="00350629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D57467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987C7A" w:rsidRPr="003506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63E14F08" w:rsidR="009A3DA5" w:rsidRPr="003506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987C7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F1CDC6F" w:rsidR="00CF29E9" w:rsidRPr="00350629" w:rsidRDefault="009A3DA5" w:rsidP="00CF29E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87C7A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35062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350629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 listinné podobě v jednom vyhotovení na adresu </w:t>
      </w:r>
      <w:r w:rsidR="009A39D0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</w:t>
      </w:r>
      <w:r w:rsidR="00453D92" w:rsidRPr="0035062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35062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24DC16D" w:rsidR="00D05376" w:rsidRPr="0035062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50629">
        <w:rPr>
          <w:rFonts w:ascii="Arial" w:hAnsi="Arial" w:cs="Arial"/>
          <w:sz w:val="24"/>
          <w:szCs w:val="24"/>
        </w:rPr>
        <w:t>příjmy uvedené v odst. 11.2</w:t>
      </w:r>
      <w:r w:rsidR="005F4D79" w:rsidRPr="00350629">
        <w:rPr>
          <w:rFonts w:ascii="Arial" w:hAnsi="Arial" w:cs="Arial"/>
          <w:sz w:val="24"/>
          <w:szCs w:val="24"/>
        </w:rPr>
        <w:t>4</w:t>
      </w:r>
      <w:r w:rsidR="00396493">
        <w:rPr>
          <w:rFonts w:ascii="Arial" w:hAnsi="Arial" w:cs="Arial"/>
          <w:sz w:val="24"/>
          <w:szCs w:val="24"/>
        </w:rPr>
        <w:t>.</w:t>
      </w:r>
      <w:r w:rsidR="00E93DF9" w:rsidRPr="00350629">
        <w:rPr>
          <w:rFonts w:ascii="Arial" w:hAnsi="Arial" w:cs="Arial"/>
          <w:sz w:val="24"/>
          <w:szCs w:val="24"/>
        </w:rPr>
        <w:t xml:space="preserve"> Pravidel</w:t>
      </w:r>
      <w:r w:rsidR="00840C0F" w:rsidRPr="00350629">
        <w:rPr>
          <w:rFonts w:ascii="Arial" w:hAnsi="Arial" w:cs="Arial"/>
          <w:sz w:val="24"/>
          <w:szCs w:val="24"/>
        </w:rPr>
        <w:t>.</w:t>
      </w:r>
    </w:p>
    <w:p w14:paraId="2FDE39D2" w14:textId="716AECBB" w:rsidR="00822CBA" w:rsidRPr="0035062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987C7A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35062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00A41070" w14:textId="77777777" w:rsidR="00987C7A" w:rsidRPr="00350629" w:rsidRDefault="00987C7A" w:rsidP="00987C7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11758E7" w14:textId="77777777" w:rsidR="00987C7A" w:rsidRPr="00350629" w:rsidRDefault="00987C7A" w:rsidP="00987C7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7BA62F1" w14:textId="77777777" w:rsidR="00987C7A" w:rsidRPr="00350629" w:rsidRDefault="00987C7A" w:rsidP="00987C7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472B8C3" w14:textId="77777777" w:rsidR="00987C7A" w:rsidRPr="00350629" w:rsidRDefault="00987C7A" w:rsidP="00987C7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14:paraId="70270713" w14:textId="77777777" w:rsidR="00987C7A" w:rsidRPr="00350629" w:rsidRDefault="00987C7A" w:rsidP="00987C7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5FBBC9DE" w14:textId="77777777" w:rsidR="00987C7A" w:rsidRPr="00350629" w:rsidRDefault="00987C7A" w:rsidP="00987C7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14:paraId="423C3180" w14:textId="46BF8B21" w:rsidR="00987C7A" w:rsidRPr="00350629" w:rsidRDefault="00987C7A" w:rsidP="00987C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obsahovat věcně popsané vyhodnocení dosažených cílů a harmonogram průběhu realizace akce. </w:t>
      </w:r>
    </w:p>
    <w:p w14:paraId="1A43CBE7" w14:textId="77777777" w:rsidR="00987C7A" w:rsidRPr="00350629" w:rsidRDefault="00987C7A" w:rsidP="00987C7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14:paraId="35F20C93" w14:textId="77777777" w:rsidR="00987C7A" w:rsidRPr="00350629" w:rsidRDefault="00987C7A" w:rsidP="00987C7A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21D92AF6" w14:textId="27E4FD74" w:rsidR="00987C7A" w:rsidRPr="00350629" w:rsidRDefault="00987C7A" w:rsidP="00C37509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</w:t>
      </w:r>
      <w:r w:rsidR="00C37509" w:rsidRPr="00C37509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351E4C1" w14:textId="77777777" w:rsidR="00987C7A" w:rsidRPr="00350629" w:rsidRDefault="00987C7A" w:rsidP="00987C7A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7C17B3C" w14:textId="77777777" w:rsidR="00987C7A" w:rsidRPr="00350629" w:rsidRDefault="00987C7A" w:rsidP="00987C7A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758E3118" w14:textId="795D774B" w:rsidR="00A9730D" w:rsidRPr="00350629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350629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3506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35062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35062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5062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987C7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5062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498C1F81" w:rsidR="009A3DA5" w:rsidRPr="003506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3506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50629" w:rsidRPr="00350629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5062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35062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35062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50629" w:rsidRPr="0035062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5062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5062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0629" w:rsidRPr="00350629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5062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50629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0629" w:rsidRPr="0035062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350629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35062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50629" w:rsidRPr="0035062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5062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5062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0629" w:rsidRPr="0035062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5062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5062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0629" w:rsidRPr="0035062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350629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5062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50629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5062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50629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506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5062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42E8697" w:rsidR="009A3DA5" w:rsidRPr="003506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5062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04AC2" w:rsidRPr="00350629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350629">
        <w:rPr>
          <w:rFonts w:ascii="Arial" w:hAnsi="Arial" w:cs="Arial"/>
          <w:sz w:val="24"/>
          <w:szCs w:val="24"/>
        </w:rPr>
        <w:t>na základě vystavené faktury.</w:t>
      </w:r>
      <w:r w:rsidR="00AE30DE" w:rsidRPr="00350629">
        <w:rPr>
          <w:rFonts w:ascii="Arial" w:hAnsi="Arial" w:cs="Arial"/>
          <w:sz w:val="24"/>
          <w:szCs w:val="24"/>
        </w:rPr>
        <w:t xml:space="preserve"> </w:t>
      </w:r>
    </w:p>
    <w:p w14:paraId="3C925913" w14:textId="4BB20729" w:rsidR="009A3DA5" w:rsidRPr="0035062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C2ECAC6" w:rsidR="00836AA2" w:rsidRPr="0035062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realizace akce a v celé</w:t>
      </w:r>
      <w:r w:rsidR="00CF29E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kalendářním roce následujícím</w:t>
      </w:r>
      <w:r w:rsidR="00CF29E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 účelu dotace, logem poskytovatele a umístit reklamní panel, nebo obdobné zařízení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</w:t>
      </w:r>
    </w:p>
    <w:p w14:paraId="25FF1DC1" w14:textId="5B89B69D" w:rsidR="00804AC2" w:rsidRPr="00350629" w:rsidRDefault="00804AC2" w:rsidP="00804AC2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0AFB3D01" w14:textId="4EC3BB3B" w:rsidR="00804AC2" w:rsidRPr="00350629" w:rsidRDefault="00804AC2" w:rsidP="00804AC2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68F8C157" w14:textId="187E86B3" w:rsidR="00804AC2" w:rsidRPr="00350629" w:rsidRDefault="00804AC2" w:rsidP="00804AC2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panel musí být označen logem Olomouckého kraje přiměřené velikosti a</w:t>
      </w:r>
      <w:r w:rsidR="00CF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69B912C5" w:rsidR="00836AA2" w:rsidRPr="0035062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50629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5062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akce (minimálně dvě fotografie každé fáze akce)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35062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506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99BB283" w:rsidR="009A3DA5" w:rsidRPr="0035062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5062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506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FE3C406" w:rsidR="001D30FE" w:rsidRPr="00350629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3964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506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078236BC" w:rsidR="001D30FE" w:rsidRPr="00350629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3964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5062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506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350629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5062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09F11F4" w:rsidR="009A3DA5" w:rsidRPr="0035062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35062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50629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5062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35062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9A7248"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5062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5062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50629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9649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96493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50629">
        <w:rPr>
          <w:rFonts w:ascii="Arial" w:hAnsi="Arial" w:cs="Arial"/>
          <w:sz w:val="24"/>
          <w:szCs w:val="24"/>
          <w:lang w:eastAsia="cs-CZ"/>
        </w:rPr>
        <w:t>T</w:t>
      </w:r>
      <w:r w:rsidRPr="0035062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35062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5062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E49F8B9" w:rsidR="004C50AD" w:rsidRPr="0035062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5062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506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94449BC" w:rsidR="009A3DA5" w:rsidRPr="0035062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350629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350629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35062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350629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350629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350629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35062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350629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350629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3506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350629" w:rsidRDefault="009B0F59">
      <w:pPr>
        <w:rPr>
          <w:rFonts w:ascii="Arial" w:hAnsi="Arial" w:cs="Arial"/>
          <w:bCs/>
        </w:rPr>
      </w:pPr>
      <w:r w:rsidRPr="00350629">
        <w:rPr>
          <w:rFonts w:ascii="Arial" w:hAnsi="Arial" w:cs="Arial"/>
          <w:bCs/>
        </w:rPr>
        <w:br w:type="page"/>
      </w:r>
    </w:p>
    <w:p w14:paraId="45DE702C" w14:textId="240CCFC3" w:rsidR="00FE3DFD" w:rsidRPr="00350629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50629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350629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35062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3506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35062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35062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3506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3506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35062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35062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35062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35062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2C0B7449" w:rsidR="00FE3DFD" w:rsidRPr="00350629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04AC2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6A566F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3506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53AD6736" w:rsidR="00FE3DFD" w:rsidRPr="00350629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804AC2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36E7DDA9" w:rsidR="00FE3DFD" w:rsidRPr="00350629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7EBCB24B" w14:textId="77777777" w:rsidR="00CF29E9" w:rsidRPr="00CF29E9" w:rsidRDefault="00FE3DFD" w:rsidP="00CF29E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04AC2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194830" w:rsidRPr="00350629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804AC2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 listinné podobě v jedno vyhotovení na adresu </w:t>
      </w:r>
      <w:r w:rsidR="00194830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B4070" w:rsidRPr="003506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4F0144E4" w:rsidR="00FE3DFD" w:rsidRPr="00350629" w:rsidRDefault="00FE3DFD" w:rsidP="00CF29E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01C81FD" w:rsidR="00D571FB" w:rsidRPr="00350629" w:rsidRDefault="008C0DC3" w:rsidP="00CF29E9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</w:t>
      </w:r>
      <w:r w:rsidR="00CF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27C21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3506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0629">
        <w:rPr>
          <w:rFonts w:ascii="Arial" w:hAnsi="Arial" w:cs="Arial"/>
          <w:sz w:val="24"/>
          <w:szCs w:val="24"/>
        </w:rPr>
        <w:t>příjmy uvedené v odst. 11.2</w:t>
      </w:r>
      <w:r w:rsidR="003A11FD" w:rsidRPr="00350629">
        <w:rPr>
          <w:rFonts w:ascii="Arial" w:hAnsi="Arial" w:cs="Arial"/>
          <w:sz w:val="24"/>
          <w:szCs w:val="24"/>
        </w:rPr>
        <w:t>4</w:t>
      </w:r>
      <w:r w:rsidR="00396493">
        <w:rPr>
          <w:rFonts w:ascii="Arial" w:hAnsi="Arial" w:cs="Arial"/>
          <w:sz w:val="24"/>
          <w:szCs w:val="24"/>
        </w:rPr>
        <w:t>.</w:t>
      </w:r>
      <w:r w:rsidRPr="00350629">
        <w:rPr>
          <w:rFonts w:ascii="Arial" w:hAnsi="Arial" w:cs="Arial"/>
          <w:sz w:val="24"/>
          <w:szCs w:val="24"/>
        </w:rPr>
        <w:t xml:space="preserve"> Pravidel.</w:t>
      </w:r>
    </w:p>
    <w:p w14:paraId="425781FB" w14:textId="69FB0B81" w:rsidR="00FE3DFD" w:rsidRPr="00350629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36AD8"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F29E9">
        <w:rPr>
          <w:rFonts w:ascii="Arial" w:eastAsia="Times New Roman" w:hAnsi="Arial" w:cs="Arial"/>
          <w:sz w:val="24"/>
          <w:szCs w:val="24"/>
          <w:lang w:eastAsia="cs-CZ"/>
        </w:rPr>
        <w:t>, doložený</w:t>
      </w:r>
      <w:r w:rsidR="00CF29E9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79CCF3AC" w14:textId="77777777" w:rsidR="00804AC2" w:rsidRPr="00350629" w:rsidRDefault="00804AC2" w:rsidP="00804AC2">
      <w:pPr>
        <w:numPr>
          <w:ilvl w:val="0"/>
          <w:numId w:val="45"/>
        </w:numPr>
        <w:tabs>
          <w:tab w:val="clear" w:pos="128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AD072B" w14:textId="77777777" w:rsidR="00804AC2" w:rsidRPr="00350629" w:rsidRDefault="00804AC2" w:rsidP="00804AC2">
      <w:pPr>
        <w:numPr>
          <w:ilvl w:val="0"/>
          <w:numId w:val="4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350629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6F8D5DC" w14:textId="77777777" w:rsidR="00804AC2" w:rsidRPr="00350629" w:rsidRDefault="00804AC2" w:rsidP="00804AC2">
      <w:pPr>
        <w:numPr>
          <w:ilvl w:val="0"/>
          <w:numId w:val="4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3313F93" w14:textId="77777777" w:rsidR="00804AC2" w:rsidRPr="00350629" w:rsidRDefault="00804AC2" w:rsidP="00804AC2">
      <w:pPr>
        <w:numPr>
          <w:ilvl w:val="0"/>
          <w:numId w:val="4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14:paraId="5360BE8C" w14:textId="77777777" w:rsidR="00804AC2" w:rsidRPr="00350629" w:rsidRDefault="00804AC2" w:rsidP="00804AC2">
      <w:pPr>
        <w:numPr>
          <w:ilvl w:val="0"/>
          <w:numId w:val="45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210AF7DE" w14:textId="77777777" w:rsidR="00804AC2" w:rsidRPr="00350629" w:rsidRDefault="00804AC2" w:rsidP="00804A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14:paraId="3CD3B167" w14:textId="25CCB1DE" w:rsidR="00804AC2" w:rsidRPr="00350629" w:rsidRDefault="00804AC2" w:rsidP="00804AC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věcně popsané vyhodnocení dosažených cílů a harmonogram průběhu realizace akce.</w:t>
      </w:r>
      <w:r w:rsidRPr="003506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0498746" w14:textId="77777777" w:rsidR="00804AC2" w:rsidRPr="00350629" w:rsidRDefault="00804AC2" w:rsidP="00804A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příloze závěrečné zprávy je příjemce povinen předložit poskytovateli:</w:t>
      </w:r>
    </w:p>
    <w:p w14:paraId="3FD74D84" w14:textId="77777777" w:rsidR="00804AC2" w:rsidRPr="00350629" w:rsidRDefault="00804AC2" w:rsidP="00804AC2">
      <w:pPr>
        <w:numPr>
          <w:ilvl w:val="0"/>
          <w:numId w:val="4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41C58690" w14:textId="5B20A344" w:rsidR="00804AC2" w:rsidRPr="00350629" w:rsidRDefault="00804AC2" w:rsidP="00804AC2">
      <w:pPr>
        <w:numPr>
          <w:ilvl w:val="0"/>
          <w:numId w:val="4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</w:t>
      </w:r>
      <w:r w:rsidR="001245CF" w:rsidRPr="00C37509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35062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1C81256" w14:textId="77777777" w:rsidR="00804AC2" w:rsidRPr="00350629" w:rsidRDefault="00804AC2" w:rsidP="00804AC2">
      <w:pPr>
        <w:numPr>
          <w:ilvl w:val="0"/>
          <w:numId w:val="4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ECC42D2" w14:textId="41BBE2BD" w:rsidR="00804AC2" w:rsidRPr="00CF29E9" w:rsidRDefault="00804AC2" w:rsidP="00CF29E9">
      <w:pPr>
        <w:numPr>
          <w:ilvl w:val="0"/>
          <w:numId w:val="4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50629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549AC1FC" w14:textId="21BB1F2C" w:rsidR="00A34824" w:rsidRPr="00CF29E9" w:rsidRDefault="00FE3DFD" w:rsidP="009378A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CF29E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CF29E9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D57467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CF29E9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CF29E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CF29E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CF29E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4724D8A" w14:textId="77777777" w:rsidR="00350629" w:rsidRPr="00350629" w:rsidRDefault="00350629" w:rsidP="00CF29E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lang w:eastAsia="cs-CZ"/>
        </w:rPr>
      </w:pPr>
    </w:p>
    <w:sectPr w:rsidR="00350629" w:rsidRPr="00350629" w:rsidSect="00F06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A77C" w14:textId="77777777" w:rsidR="000F1786" w:rsidRDefault="000F1786" w:rsidP="00D40C40">
      <w:r>
        <w:separator/>
      </w:r>
    </w:p>
  </w:endnote>
  <w:endnote w:type="continuationSeparator" w:id="0">
    <w:p w14:paraId="6D6C55DE" w14:textId="77777777" w:rsidR="000F1786" w:rsidRDefault="000F178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7555" w14:textId="77777777" w:rsidR="008F44C6" w:rsidRDefault="008F44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499F17C3" w:rsidR="00003A45" w:rsidRPr="00EE781E" w:rsidRDefault="008F44C6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83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87783F">
      <w:rPr>
        <w:rFonts w:ascii="Arial" w:hAnsi="Arial" w:cs="Arial"/>
        <w:i/>
        <w:sz w:val="20"/>
        <w:szCs w:val="20"/>
      </w:rPr>
      <w:t xml:space="preserve">. </w:t>
    </w:r>
    <w:r w:rsidR="00F92DE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24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F06744">
          <w:rPr>
            <w:rFonts w:ascii="Arial" w:hAnsi="Arial" w:cs="Arial"/>
            <w:i/>
            <w:sz w:val="20"/>
            <w:szCs w:val="20"/>
          </w:rPr>
          <w:t>54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4DB6CD56" w:rsidR="00D20B9A" w:rsidRPr="00EE781E" w:rsidRDefault="008F44C6" w:rsidP="00F92DE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D07170">
      <w:rPr>
        <w:rFonts w:ascii="Arial" w:hAnsi="Arial" w:cs="Arial"/>
        <w:i/>
        <w:sz w:val="20"/>
        <w:szCs w:val="20"/>
      </w:rPr>
      <w:t xml:space="preserve">. </w:t>
    </w:r>
    <w:r w:rsidR="00F92DE7">
      <w:rPr>
        <w:rFonts w:ascii="Arial" w:hAnsi="Arial" w:cs="Arial"/>
        <w:i/>
        <w:sz w:val="20"/>
        <w:szCs w:val="20"/>
      </w:rPr>
      <w:t>– Dotační program Podpora výstavby, obnovy a vybavení dětských dopravních hřišť 2021 -vyhlášení</w:t>
    </w:r>
  </w:p>
  <w:p w14:paraId="0C81C4AA" w14:textId="4014AE4E" w:rsidR="00F92DE7" w:rsidRPr="00F92DE7" w:rsidRDefault="00003A45" w:rsidP="00F92DE7">
    <w:pPr>
      <w:pStyle w:val="Zkladntextodsazen"/>
      <w:ind w:left="0"/>
      <w:jc w:val="both"/>
      <w:rPr>
        <w:bCs/>
        <w:i/>
        <w:iCs/>
        <w:sz w:val="20"/>
        <w:szCs w:val="20"/>
      </w:rPr>
    </w:pPr>
    <w:r w:rsidRPr="00EE781E">
      <w:rPr>
        <w:i/>
        <w:sz w:val="20"/>
        <w:szCs w:val="20"/>
      </w:rPr>
      <w:t>Příloha č.</w:t>
    </w:r>
    <w:r w:rsidR="00F92DE7">
      <w:rPr>
        <w:i/>
        <w:sz w:val="20"/>
        <w:szCs w:val="20"/>
      </w:rPr>
      <w:t xml:space="preserve"> 2 – Vzorová</w:t>
    </w:r>
    <w:r w:rsidR="00F92DE7" w:rsidRPr="00F92DE7">
      <w:rPr>
        <w:bCs/>
        <w:i/>
        <w:iCs/>
        <w:sz w:val="20"/>
        <w:szCs w:val="20"/>
      </w:rPr>
      <w:t xml:space="preserve"> smlouva o poskytnutí dotace z dotačního programu Podpora výstavby, obnovy a</w:t>
    </w:r>
    <w:r w:rsidR="008F44C6">
      <w:rPr>
        <w:bCs/>
        <w:i/>
        <w:iCs/>
        <w:sz w:val="20"/>
        <w:szCs w:val="20"/>
      </w:rPr>
      <w:t> </w:t>
    </w:r>
    <w:bookmarkStart w:id="0" w:name="_GoBack"/>
    <w:bookmarkEnd w:id="0"/>
    <w:r w:rsidR="00F92DE7" w:rsidRPr="00F92DE7">
      <w:rPr>
        <w:bCs/>
        <w:i/>
        <w:iCs/>
        <w:sz w:val="20"/>
        <w:szCs w:val="20"/>
      </w:rPr>
      <w:t>vybavení dětských dopravních hřišť 2021</w:t>
    </w:r>
  </w:p>
  <w:p w14:paraId="78D3D6ED" w14:textId="69625877" w:rsidR="00B622A2" w:rsidRPr="00F92DE7" w:rsidRDefault="00B622A2" w:rsidP="00EE781E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F92DE7">
      <w:rPr>
        <w:rFonts w:ascii="Arial" w:hAnsi="Arial" w:cs="Arial"/>
        <w:i/>
        <w:iCs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A40A6" w14:textId="77777777" w:rsidR="000F1786" w:rsidRDefault="000F1786" w:rsidP="00D40C40">
      <w:r>
        <w:separator/>
      </w:r>
    </w:p>
  </w:footnote>
  <w:footnote w:type="continuationSeparator" w:id="0">
    <w:p w14:paraId="41A72CFD" w14:textId="77777777" w:rsidR="000F1786" w:rsidRDefault="000F178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E376" w14:textId="77777777" w:rsidR="008F44C6" w:rsidRDefault="008F44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687C" w14:textId="2A30A0A4" w:rsidR="00FA6574" w:rsidRDefault="00FA6574" w:rsidP="00FA6574">
    <w:pPr>
      <w:pStyle w:val="Zhlav"/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Příloha č. 2</w:t>
    </w:r>
  </w:p>
  <w:p w14:paraId="268F85C7" w14:textId="698BC520" w:rsidR="00FA6574" w:rsidRPr="00FA6574" w:rsidRDefault="00FA6574" w:rsidP="00FA6574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Vzorová smlouva o poskytnutí dotace z dotačního programu Podpora výstavby, obnovy a vybavení dětských dopravních hřišť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C5096" w14:textId="77777777" w:rsidR="008F44C6" w:rsidRDefault="008F44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A558CBBA"/>
    <w:lvl w:ilvl="0" w:tplc="160646D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1AFF"/>
    <w:multiLevelType w:val="hybridMultilevel"/>
    <w:tmpl w:val="9D369E3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1F123C6"/>
    <w:multiLevelType w:val="hybridMultilevel"/>
    <w:tmpl w:val="E4BEED20"/>
    <w:lvl w:ilvl="0" w:tplc="71DC5F6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FC3E04"/>
    <w:multiLevelType w:val="hybridMultilevel"/>
    <w:tmpl w:val="BAA0014E"/>
    <w:lvl w:ilvl="0" w:tplc="8876884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13"/>
  </w:num>
  <w:num w:numId="45">
    <w:abstractNumId w:val="28"/>
  </w:num>
  <w:num w:numId="4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786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45CF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5998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62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49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7A8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12B4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A2E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4AC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44C6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87C7A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509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29E9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170"/>
    <w:rsid w:val="00D1032F"/>
    <w:rsid w:val="00D105B7"/>
    <w:rsid w:val="00D1094B"/>
    <w:rsid w:val="00D11E64"/>
    <w:rsid w:val="00D11F05"/>
    <w:rsid w:val="00D134FE"/>
    <w:rsid w:val="00D13DCF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35DA"/>
    <w:rsid w:val="00D558F4"/>
    <w:rsid w:val="00D562B7"/>
    <w:rsid w:val="00D571FB"/>
    <w:rsid w:val="00D57467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6744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DE7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574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92DE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92DE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38D4-AB63-444C-B8F4-D83B1B5F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3291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2020-12-02T13:43:00Z</dcterms:created>
  <dcterms:modified xsi:type="dcterms:W3CDTF">2020-12-02T13:43:00Z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