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636" w:rsidRDefault="00C50636" w:rsidP="00C50636">
      <w:pPr>
        <w:spacing w:after="120"/>
        <w:jc w:val="both"/>
        <w:rPr>
          <w:rFonts w:ascii="Arial" w:hAnsi="Arial" w:cs="Arial"/>
          <w:b/>
        </w:rPr>
      </w:pPr>
      <w:r>
        <w:rPr>
          <w:rFonts w:ascii="Arial" w:hAnsi="Arial" w:cs="Arial"/>
          <w:b/>
        </w:rPr>
        <w:t xml:space="preserve">Důvodová zpráva: </w:t>
      </w:r>
    </w:p>
    <w:p w:rsidR="00AD5DF5" w:rsidRDefault="00AD5DF5" w:rsidP="00AD5DF5">
      <w:pPr>
        <w:spacing w:after="120"/>
        <w:jc w:val="both"/>
        <w:rPr>
          <w:rFonts w:ascii="Arial" w:hAnsi="Arial" w:cs="Arial"/>
        </w:rPr>
      </w:pPr>
      <w:r>
        <w:rPr>
          <w:rFonts w:ascii="Arial" w:hAnsi="Arial" w:cs="Arial"/>
        </w:rPr>
        <w:t>Olomoucký kraj (OK) je majitelem pozemků a staveb v areálu nemocnice v Přerově. Uvedené nemovitosti jsou pronajaty</w:t>
      </w:r>
      <w:r w:rsidR="005F0773">
        <w:rPr>
          <w:rFonts w:ascii="Arial" w:hAnsi="Arial" w:cs="Arial"/>
        </w:rPr>
        <w:t xml:space="preserve"> společnosti</w:t>
      </w:r>
      <w:r>
        <w:rPr>
          <w:rFonts w:ascii="Arial" w:hAnsi="Arial" w:cs="Arial"/>
        </w:rPr>
        <w:t xml:space="preserve"> </w:t>
      </w:r>
      <w:r w:rsidR="005F0773">
        <w:rPr>
          <w:rFonts w:ascii="Arial" w:hAnsi="Arial" w:cs="Arial"/>
        </w:rPr>
        <w:t xml:space="preserve">AGEL </w:t>
      </w:r>
      <w:r>
        <w:rPr>
          <w:rFonts w:ascii="Arial" w:hAnsi="Arial" w:cs="Arial"/>
        </w:rPr>
        <w:t>Středomoravsk</w:t>
      </w:r>
      <w:r w:rsidR="005F0773">
        <w:rPr>
          <w:rFonts w:ascii="Arial" w:hAnsi="Arial" w:cs="Arial"/>
        </w:rPr>
        <w:t>á</w:t>
      </w:r>
      <w:r>
        <w:rPr>
          <w:rFonts w:ascii="Arial" w:hAnsi="Arial" w:cs="Arial"/>
        </w:rPr>
        <w:t xml:space="preserve"> nemocniční a.s. (SMN) k poskytování zdravotních služeb. V areálu zmíněné nemocnice OK připravuje </w:t>
      </w:r>
      <w:r>
        <w:rPr>
          <w:rFonts w:ascii="Arial" w:hAnsi="Arial" w:cs="Arial"/>
          <w:b/>
        </w:rPr>
        <w:t xml:space="preserve">projekt: </w:t>
      </w:r>
      <w:r>
        <w:rPr>
          <w:rFonts w:ascii="Arial" w:hAnsi="Arial" w:cs="Arial"/>
        </w:rPr>
        <w:t xml:space="preserve">instalace </w:t>
      </w:r>
      <w:proofErr w:type="spellStart"/>
      <w:r>
        <w:rPr>
          <w:rFonts w:ascii="Arial" w:hAnsi="Arial" w:cs="Arial"/>
        </w:rPr>
        <w:t>fotovoltaických</w:t>
      </w:r>
      <w:proofErr w:type="spellEnd"/>
      <w:r>
        <w:rPr>
          <w:rFonts w:ascii="Arial" w:hAnsi="Arial" w:cs="Arial"/>
        </w:rPr>
        <w:t xml:space="preserve"> systémů pod názvem </w:t>
      </w:r>
      <w:r>
        <w:rPr>
          <w:rFonts w:ascii="Arial" w:hAnsi="Arial" w:cs="Arial"/>
          <w:b/>
        </w:rPr>
        <w:t xml:space="preserve">"SMN a.s. - </w:t>
      </w:r>
      <w:proofErr w:type="spellStart"/>
      <w:proofErr w:type="gramStart"/>
      <w:r>
        <w:rPr>
          <w:rFonts w:ascii="Arial" w:hAnsi="Arial" w:cs="Arial"/>
          <w:b/>
        </w:rPr>
        <w:t>o.z</w:t>
      </w:r>
      <w:proofErr w:type="spellEnd"/>
      <w:r>
        <w:rPr>
          <w:rFonts w:ascii="Arial" w:hAnsi="Arial" w:cs="Arial"/>
          <w:b/>
        </w:rPr>
        <w:t>.</w:t>
      </w:r>
      <w:proofErr w:type="gramEnd"/>
      <w:r>
        <w:rPr>
          <w:rFonts w:ascii="Arial" w:hAnsi="Arial" w:cs="Arial"/>
          <w:b/>
        </w:rPr>
        <w:t xml:space="preserve"> Nemocnice Přerov - Instalace </w:t>
      </w:r>
      <w:proofErr w:type="spellStart"/>
      <w:r>
        <w:rPr>
          <w:rFonts w:ascii="Arial" w:hAnsi="Arial" w:cs="Arial"/>
          <w:b/>
        </w:rPr>
        <w:t>fotovoltaických</w:t>
      </w:r>
      <w:proofErr w:type="spellEnd"/>
      <w:r>
        <w:rPr>
          <w:rFonts w:ascii="Arial" w:hAnsi="Arial" w:cs="Arial"/>
          <w:b/>
        </w:rPr>
        <w:t xml:space="preserve"> panelů</w:t>
      </w:r>
      <w:r w:rsidR="005F0773">
        <w:rPr>
          <w:rFonts w:ascii="Arial" w:hAnsi="Arial" w:cs="Arial"/>
          <w:b/>
        </w:rPr>
        <w:t xml:space="preserve"> – 1. etapa“.</w:t>
      </w:r>
      <w:r>
        <w:rPr>
          <w:rFonts w:ascii="Arial" w:hAnsi="Arial" w:cs="Arial"/>
        </w:rPr>
        <w:t xml:space="preserve"> </w:t>
      </w:r>
    </w:p>
    <w:p w:rsidR="00AD5DF5" w:rsidRDefault="00AD5DF5" w:rsidP="00AD5DF5">
      <w:pPr>
        <w:spacing w:after="120"/>
        <w:jc w:val="both"/>
        <w:rPr>
          <w:rFonts w:ascii="Arial" w:hAnsi="Arial" w:cs="Arial"/>
        </w:rPr>
      </w:pPr>
      <w:r>
        <w:rPr>
          <w:rFonts w:ascii="Arial" w:hAnsi="Arial" w:cs="Arial"/>
        </w:rPr>
        <w:t xml:space="preserve">Realizace projektu bude provedena na střechách vybraných budov areálu nemocnice v Přerově. Jde o budovu </w:t>
      </w:r>
      <w:r w:rsidR="00087E14">
        <w:rPr>
          <w:rFonts w:ascii="Arial" w:hAnsi="Arial" w:cs="Arial"/>
        </w:rPr>
        <w:t xml:space="preserve">gynekologie </w:t>
      </w:r>
      <w:r w:rsidR="00C13369">
        <w:rPr>
          <w:rFonts w:ascii="Arial" w:hAnsi="Arial" w:cs="Arial"/>
        </w:rPr>
        <w:t>(</w:t>
      </w:r>
      <w:r w:rsidR="00087E14">
        <w:rPr>
          <w:rFonts w:ascii="Arial" w:hAnsi="Arial" w:cs="Arial"/>
        </w:rPr>
        <w:t>porodnic</w:t>
      </w:r>
      <w:r w:rsidR="00C13369">
        <w:rPr>
          <w:rFonts w:ascii="Arial" w:hAnsi="Arial" w:cs="Arial"/>
        </w:rPr>
        <w:t>e)</w:t>
      </w:r>
      <w:r w:rsidR="00087E14">
        <w:rPr>
          <w:rFonts w:ascii="Arial" w:hAnsi="Arial" w:cs="Arial"/>
        </w:rPr>
        <w:t xml:space="preserve"> na pozemku </w:t>
      </w:r>
      <w:proofErr w:type="spellStart"/>
      <w:r w:rsidR="00087E14">
        <w:rPr>
          <w:rFonts w:ascii="Arial" w:hAnsi="Arial" w:cs="Arial"/>
        </w:rPr>
        <w:t>parc.č</w:t>
      </w:r>
      <w:proofErr w:type="spellEnd"/>
      <w:r w:rsidR="00087E14">
        <w:rPr>
          <w:rFonts w:ascii="Arial" w:hAnsi="Arial" w:cs="Arial"/>
        </w:rPr>
        <w:t xml:space="preserve">. 2559/10 a budovu interny na pozemku </w:t>
      </w:r>
      <w:proofErr w:type="spellStart"/>
      <w:r w:rsidR="00087E14">
        <w:rPr>
          <w:rFonts w:ascii="Arial" w:hAnsi="Arial" w:cs="Arial"/>
        </w:rPr>
        <w:t>parc.č</w:t>
      </w:r>
      <w:proofErr w:type="spellEnd"/>
      <w:r w:rsidR="00087E14">
        <w:rPr>
          <w:rFonts w:ascii="Arial" w:hAnsi="Arial" w:cs="Arial"/>
        </w:rPr>
        <w:t xml:space="preserve">. 2565/8 v kat. </w:t>
      </w:r>
      <w:proofErr w:type="gramStart"/>
      <w:r w:rsidR="00087E14">
        <w:rPr>
          <w:rFonts w:ascii="Arial" w:hAnsi="Arial" w:cs="Arial"/>
        </w:rPr>
        <w:t>území</w:t>
      </w:r>
      <w:proofErr w:type="gramEnd"/>
      <w:r w:rsidR="00087E14">
        <w:rPr>
          <w:rFonts w:ascii="Arial" w:hAnsi="Arial" w:cs="Arial"/>
        </w:rPr>
        <w:t xml:space="preserve"> Přerov. </w:t>
      </w:r>
      <w:r>
        <w:rPr>
          <w:rFonts w:ascii="Arial" w:hAnsi="Arial" w:cs="Arial"/>
        </w:rPr>
        <w:t xml:space="preserve">Budovy jsou v majetku </w:t>
      </w:r>
      <w:r w:rsidR="00BF0F69">
        <w:rPr>
          <w:rFonts w:ascii="Arial" w:hAnsi="Arial" w:cs="Arial"/>
        </w:rPr>
        <w:t>OK</w:t>
      </w:r>
      <w:r>
        <w:rPr>
          <w:rFonts w:ascii="Arial" w:hAnsi="Arial" w:cs="Arial"/>
        </w:rPr>
        <w:t xml:space="preserve"> a po realizaci projektu budou </w:t>
      </w:r>
      <w:proofErr w:type="spellStart"/>
      <w:r>
        <w:rPr>
          <w:rFonts w:ascii="Arial" w:hAnsi="Arial" w:cs="Arial"/>
        </w:rPr>
        <w:t>fotovoltaické</w:t>
      </w:r>
      <w:proofErr w:type="spellEnd"/>
      <w:r>
        <w:rPr>
          <w:rFonts w:ascii="Arial" w:hAnsi="Arial" w:cs="Arial"/>
        </w:rPr>
        <w:t xml:space="preserve"> panely také v majetku OK jako příslušenství budovy. V rámci stávající smlouvy o nájmu nemovitostí mezi OK a SMN jsou budovy zahrnuty do předmětu nájmu a dojde k navýšení nájemného.</w:t>
      </w:r>
    </w:p>
    <w:p w:rsidR="00AD5DF5" w:rsidRDefault="00AD5DF5" w:rsidP="00AD5DF5">
      <w:pPr>
        <w:pStyle w:val="Zkladntext"/>
        <w:rPr>
          <w:rFonts w:cs="Arial"/>
          <w:szCs w:val="24"/>
          <w:lang w:eastAsia="cs-CZ"/>
        </w:rPr>
      </w:pPr>
      <w:r>
        <w:t xml:space="preserve">Přípravu projektu bude Zastupitelstvo Olomouckého kraje schvalovat na svém jednání dne 21. 9. 2020. Podání projektu by pak proběhlo do konce roku 2020 a samotná realizace v roce 2021 po obdržení Rozhodnutí o poskytnutí dotace. </w:t>
      </w:r>
    </w:p>
    <w:p w:rsidR="00AD5DF5" w:rsidRDefault="00AD5DF5" w:rsidP="00AD5DF5">
      <w:pPr>
        <w:spacing w:after="120"/>
        <w:jc w:val="both"/>
        <w:rPr>
          <w:rFonts w:ascii="Arial" w:hAnsi="Arial" w:cs="Arial"/>
          <w:highlight w:val="yellow"/>
          <w:lang w:eastAsia="en-US"/>
        </w:rPr>
      </w:pPr>
      <w:r>
        <w:rPr>
          <w:rFonts w:ascii="Arial" w:hAnsi="Arial" w:cs="Arial"/>
        </w:rPr>
        <w:t xml:space="preserve">Ministerstvo životního prostředí vyhlásilo dne 2. 3. 2020 prostřednictvím Státního fondu životního prostředí ČR (SFŽP ČR) 146. výzvu pro podávání žádostí o poskytnutí podpory v rámci Operačního programu Životní prostředí (OPŽP) 2014–2020 (Prioritní osa 5, specifický cíl 5.1: Snížit energetickou náročnost veřejných budov </w:t>
      </w:r>
      <w:r w:rsidR="00087E14">
        <w:rPr>
          <w:rFonts w:ascii="Arial" w:hAnsi="Arial" w:cs="Arial"/>
        </w:rPr>
        <w:t>a</w:t>
      </w:r>
      <w:r>
        <w:rPr>
          <w:rFonts w:ascii="Arial" w:hAnsi="Arial" w:cs="Arial"/>
        </w:rPr>
        <w:t> zvýšit využití obnovitelných zdrojů energie), podmínky výzvy jsou mj.:</w:t>
      </w:r>
    </w:p>
    <w:p w:rsidR="00AD5DF5" w:rsidRDefault="00AD5DF5" w:rsidP="00AD5DF5">
      <w:pPr>
        <w:numPr>
          <w:ilvl w:val="0"/>
          <w:numId w:val="12"/>
        </w:numPr>
        <w:spacing w:after="120"/>
        <w:ind w:left="357" w:hanging="357"/>
        <w:jc w:val="both"/>
        <w:rPr>
          <w:rFonts w:ascii="Arial" w:hAnsi="Arial" w:cs="Arial"/>
          <w:b/>
          <w:bCs/>
        </w:rPr>
      </w:pPr>
      <w:r>
        <w:rPr>
          <w:rFonts w:ascii="Arial" w:hAnsi="Arial" w:cs="Arial"/>
        </w:rPr>
        <w:t>Typy podporovaných projektů a aktivit</w:t>
      </w:r>
      <w:r w:rsidR="00DC6413">
        <w:rPr>
          <w:rFonts w:ascii="Arial" w:hAnsi="Arial" w:cs="Arial"/>
        </w:rPr>
        <w:t>:</w:t>
      </w:r>
      <w:r>
        <w:rPr>
          <w:rFonts w:ascii="Arial" w:hAnsi="Arial" w:cs="Arial"/>
        </w:rPr>
        <w:t xml:space="preserve"> </w:t>
      </w:r>
    </w:p>
    <w:p w:rsidR="00AD5DF5" w:rsidRDefault="00AD5DF5" w:rsidP="00AD5DF5">
      <w:pPr>
        <w:numPr>
          <w:ilvl w:val="2"/>
          <w:numId w:val="12"/>
        </w:numPr>
        <w:spacing w:after="120"/>
        <w:jc w:val="both"/>
        <w:rPr>
          <w:rFonts w:ascii="Arial" w:hAnsi="Arial" w:cs="Arial"/>
          <w:bCs/>
        </w:rPr>
      </w:pPr>
      <w:r>
        <w:rPr>
          <w:rFonts w:ascii="Arial" w:hAnsi="Arial" w:cs="Arial"/>
          <w:bCs/>
        </w:rPr>
        <w:t>Celkové nebo dílčí energeticky úsporné renovace veřejných budov, včetně projektů realizovaných metodou EPC.</w:t>
      </w:r>
    </w:p>
    <w:p w:rsidR="00AD5DF5" w:rsidRDefault="00AD5DF5" w:rsidP="00AD5DF5">
      <w:pPr>
        <w:numPr>
          <w:ilvl w:val="2"/>
          <w:numId w:val="12"/>
        </w:numPr>
        <w:spacing w:after="120"/>
        <w:jc w:val="both"/>
        <w:rPr>
          <w:rFonts w:ascii="Arial" w:hAnsi="Arial" w:cs="Arial"/>
          <w:bCs/>
        </w:rPr>
      </w:pPr>
      <w:r>
        <w:rPr>
          <w:rFonts w:ascii="Arial" w:hAnsi="Arial" w:cs="Arial"/>
          <w:bCs/>
        </w:rPr>
        <w:t xml:space="preserve">Samostatná opatření výměny zdroje tepla s výkonem nižším než 5 MW využívajícího fosilní paliva nebo elektrickou energii pro vytápění, chlazení nebo přípravu teplé vody za účinné zdroje využívající biomasu, tepelná čerpadla, kondenzační kotle na zemní plyn nebo zařízení pro kombinovanou výrobu elektřiny a tepla nebo chladu využívající obnovitelné zdroje nebo zemní plyn, instalace solárně-termických kolektorů, </w:t>
      </w:r>
      <w:r>
        <w:rPr>
          <w:rFonts w:ascii="Arial" w:hAnsi="Arial" w:cs="Arial"/>
          <w:b/>
          <w:bCs/>
        </w:rPr>
        <w:t xml:space="preserve">instalace </w:t>
      </w:r>
      <w:proofErr w:type="spellStart"/>
      <w:r>
        <w:rPr>
          <w:rFonts w:ascii="Arial" w:hAnsi="Arial" w:cs="Arial"/>
          <w:b/>
          <w:bCs/>
        </w:rPr>
        <w:t>fotovoltaického</w:t>
      </w:r>
      <w:proofErr w:type="spellEnd"/>
      <w:r>
        <w:rPr>
          <w:rFonts w:ascii="Arial" w:hAnsi="Arial" w:cs="Arial"/>
          <w:b/>
          <w:bCs/>
        </w:rPr>
        <w:t xml:space="preserve"> systému</w:t>
      </w:r>
      <w:r>
        <w:rPr>
          <w:rFonts w:ascii="Arial" w:hAnsi="Arial" w:cs="Arial"/>
          <w:bCs/>
        </w:rPr>
        <w:t xml:space="preserve"> a instalace systému nuceného větrání s rekuperací odpadního tepla, pokud veřejná budova splňuje určitou energetickou náročnost a v případě instalace systému nuceného větrání s rekuperací zároveň nesplňuje požadavky na zajištění dostatečné výměny vzduchu.</w:t>
      </w:r>
    </w:p>
    <w:p w:rsidR="00AD5DF5" w:rsidRDefault="00AD5DF5" w:rsidP="00AD5DF5">
      <w:pPr>
        <w:numPr>
          <w:ilvl w:val="2"/>
          <w:numId w:val="12"/>
        </w:numPr>
        <w:spacing w:after="120"/>
        <w:jc w:val="both"/>
        <w:rPr>
          <w:rFonts w:ascii="Arial" w:hAnsi="Arial" w:cs="Arial"/>
          <w:bCs/>
        </w:rPr>
      </w:pPr>
      <w:r>
        <w:rPr>
          <w:rFonts w:ascii="Arial" w:hAnsi="Arial" w:cs="Arial"/>
          <w:bCs/>
        </w:rPr>
        <w:t>Výstavba nových veřejných budov v pasivním energetickém standardu.</w:t>
      </w:r>
    </w:p>
    <w:p w:rsidR="00AD5DF5" w:rsidRDefault="00AD5DF5" w:rsidP="00AD5DF5">
      <w:pPr>
        <w:numPr>
          <w:ilvl w:val="0"/>
          <w:numId w:val="12"/>
        </w:numPr>
        <w:autoSpaceDE w:val="0"/>
        <w:autoSpaceDN w:val="0"/>
        <w:spacing w:after="120"/>
        <w:ind w:left="357" w:hanging="357"/>
        <w:jc w:val="both"/>
        <w:rPr>
          <w:rFonts w:ascii="Arial" w:hAnsi="Arial" w:cs="Arial"/>
          <w:color w:val="231F20"/>
        </w:rPr>
      </w:pPr>
      <w:r>
        <w:rPr>
          <w:rFonts w:ascii="Arial" w:hAnsi="Arial" w:cs="Arial"/>
        </w:rPr>
        <w:t xml:space="preserve">Podpora je poskytována formou dotace v maximální hranici od 45 do 60 % celkových způsobilých výdajů, podle výše úspor a případné zařazení v rámci veřejné podpory. </w:t>
      </w:r>
    </w:p>
    <w:p w:rsidR="00AD5DF5" w:rsidRDefault="00AD5DF5" w:rsidP="00B41322">
      <w:pPr>
        <w:pStyle w:val="Odstavecseseznamem"/>
        <w:numPr>
          <w:ilvl w:val="0"/>
          <w:numId w:val="12"/>
        </w:numPr>
        <w:autoSpaceDE w:val="0"/>
        <w:autoSpaceDN w:val="0"/>
        <w:spacing w:after="120"/>
        <w:ind w:left="357" w:hanging="357"/>
        <w:contextualSpacing w:val="0"/>
        <w:jc w:val="both"/>
        <w:rPr>
          <w:rFonts w:ascii="Arial" w:hAnsi="Arial" w:cs="Arial"/>
        </w:rPr>
      </w:pPr>
      <w:r>
        <w:rPr>
          <w:rFonts w:ascii="Arial" w:hAnsi="Arial" w:cs="Arial"/>
          <w:sz w:val="24"/>
          <w:szCs w:val="24"/>
        </w:rPr>
        <w:t>Oprávnění žadatelé jsou kraje, obce, dobrovolné svazky obcí, organizační složky státu a další viz. </w:t>
      </w:r>
      <w:proofErr w:type="gramStart"/>
      <w:r>
        <w:rPr>
          <w:rFonts w:ascii="Arial" w:hAnsi="Arial" w:cs="Arial"/>
          <w:sz w:val="24"/>
          <w:szCs w:val="24"/>
        </w:rPr>
        <w:t>vyhlášená</w:t>
      </w:r>
      <w:proofErr w:type="gramEnd"/>
      <w:r>
        <w:rPr>
          <w:rFonts w:ascii="Arial" w:hAnsi="Arial" w:cs="Arial"/>
          <w:sz w:val="24"/>
          <w:szCs w:val="24"/>
        </w:rPr>
        <w:t xml:space="preserve"> 146. výzva Ministerstva životního prostředí k podávání žádostí o poskytnutí podpory v rámci „Operačního programu Životní prostředí 2014</w:t>
      </w:r>
      <w:r w:rsidR="00B41322">
        <w:rPr>
          <w:rFonts w:ascii="Arial" w:hAnsi="Arial" w:cs="Arial"/>
          <w:sz w:val="24"/>
          <w:szCs w:val="24"/>
        </w:rPr>
        <w:t> </w:t>
      </w:r>
      <w:r>
        <w:rPr>
          <w:rFonts w:ascii="Arial" w:hAnsi="Arial" w:cs="Arial"/>
          <w:sz w:val="24"/>
          <w:szCs w:val="24"/>
        </w:rPr>
        <w:t>–</w:t>
      </w:r>
      <w:r w:rsidR="00B41322">
        <w:rPr>
          <w:rFonts w:ascii="Arial" w:hAnsi="Arial" w:cs="Arial"/>
          <w:sz w:val="24"/>
          <w:szCs w:val="24"/>
        </w:rPr>
        <w:t> </w:t>
      </w:r>
      <w:r>
        <w:rPr>
          <w:rFonts w:ascii="Arial" w:hAnsi="Arial" w:cs="Arial"/>
          <w:sz w:val="24"/>
          <w:szCs w:val="24"/>
        </w:rPr>
        <w:t>2020“</w:t>
      </w:r>
    </w:p>
    <w:p w:rsidR="00AD5DF5" w:rsidRDefault="00AD5DF5" w:rsidP="00AD5DF5">
      <w:pPr>
        <w:pStyle w:val="Odstavecseseznamem"/>
        <w:numPr>
          <w:ilvl w:val="0"/>
          <w:numId w:val="12"/>
        </w:numPr>
        <w:autoSpaceDE w:val="0"/>
        <w:autoSpaceDN w:val="0"/>
        <w:spacing w:after="120"/>
        <w:jc w:val="both"/>
        <w:rPr>
          <w:rFonts w:ascii="Arial" w:hAnsi="Arial" w:cs="Arial"/>
          <w:sz w:val="24"/>
          <w:szCs w:val="24"/>
        </w:rPr>
      </w:pPr>
      <w:r>
        <w:rPr>
          <w:rFonts w:ascii="Arial" w:hAnsi="Arial" w:cs="Arial"/>
          <w:sz w:val="24"/>
          <w:szCs w:val="24"/>
        </w:rPr>
        <w:t xml:space="preserve">Odhadované náklady projektu </w:t>
      </w:r>
      <w:r w:rsidRPr="000B7498">
        <w:rPr>
          <w:rFonts w:ascii="Arial" w:hAnsi="Arial" w:cs="Arial"/>
          <w:b/>
          <w:sz w:val="24"/>
          <w:szCs w:val="24"/>
        </w:rPr>
        <w:t>"</w:t>
      </w:r>
      <w:r>
        <w:rPr>
          <w:rFonts w:ascii="Arial" w:hAnsi="Arial" w:cs="Arial"/>
          <w:b/>
          <w:sz w:val="24"/>
          <w:szCs w:val="24"/>
        </w:rPr>
        <w:t xml:space="preserve">SMN a.s. - </w:t>
      </w:r>
      <w:proofErr w:type="spellStart"/>
      <w:proofErr w:type="gramStart"/>
      <w:r>
        <w:rPr>
          <w:rFonts w:ascii="Arial" w:hAnsi="Arial" w:cs="Arial"/>
          <w:b/>
          <w:sz w:val="24"/>
          <w:szCs w:val="24"/>
        </w:rPr>
        <w:t>o.z</w:t>
      </w:r>
      <w:proofErr w:type="spellEnd"/>
      <w:r>
        <w:rPr>
          <w:rFonts w:ascii="Arial" w:hAnsi="Arial" w:cs="Arial"/>
          <w:b/>
          <w:sz w:val="24"/>
          <w:szCs w:val="24"/>
        </w:rPr>
        <w:t>.</w:t>
      </w:r>
      <w:proofErr w:type="gramEnd"/>
      <w:r>
        <w:rPr>
          <w:rFonts w:ascii="Arial" w:hAnsi="Arial" w:cs="Arial"/>
          <w:b/>
          <w:sz w:val="24"/>
          <w:szCs w:val="24"/>
        </w:rPr>
        <w:t xml:space="preserve"> Nemocnice Přerov - Instalace </w:t>
      </w:r>
      <w:proofErr w:type="spellStart"/>
      <w:r>
        <w:rPr>
          <w:rFonts w:ascii="Arial" w:hAnsi="Arial" w:cs="Arial"/>
          <w:b/>
          <w:sz w:val="24"/>
          <w:szCs w:val="24"/>
        </w:rPr>
        <w:t>fotovoltaických</w:t>
      </w:r>
      <w:proofErr w:type="spellEnd"/>
      <w:r>
        <w:rPr>
          <w:rFonts w:ascii="Arial" w:hAnsi="Arial" w:cs="Arial"/>
          <w:b/>
          <w:sz w:val="24"/>
          <w:szCs w:val="24"/>
        </w:rPr>
        <w:t xml:space="preserve"> panelů</w:t>
      </w:r>
      <w:r>
        <w:rPr>
          <w:rFonts w:ascii="Arial" w:hAnsi="Arial" w:cs="Arial"/>
          <w:sz w:val="24"/>
          <w:szCs w:val="24"/>
        </w:rPr>
        <w:t xml:space="preserve"> </w:t>
      </w:r>
      <w:r w:rsidR="000B7498" w:rsidRPr="000B7498">
        <w:rPr>
          <w:rFonts w:ascii="Arial" w:hAnsi="Arial" w:cs="Arial"/>
          <w:b/>
          <w:sz w:val="24"/>
          <w:szCs w:val="24"/>
        </w:rPr>
        <w:t>– 1. etapa</w:t>
      </w:r>
      <w:r w:rsidRPr="000B7498">
        <w:rPr>
          <w:rFonts w:ascii="Arial" w:hAnsi="Arial" w:cs="Arial"/>
          <w:b/>
          <w:sz w:val="24"/>
          <w:szCs w:val="24"/>
        </w:rPr>
        <w:t>"</w:t>
      </w:r>
      <w:r>
        <w:rPr>
          <w:rFonts w:ascii="Arial" w:hAnsi="Arial" w:cs="Arial"/>
          <w:sz w:val="24"/>
          <w:szCs w:val="24"/>
        </w:rPr>
        <w:t xml:space="preserve"> jsou</w:t>
      </w:r>
      <w:r w:rsidR="000B7498">
        <w:rPr>
          <w:rFonts w:ascii="Arial" w:hAnsi="Arial" w:cs="Arial"/>
          <w:sz w:val="24"/>
          <w:szCs w:val="24"/>
        </w:rPr>
        <w:t xml:space="preserve"> 3</w:t>
      </w:r>
      <w:r w:rsidRPr="000B7498">
        <w:rPr>
          <w:rFonts w:ascii="Arial" w:hAnsi="Arial" w:cs="Arial"/>
          <w:sz w:val="24"/>
          <w:szCs w:val="24"/>
        </w:rPr>
        <w:t xml:space="preserve"> mil. Kč bez DPH.</w:t>
      </w:r>
    </w:p>
    <w:p w:rsidR="00AD5DF5" w:rsidRDefault="00AD5DF5" w:rsidP="00AD5DF5">
      <w:pPr>
        <w:pStyle w:val="Odstavecseseznamem"/>
        <w:autoSpaceDE w:val="0"/>
        <w:autoSpaceDN w:val="0"/>
        <w:spacing w:after="120"/>
        <w:ind w:left="360"/>
        <w:jc w:val="both"/>
        <w:rPr>
          <w:rFonts w:ascii="Arial" w:hAnsi="Arial" w:cs="Arial"/>
          <w:sz w:val="24"/>
          <w:szCs w:val="24"/>
        </w:rPr>
      </w:pPr>
    </w:p>
    <w:tbl>
      <w:tblPr>
        <w:tblpPr w:leftFromText="141" w:rightFromText="141" w:bottomFromText="115" w:vertAnchor="text"/>
        <w:tblW w:w="9113" w:type="dxa"/>
        <w:tblCellMar>
          <w:left w:w="0" w:type="dxa"/>
          <w:right w:w="0" w:type="dxa"/>
        </w:tblCellMar>
        <w:tblLook w:val="04A0" w:firstRow="1" w:lastRow="0" w:firstColumn="1" w:lastColumn="0" w:noHBand="0" w:noVBand="1"/>
      </w:tblPr>
      <w:tblGrid>
        <w:gridCol w:w="3226"/>
        <w:gridCol w:w="2328"/>
        <w:gridCol w:w="3559"/>
      </w:tblGrid>
      <w:tr w:rsidR="00AD5DF5" w:rsidTr="00AD5DF5">
        <w:trPr>
          <w:trHeight w:val="476"/>
        </w:trPr>
        <w:tc>
          <w:tcPr>
            <w:tcW w:w="32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AD5DF5" w:rsidRDefault="00AD5DF5">
            <w:pPr>
              <w:spacing w:line="252" w:lineRule="auto"/>
              <w:jc w:val="center"/>
              <w:rPr>
                <w:rFonts w:ascii="Arial" w:hAnsi="Arial" w:cs="Arial"/>
                <w:lang w:val="pl-PL"/>
              </w:rPr>
            </w:pPr>
            <w:r>
              <w:rPr>
                <w:rFonts w:ascii="Arial" w:hAnsi="Arial" w:cs="Arial"/>
                <w:lang w:val="pl-PL"/>
              </w:rPr>
              <w:t xml:space="preserve">Celkové </w:t>
            </w:r>
            <w:r w:rsidR="000B7498">
              <w:rPr>
                <w:rFonts w:ascii="Arial" w:hAnsi="Arial" w:cs="Arial"/>
                <w:lang w:val="pl-PL"/>
              </w:rPr>
              <w:t xml:space="preserve">předpokládané </w:t>
            </w:r>
            <w:r>
              <w:rPr>
                <w:rFonts w:ascii="Arial" w:hAnsi="Arial" w:cs="Arial"/>
                <w:lang w:val="pl-PL"/>
              </w:rPr>
              <w:t>výdaje projektu</w:t>
            </w:r>
          </w:p>
        </w:tc>
        <w:tc>
          <w:tcPr>
            <w:tcW w:w="23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AD5DF5" w:rsidRDefault="00AD5DF5" w:rsidP="000B7498">
            <w:pPr>
              <w:spacing w:line="252" w:lineRule="auto"/>
              <w:jc w:val="center"/>
              <w:rPr>
                <w:rFonts w:ascii="Arial" w:hAnsi="Arial" w:cs="Arial"/>
                <w:lang w:val="pl-PL"/>
              </w:rPr>
            </w:pPr>
            <w:r>
              <w:rPr>
                <w:rFonts w:ascii="Arial" w:hAnsi="Arial" w:cs="Arial"/>
                <w:lang w:val="pl-PL"/>
              </w:rPr>
              <w:t xml:space="preserve">Dotace z OPŽP </w:t>
            </w:r>
          </w:p>
        </w:tc>
        <w:tc>
          <w:tcPr>
            <w:tcW w:w="35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AD5DF5" w:rsidRDefault="00AD5DF5">
            <w:pPr>
              <w:spacing w:line="252" w:lineRule="auto"/>
              <w:jc w:val="center"/>
              <w:rPr>
                <w:rFonts w:ascii="Arial" w:hAnsi="Arial" w:cs="Arial"/>
                <w:lang w:val="pl-PL"/>
              </w:rPr>
            </w:pPr>
            <w:r>
              <w:rPr>
                <w:rFonts w:ascii="Arial" w:hAnsi="Arial" w:cs="Arial"/>
                <w:lang w:val="pl-PL"/>
              </w:rPr>
              <w:t xml:space="preserve">Podíl Olomouckého kraje </w:t>
            </w:r>
          </w:p>
        </w:tc>
      </w:tr>
      <w:tr w:rsidR="00AD5DF5" w:rsidTr="00AD5DF5">
        <w:trPr>
          <w:trHeight w:val="476"/>
        </w:trPr>
        <w:tc>
          <w:tcPr>
            <w:tcW w:w="32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5DF5" w:rsidRPr="000B7498" w:rsidRDefault="000B7498" w:rsidP="000B7498">
            <w:pPr>
              <w:spacing w:line="252" w:lineRule="auto"/>
              <w:jc w:val="center"/>
              <w:rPr>
                <w:rFonts w:ascii="Arial" w:hAnsi="Arial" w:cs="Arial"/>
                <w:bCs/>
                <w:lang w:val="pl-PL"/>
              </w:rPr>
            </w:pPr>
            <w:r w:rsidRPr="000B7498">
              <w:rPr>
                <w:rFonts w:ascii="Arial" w:hAnsi="Arial" w:cs="Arial"/>
                <w:bCs/>
                <w:color w:val="000000"/>
              </w:rPr>
              <w:t>3</w:t>
            </w:r>
            <w:r w:rsidR="00AD5DF5" w:rsidRPr="000B7498">
              <w:rPr>
                <w:rFonts w:ascii="Arial" w:hAnsi="Arial" w:cs="Arial"/>
                <w:bCs/>
                <w:color w:val="000000"/>
              </w:rPr>
              <w:t xml:space="preserve"> mil. </w:t>
            </w:r>
            <w:r w:rsidR="00AD5DF5" w:rsidRPr="000B7498">
              <w:rPr>
                <w:rFonts w:ascii="Arial" w:hAnsi="Arial" w:cs="Arial"/>
                <w:bCs/>
                <w:lang w:val="pl-PL"/>
              </w:rPr>
              <w:t>Kč</w:t>
            </w:r>
          </w:p>
        </w:tc>
        <w:tc>
          <w:tcPr>
            <w:tcW w:w="2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5DF5" w:rsidRPr="000B7498" w:rsidRDefault="000B7498" w:rsidP="000B7498">
            <w:pPr>
              <w:spacing w:line="252" w:lineRule="auto"/>
              <w:jc w:val="center"/>
              <w:rPr>
                <w:rFonts w:ascii="Arial" w:hAnsi="Arial" w:cs="Arial"/>
                <w:bCs/>
                <w:highlight w:val="red"/>
              </w:rPr>
            </w:pPr>
            <w:r w:rsidRPr="000B7498">
              <w:rPr>
                <w:rFonts w:ascii="Arial" w:hAnsi="Arial" w:cs="Arial"/>
                <w:bCs/>
                <w:color w:val="000000"/>
              </w:rPr>
              <w:t>1,8</w:t>
            </w:r>
            <w:r w:rsidR="00AD5DF5" w:rsidRPr="000B7498">
              <w:rPr>
                <w:rFonts w:ascii="Arial" w:hAnsi="Arial" w:cs="Arial"/>
                <w:bCs/>
                <w:color w:val="000000"/>
              </w:rPr>
              <w:t xml:space="preserve"> mil. </w:t>
            </w:r>
            <w:r w:rsidR="00AD5DF5" w:rsidRPr="000B7498">
              <w:rPr>
                <w:rFonts w:ascii="Arial" w:hAnsi="Arial" w:cs="Arial"/>
                <w:bCs/>
              </w:rPr>
              <w:t>Kč</w:t>
            </w:r>
          </w:p>
        </w:tc>
        <w:tc>
          <w:tcPr>
            <w:tcW w:w="3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5DF5" w:rsidRPr="000B7498" w:rsidRDefault="000B7498" w:rsidP="000B7498">
            <w:pPr>
              <w:spacing w:line="252" w:lineRule="auto"/>
              <w:jc w:val="center"/>
              <w:rPr>
                <w:rFonts w:ascii="Arial" w:hAnsi="Arial" w:cs="Arial"/>
                <w:bCs/>
              </w:rPr>
            </w:pPr>
            <w:r w:rsidRPr="000B7498">
              <w:rPr>
                <w:rFonts w:ascii="Arial" w:hAnsi="Arial" w:cs="Arial"/>
                <w:bCs/>
                <w:color w:val="000000"/>
              </w:rPr>
              <w:t>1,2</w:t>
            </w:r>
            <w:r w:rsidR="00AD5DF5" w:rsidRPr="000B7498">
              <w:rPr>
                <w:rFonts w:ascii="Arial" w:hAnsi="Arial" w:cs="Arial"/>
                <w:bCs/>
                <w:color w:val="000000"/>
              </w:rPr>
              <w:t xml:space="preserve"> mil. </w:t>
            </w:r>
            <w:r w:rsidR="00AD5DF5" w:rsidRPr="000B7498">
              <w:rPr>
                <w:rFonts w:ascii="Arial" w:hAnsi="Arial" w:cs="Arial"/>
                <w:bCs/>
              </w:rPr>
              <w:t>Kč</w:t>
            </w:r>
          </w:p>
        </w:tc>
      </w:tr>
    </w:tbl>
    <w:p w:rsidR="000B7498" w:rsidRPr="000B7498" w:rsidRDefault="000B7498" w:rsidP="000B7498">
      <w:pPr>
        <w:autoSpaceDE w:val="0"/>
        <w:autoSpaceDN w:val="0"/>
        <w:spacing w:after="120"/>
        <w:jc w:val="both"/>
        <w:rPr>
          <w:rFonts w:ascii="Arial" w:hAnsi="Arial" w:cs="Arial"/>
        </w:rPr>
      </w:pPr>
      <w:r w:rsidRPr="000B7498">
        <w:rPr>
          <w:rFonts w:ascii="Arial" w:hAnsi="Arial" w:cs="Arial"/>
        </w:rPr>
        <w:t xml:space="preserve">1. etapa instalace </w:t>
      </w:r>
      <w:proofErr w:type="spellStart"/>
      <w:r w:rsidRPr="000B7498">
        <w:rPr>
          <w:rFonts w:ascii="Arial" w:hAnsi="Arial" w:cs="Arial"/>
        </w:rPr>
        <w:t>fotovoltaických</w:t>
      </w:r>
      <w:proofErr w:type="spellEnd"/>
      <w:r w:rsidRPr="000B7498">
        <w:rPr>
          <w:rFonts w:ascii="Arial" w:hAnsi="Arial" w:cs="Arial"/>
        </w:rPr>
        <w:t xml:space="preserve"> panelů bude na budovách porodnice a interních oborů – v souvislosti s těmito obory bude SMN pověřena poskytováním služeb obecného hospodářského zájmu a dotace tak dosáhne 60%, v případě, že by pověření službou nebylo vydáno, dosáhne dotace pouze 45%. Je třeba doložit soulad postupu s pravidly veřejné podpory.</w:t>
      </w:r>
    </w:p>
    <w:p w:rsidR="00AD5DF5" w:rsidRDefault="00AD5DF5" w:rsidP="00AD5DF5">
      <w:pPr>
        <w:autoSpaceDE w:val="0"/>
        <w:autoSpaceDN w:val="0"/>
        <w:adjustRightInd w:val="0"/>
        <w:spacing w:after="120"/>
        <w:jc w:val="both"/>
        <w:rPr>
          <w:rFonts w:ascii="Arial" w:eastAsia="ArialMT" w:hAnsi="Arial" w:cs="Arial"/>
        </w:rPr>
      </w:pPr>
      <w:r>
        <w:rPr>
          <w:rFonts w:ascii="Arial" w:eastAsia="ArialMT" w:hAnsi="Arial" w:cs="Arial"/>
        </w:rPr>
        <w:t>Veřejná podpora je definována Smlouvou o fungování EU v článku 107 odst. 1 jako podpora splňující kumulativně následující definiční znaky: jedná se o podporu z veřejných zdrojů, která je směřována podniku nebo skupině podniků, k jejichž zvýhodnění tím dojde, a která má potenciál ovlivnit hospodářskou soutěž do té míry, že může být narušen obchod mezi členskými státy.</w:t>
      </w:r>
    </w:p>
    <w:p w:rsidR="00AD5DF5" w:rsidRDefault="00AD5DF5" w:rsidP="00AD5DF5">
      <w:pPr>
        <w:autoSpaceDE w:val="0"/>
        <w:autoSpaceDN w:val="0"/>
        <w:adjustRightInd w:val="0"/>
        <w:spacing w:after="120"/>
        <w:jc w:val="both"/>
        <w:rPr>
          <w:rFonts w:ascii="Arial" w:eastAsia="ArialMT" w:hAnsi="Arial" w:cs="Arial"/>
        </w:rPr>
      </w:pPr>
      <w:r>
        <w:rPr>
          <w:rFonts w:ascii="Arial" w:eastAsia="ArialMT" w:hAnsi="Arial" w:cs="Arial"/>
        </w:rPr>
        <w:t>Obecně je taková podpora zakázána, ale z tohoto zákazu existují výjimky ve formě sekundárních předpisů. V rámci těchto výjimek je možné poskytovat podpory projektům, které přispívají k naplňování cílů EU a u kterých je dopad na trh vyvážen pozitivním přínosem. Sekundární předpisy definují jak podmínky a cíle, tak formy podpory, kterými se členské státy řídí při přípravě a provádění programů podpor nebo při udělování jednotlivých podpor projektům.</w:t>
      </w:r>
    </w:p>
    <w:p w:rsidR="00AD5DF5" w:rsidRDefault="00AD5DF5" w:rsidP="00AD5DF5">
      <w:pPr>
        <w:autoSpaceDE w:val="0"/>
        <w:autoSpaceDN w:val="0"/>
        <w:adjustRightInd w:val="0"/>
        <w:spacing w:after="120"/>
        <w:jc w:val="both"/>
        <w:rPr>
          <w:rFonts w:ascii="Arial" w:eastAsia="ArialMT" w:hAnsi="Arial" w:cs="Arial"/>
        </w:rPr>
      </w:pPr>
      <w:r>
        <w:rPr>
          <w:rFonts w:ascii="Arial" w:eastAsia="ArialMT" w:hAnsi="Arial" w:cs="Arial"/>
        </w:rPr>
        <w:t>Pravidla veřejné podpory jsou relevantní pro všechny žadatele a příjemce podpory bez ohledu na právní formu v případě, že v souvislosti s projektem lze příjemce charakterizovat jako podnik (dochází nebo bude docházet k nabídce zboží nebo služeb na trhu). Podle této definice může být podnikem i obec, kraj, nezisková organizace nebo spolek a další subjekty.</w:t>
      </w:r>
    </w:p>
    <w:p w:rsidR="00AD5DF5" w:rsidRDefault="00AD5DF5" w:rsidP="00AD5DF5">
      <w:pPr>
        <w:autoSpaceDE w:val="0"/>
        <w:autoSpaceDN w:val="0"/>
        <w:adjustRightInd w:val="0"/>
        <w:spacing w:after="120"/>
        <w:jc w:val="both"/>
        <w:rPr>
          <w:rFonts w:ascii="Arial" w:eastAsia="ArialMT" w:hAnsi="Arial" w:cs="Arial"/>
          <w:highlight w:val="yellow"/>
        </w:rPr>
      </w:pPr>
      <w:r>
        <w:rPr>
          <w:rFonts w:ascii="Arial" w:eastAsia="ArialMT" w:hAnsi="Arial" w:cs="Arial"/>
        </w:rPr>
        <w:t xml:space="preserve">Jednou z výjimek </w:t>
      </w:r>
      <w:r w:rsidR="00C13369">
        <w:rPr>
          <w:rFonts w:ascii="Arial" w:eastAsia="ArialMT" w:hAnsi="Arial" w:cs="Arial"/>
        </w:rPr>
        <w:t xml:space="preserve">v oblasti </w:t>
      </w:r>
      <w:r>
        <w:rPr>
          <w:rFonts w:ascii="Arial" w:eastAsia="ArialMT" w:hAnsi="Arial" w:cs="Arial"/>
        </w:rPr>
        <w:t>veřejné podpory, jsou služby obecného hospodářského zájmu. V případě služeb obecného zájmu se nejedná o klasické služby poskytované na trhu, ale o služby, které se vyznačují tím, že jsou obvykle zajišťovány státem, kraji či obcemi ve veřejném zájmu (tzn. v zájmu veřejnosti) a jejich specifickým znakem je, že pokud by nebyly finančně podporovány veřejnými subjekty, nebyly by poskytovány na trhu vůbec nebo by byly poskytovány v nižší kvalitě či rozsahu. Opodstatněnost finanční podpory služeb obecného zájmu ze strany veřejných subjektů tak vychází z tržního selhání v oblasti jejich nabídky těchto služeb.</w:t>
      </w:r>
    </w:p>
    <w:p w:rsidR="00AD5DF5" w:rsidRDefault="00AD5DF5" w:rsidP="00AD5DF5">
      <w:pPr>
        <w:autoSpaceDE w:val="0"/>
        <w:autoSpaceDN w:val="0"/>
        <w:adjustRightInd w:val="0"/>
        <w:spacing w:after="120"/>
        <w:jc w:val="both"/>
        <w:rPr>
          <w:rFonts w:ascii="Arial" w:eastAsia="ArialMT" w:hAnsi="Arial" w:cs="Arial"/>
          <w:highlight w:val="yellow"/>
        </w:rPr>
      </w:pPr>
      <w:r>
        <w:rPr>
          <w:rFonts w:ascii="Arial" w:eastAsia="ArialMT" w:hAnsi="Arial" w:cs="Arial"/>
        </w:rPr>
        <w:t xml:space="preserve">Dne 20. 12. 2011 Evropská komise přijala nové právní předpisy regulující poskytování vyrovnávací platby za výkon služeb obecného hospodářského zájmu. Jedním z předpisů je i </w:t>
      </w:r>
      <w:hyperlink r:id="rId7" w:tgtFrame="_blank" w:tooltip=" odkaz do nového okna" w:history="1">
        <w:r>
          <w:rPr>
            <w:rStyle w:val="Hypertextovodkaz"/>
            <w:rFonts w:ascii="Arial" w:eastAsia="ArialMT" w:hAnsi="Arial" w:cs="Arial"/>
          </w:rPr>
          <w:t>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hyperlink>
      <w:r>
        <w:rPr>
          <w:rFonts w:ascii="Arial" w:eastAsia="ArialMT" w:hAnsi="Arial" w:cs="Arial"/>
        </w:rPr>
        <w:t>.</w:t>
      </w:r>
    </w:p>
    <w:p w:rsidR="00AD5DF5" w:rsidRDefault="00AD5DF5" w:rsidP="00AD5DF5">
      <w:pPr>
        <w:autoSpaceDE w:val="0"/>
        <w:autoSpaceDN w:val="0"/>
        <w:adjustRightInd w:val="0"/>
        <w:jc w:val="both"/>
        <w:rPr>
          <w:rFonts w:ascii="Arial" w:eastAsia="ArialMT" w:hAnsi="Arial" w:cs="Arial"/>
        </w:rPr>
      </w:pPr>
      <w:r>
        <w:rPr>
          <w:rFonts w:ascii="Arial" w:hAnsi="Arial" w:cs="Arial"/>
        </w:rPr>
        <w:t xml:space="preserve">Pro další bezproblémový postup je třeba se žádostí o dotaci doložit, </w:t>
      </w:r>
      <w:r>
        <w:rPr>
          <w:rFonts w:ascii="Arial" w:hAnsi="Arial" w:cs="Arial"/>
          <w:color w:val="231F20"/>
        </w:rPr>
        <w:t xml:space="preserve">v souladu s Rozhodnutím </w:t>
      </w:r>
      <w:r>
        <w:rPr>
          <w:rFonts w:ascii="Arial" w:eastAsia="ArialMT" w:hAnsi="Arial" w:cs="Arial"/>
        </w:rPr>
        <w:t>Komise</w:t>
      </w:r>
      <w:r w:rsidR="00C13369">
        <w:rPr>
          <w:rFonts w:ascii="Arial" w:eastAsia="ArialMT" w:hAnsi="Arial" w:cs="Arial"/>
        </w:rPr>
        <w:t>,</w:t>
      </w:r>
      <w:r>
        <w:rPr>
          <w:rFonts w:ascii="Arial" w:eastAsia="ArialMT" w:hAnsi="Arial" w:cs="Arial"/>
        </w:rPr>
        <w:t xml:space="preserve"> pověření jedním nebo několika akty. V tomto aktu nebo aktech musí být uvedeny zejména tyto údaje:</w:t>
      </w:r>
    </w:p>
    <w:p w:rsidR="00AD5DF5" w:rsidRDefault="00AD5DF5" w:rsidP="00AD5DF5">
      <w:pPr>
        <w:autoSpaceDE w:val="0"/>
        <w:autoSpaceDN w:val="0"/>
        <w:adjustRightInd w:val="0"/>
        <w:jc w:val="both"/>
        <w:rPr>
          <w:rFonts w:ascii="Arial" w:eastAsia="ArialMT" w:hAnsi="Arial" w:cs="Arial"/>
        </w:rPr>
      </w:pPr>
      <w:r>
        <w:rPr>
          <w:rFonts w:ascii="Arial" w:eastAsia="ArialMT" w:hAnsi="Arial" w:cs="Arial"/>
        </w:rPr>
        <w:t>a) náplň a trvání závazků veřejné služby,</w:t>
      </w:r>
    </w:p>
    <w:p w:rsidR="00AD5DF5" w:rsidRDefault="00AD5DF5" w:rsidP="00AD5DF5">
      <w:pPr>
        <w:autoSpaceDE w:val="0"/>
        <w:autoSpaceDN w:val="0"/>
        <w:adjustRightInd w:val="0"/>
        <w:jc w:val="both"/>
        <w:rPr>
          <w:rFonts w:ascii="Arial" w:eastAsia="ArialMT" w:hAnsi="Arial" w:cs="Arial"/>
        </w:rPr>
      </w:pPr>
      <w:r>
        <w:rPr>
          <w:rFonts w:ascii="Arial" w:eastAsia="ArialMT" w:hAnsi="Arial" w:cs="Arial"/>
        </w:rPr>
        <w:t>b) o který podnik, případně o které území se jedná,</w:t>
      </w:r>
    </w:p>
    <w:p w:rsidR="00AD5DF5" w:rsidRDefault="00AD5DF5" w:rsidP="00AD5DF5">
      <w:pPr>
        <w:autoSpaceDE w:val="0"/>
        <w:autoSpaceDN w:val="0"/>
        <w:adjustRightInd w:val="0"/>
        <w:jc w:val="both"/>
        <w:rPr>
          <w:rFonts w:ascii="Arial" w:eastAsia="ArialMT" w:hAnsi="Arial" w:cs="Arial"/>
        </w:rPr>
      </w:pPr>
      <w:r>
        <w:rPr>
          <w:rFonts w:ascii="Arial" w:eastAsia="ArialMT" w:hAnsi="Arial" w:cs="Arial"/>
        </w:rPr>
        <w:t>c) povaha jakýchkoliv výhradních nebo zvláštních práv udělených podniku orgánem poskytujícím podporu,</w:t>
      </w:r>
    </w:p>
    <w:p w:rsidR="00AD5DF5" w:rsidRDefault="00AD5DF5" w:rsidP="00AD5DF5">
      <w:pPr>
        <w:autoSpaceDE w:val="0"/>
        <w:autoSpaceDN w:val="0"/>
        <w:adjustRightInd w:val="0"/>
        <w:jc w:val="both"/>
        <w:rPr>
          <w:rFonts w:ascii="Arial" w:eastAsia="ArialMT" w:hAnsi="Arial" w:cs="Arial"/>
        </w:rPr>
      </w:pPr>
      <w:r>
        <w:rPr>
          <w:rFonts w:ascii="Arial" w:eastAsia="ArialMT" w:hAnsi="Arial" w:cs="Arial"/>
        </w:rPr>
        <w:lastRenderedPageBreak/>
        <w:t>d) popis kompenzačního mechanismu a parametrů pro výpočet, kontrolu a přezkoumání vyrovnávací platby,</w:t>
      </w:r>
    </w:p>
    <w:p w:rsidR="00AD5DF5" w:rsidRDefault="00AD5DF5" w:rsidP="00AD5DF5">
      <w:pPr>
        <w:autoSpaceDE w:val="0"/>
        <w:autoSpaceDN w:val="0"/>
        <w:adjustRightInd w:val="0"/>
        <w:jc w:val="both"/>
        <w:rPr>
          <w:rFonts w:ascii="Arial" w:eastAsia="ArialMT" w:hAnsi="Arial" w:cs="Arial"/>
        </w:rPr>
      </w:pPr>
      <w:r>
        <w:rPr>
          <w:rFonts w:ascii="Arial" w:eastAsia="ArialMT" w:hAnsi="Arial" w:cs="Arial"/>
        </w:rPr>
        <w:t>e) opatření k zamezení a vrácení jakékoliv nadměrné vyrovnávací platby a</w:t>
      </w:r>
    </w:p>
    <w:p w:rsidR="00AD5DF5" w:rsidRDefault="00AD5DF5" w:rsidP="00AD5DF5">
      <w:pPr>
        <w:autoSpaceDE w:val="0"/>
        <w:autoSpaceDN w:val="0"/>
        <w:spacing w:after="120"/>
        <w:jc w:val="both"/>
        <w:rPr>
          <w:rFonts w:ascii="Arial" w:eastAsia="ArialMT" w:hAnsi="Arial" w:cs="Arial"/>
        </w:rPr>
      </w:pPr>
      <w:r>
        <w:rPr>
          <w:rFonts w:ascii="Arial" w:eastAsia="ArialMT" w:hAnsi="Arial" w:cs="Arial"/>
        </w:rPr>
        <w:t>f) odkaz na toto rozhodnutí.</w:t>
      </w:r>
    </w:p>
    <w:p w:rsidR="00AD5DF5" w:rsidRDefault="00AD5DF5" w:rsidP="00AD5DF5">
      <w:pPr>
        <w:autoSpaceDE w:val="0"/>
        <w:autoSpaceDN w:val="0"/>
        <w:spacing w:after="120"/>
        <w:jc w:val="both"/>
        <w:rPr>
          <w:rFonts w:ascii="Arial" w:eastAsia="Calibri" w:hAnsi="Arial" w:cs="Arial"/>
        </w:rPr>
      </w:pPr>
      <w:r>
        <w:rPr>
          <w:rFonts w:ascii="Arial" w:hAnsi="Arial" w:cs="Arial"/>
        </w:rPr>
        <w:t xml:space="preserve">Jako nejjednodušší řešení se v dané situaci jeví poskytnout SFŽP ČR deklaraci, že subjekt, který bude využívat </w:t>
      </w:r>
      <w:proofErr w:type="spellStart"/>
      <w:r>
        <w:rPr>
          <w:rFonts w:ascii="Arial" w:hAnsi="Arial" w:cs="Arial"/>
        </w:rPr>
        <w:t>fotovoltaický</w:t>
      </w:r>
      <w:proofErr w:type="spellEnd"/>
      <w:r>
        <w:rPr>
          <w:rFonts w:ascii="Arial" w:hAnsi="Arial" w:cs="Arial"/>
        </w:rPr>
        <w:t xml:space="preserve"> systém, bude </w:t>
      </w:r>
      <w:r w:rsidR="00C13369">
        <w:rPr>
          <w:rFonts w:ascii="Arial" w:hAnsi="Arial" w:cs="Arial"/>
        </w:rPr>
        <w:t xml:space="preserve">s jeho pomocí </w:t>
      </w:r>
      <w:r>
        <w:rPr>
          <w:rFonts w:ascii="Arial" w:hAnsi="Arial" w:cs="Arial"/>
        </w:rPr>
        <w:t>provozovat pouze činnosti v závazku veřejné služby. Je tedy potřeba pověřit SMN k výkonu činností v</w:t>
      </w:r>
      <w:r w:rsidR="00087E14">
        <w:rPr>
          <w:rFonts w:ascii="Arial" w:hAnsi="Arial" w:cs="Arial"/>
        </w:rPr>
        <w:t> </w:t>
      </w:r>
      <w:r>
        <w:rPr>
          <w:rFonts w:ascii="Arial" w:hAnsi="Arial" w:cs="Arial"/>
        </w:rPr>
        <w:t>dotčen</w:t>
      </w:r>
      <w:r w:rsidR="00087E14">
        <w:rPr>
          <w:rFonts w:ascii="Arial" w:hAnsi="Arial" w:cs="Arial"/>
        </w:rPr>
        <w:t>ých budovách</w:t>
      </w:r>
      <w:r>
        <w:rPr>
          <w:rFonts w:ascii="Arial" w:hAnsi="Arial" w:cs="Arial"/>
        </w:rPr>
        <w:t xml:space="preserve"> </w:t>
      </w:r>
      <w:r w:rsidRPr="00087E14">
        <w:rPr>
          <w:rFonts w:ascii="Arial" w:hAnsi="Arial" w:cs="Arial"/>
        </w:rPr>
        <w:t>(</w:t>
      </w:r>
      <w:r w:rsidR="00C13369">
        <w:rPr>
          <w:rFonts w:ascii="Arial" w:hAnsi="Arial" w:cs="Arial"/>
        </w:rPr>
        <w:t xml:space="preserve">k </w:t>
      </w:r>
      <w:r w:rsidRPr="00087E14">
        <w:rPr>
          <w:rFonts w:ascii="Arial" w:hAnsi="Arial" w:cs="Arial"/>
        </w:rPr>
        <w:t>poskytování zdravotních služeb) jako k výkonu služby obecného</w:t>
      </w:r>
      <w:r>
        <w:rPr>
          <w:rFonts w:ascii="Arial" w:hAnsi="Arial" w:cs="Arial"/>
        </w:rPr>
        <w:t xml:space="preserve"> hospodářského zájmu (SOHZ). Text pověření SOHZ je uveden v příloze č. 1 této důvodové zprávy</w:t>
      </w:r>
    </w:p>
    <w:p w:rsidR="00087E14" w:rsidRDefault="00AD5DF5" w:rsidP="00AD5DF5">
      <w:pPr>
        <w:autoSpaceDE w:val="0"/>
        <w:autoSpaceDN w:val="0"/>
        <w:spacing w:after="120"/>
        <w:jc w:val="both"/>
        <w:rPr>
          <w:rFonts w:ascii="Arial" w:hAnsi="Arial" w:cs="Arial"/>
        </w:rPr>
      </w:pPr>
      <w:r w:rsidRPr="00087E14">
        <w:rPr>
          <w:rFonts w:ascii="Arial" w:hAnsi="Arial" w:cs="Arial"/>
        </w:rPr>
        <w:t xml:space="preserve">Doba, na kterou lze pověřit poskytováním SOHZ, nemůže přesáhnout dobu 10 let. Zároveň se stávající doba nájmu mezi OK a SMN zatím předpokládá do 30. 6. 2027. Pověření bude tedy vydáno pouze do tohoto data. </w:t>
      </w:r>
    </w:p>
    <w:p w:rsidR="00AD5DF5" w:rsidRDefault="00AD5DF5" w:rsidP="00AD5DF5">
      <w:pPr>
        <w:autoSpaceDE w:val="0"/>
        <w:autoSpaceDN w:val="0"/>
        <w:spacing w:after="120"/>
        <w:jc w:val="both"/>
        <w:rPr>
          <w:rFonts w:ascii="Arial" w:hAnsi="Arial" w:cs="Arial"/>
        </w:rPr>
      </w:pPr>
      <w:r>
        <w:rPr>
          <w:rFonts w:ascii="Arial" w:hAnsi="Arial" w:cs="Arial"/>
        </w:rPr>
        <w:t xml:space="preserve">Olomoucký kraj vydá pověření SOHZ, které ho nezavazuje, že poskytne vyrovnávací platbu za výkon SOHZ. Podle pravidel pro státní podporu nesmějí poskytovatelé SOHZ obdržet žádné nadměrné vyrovnání, to znamená vyrovnání přesahující míru nezbytnou k plnění jejich úkolů. Aby byly poskytovatelům SOHZ vypláceny nedostatečné nebo žádné vyrovnávací platby, však tato pravidla nezakazují. </w:t>
      </w:r>
    </w:p>
    <w:p w:rsidR="006F7043" w:rsidRPr="004859B6" w:rsidRDefault="006F7043" w:rsidP="006F7043">
      <w:pPr>
        <w:autoSpaceDE w:val="0"/>
        <w:autoSpaceDN w:val="0"/>
        <w:spacing w:after="120"/>
        <w:jc w:val="both"/>
        <w:rPr>
          <w:rFonts w:ascii="Arial" w:hAnsi="Arial" w:cs="Arial"/>
        </w:rPr>
      </w:pPr>
      <w:r w:rsidRPr="004859B6">
        <w:rPr>
          <w:rFonts w:ascii="Arial" w:hAnsi="Arial" w:cs="Arial"/>
        </w:rPr>
        <w:t xml:space="preserve">Rada Olomouckého kraje dne </w:t>
      </w:r>
      <w:r>
        <w:rPr>
          <w:rFonts w:ascii="Arial" w:hAnsi="Arial" w:cs="Arial"/>
        </w:rPr>
        <w:t>1</w:t>
      </w:r>
      <w:r w:rsidRPr="004859B6">
        <w:rPr>
          <w:rFonts w:ascii="Arial" w:hAnsi="Arial" w:cs="Arial"/>
        </w:rPr>
        <w:t xml:space="preserve">4. </w:t>
      </w:r>
      <w:r>
        <w:rPr>
          <w:rFonts w:ascii="Arial" w:hAnsi="Arial" w:cs="Arial"/>
        </w:rPr>
        <w:t>9</w:t>
      </w:r>
      <w:r w:rsidRPr="004859B6">
        <w:rPr>
          <w:rFonts w:ascii="Arial" w:hAnsi="Arial" w:cs="Arial"/>
        </w:rPr>
        <w:t>. 20</w:t>
      </w:r>
      <w:r w:rsidR="000554D6">
        <w:rPr>
          <w:rFonts w:ascii="Arial" w:hAnsi="Arial" w:cs="Arial"/>
        </w:rPr>
        <w:t>20</w:t>
      </w:r>
      <w:bookmarkStart w:id="0" w:name="_GoBack"/>
      <w:bookmarkEnd w:id="0"/>
      <w:r w:rsidRPr="004859B6">
        <w:rPr>
          <w:rFonts w:ascii="Arial" w:hAnsi="Arial" w:cs="Arial"/>
        </w:rPr>
        <w:t xml:space="preserve"> svým usnesením doporučila Zastupitelstvu Olomouckého kraje </w:t>
      </w:r>
      <w:r>
        <w:rPr>
          <w:rFonts w:ascii="Arial" w:hAnsi="Arial" w:cs="Arial"/>
        </w:rPr>
        <w:t xml:space="preserve">schválit </w:t>
      </w:r>
      <w:r w:rsidRPr="004859B6">
        <w:rPr>
          <w:rFonts w:ascii="Arial" w:hAnsi="Arial" w:cs="Arial"/>
        </w:rPr>
        <w:t>pověření SOHZ v podobě, která je uvedena v příloze č. 1 této důvodové zprávy schválit.</w:t>
      </w:r>
    </w:p>
    <w:p w:rsidR="00C50636" w:rsidRDefault="00C50636" w:rsidP="00C50636">
      <w:pPr>
        <w:autoSpaceDE w:val="0"/>
        <w:autoSpaceDN w:val="0"/>
        <w:spacing w:after="120"/>
        <w:jc w:val="both"/>
        <w:rPr>
          <w:rFonts w:ascii="Arial" w:hAnsi="Arial" w:cs="Arial"/>
        </w:rPr>
      </w:pPr>
    </w:p>
    <w:p w:rsidR="006F7043" w:rsidRDefault="006F7043" w:rsidP="00C50636">
      <w:pPr>
        <w:autoSpaceDE w:val="0"/>
        <w:autoSpaceDN w:val="0"/>
        <w:spacing w:after="120"/>
        <w:jc w:val="both"/>
        <w:rPr>
          <w:rFonts w:ascii="Arial" w:hAnsi="Arial" w:cs="Arial"/>
        </w:rPr>
      </w:pPr>
    </w:p>
    <w:p w:rsidR="00C50636" w:rsidRDefault="00C50636" w:rsidP="00C50636">
      <w:pPr>
        <w:autoSpaceDE w:val="0"/>
        <w:autoSpaceDN w:val="0"/>
        <w:spacing w:after="120"/>
        <w:jc w:val="both"/>
        <w:rPr>
          <w:rFonts w:ascii="Arial" w:hAnsi="Arial" w:cs="Arial"/>
          <w:u w:val="single"/>
        </w:rPr>
      </w:pPr>
      <w:r>
        <w:rPr>
          <w:rFonts w:ascii="Arial" w:hAnsi="Arial" w:cs="Arial"/>
          <w:u w:val="single"/>
        </w:rPr>
        <w:t>Přílohy:</w:t>
      </w:r>
    </w:p>
    <w:p w:rsidR="00C50636" w:rsidRDefault="00C50636" w:rsidP="00C50636">
      <w:pPr>
        <w:pStyle w:val="Odstavecseseznamem"/>
        <w:numPr>
          <w:ilvl w:val="0"/>
          <w:numId w:val="11"/>
        </w:numPr>
        <w:autoSpaceDE w:val="0"/>
        <w:autoSpaceDN w:val="0"/>
        <w:spacing w:after="120"/>
        <w:jc w:val="both"/>
        <w:rPr>
          <w:rFonts w:ascii="Arial" w:hAnsi="Arial" w:cs="Arial"/>
          <w:sz w:val="24"/>
          <w:szCs w:val="24"/>
          <w:u w:val="single"/>
        </w:rPr>
      </w:pPr>
      <w:r>
        <w:rPr>
          <w:rFonts w:ascii="Arial" w:hAnsi="Arial" w:cs="Arial"/>
          <w:sz w:val="24"/>
          <w:szCs w:val="24"/>
          <w:u w:val="single"/>
        </w:rPr>
        <w:t>Příloha č. 1</w:t>
      </w:r>
    </w:p>
    <w:p w:rsidR="00C50636" w:rsidRDefault="00C50636" w:rsidP="00C50636">
      <w:pPr>
        <w:autoSpaceDE w:val="0"/>
        <w:autoSpaceDN w:val="0"/>
        <w:spacing w:after="120"/>
        <w:ind w:firstLine="360"/>
        <w:jc w:val="both"/>
        <w:rPr>
          <w:rFonts w:ascii="Arial" w:hAnsi="Arial" w:cs="Arial"/>
        </w:rPr>
      </w:pPr>
      <w:r>
        <w:rPr>
          <w:rFonts w:ascii="Arial" w:hAnsi="Arial" w:cs="Arial"/>
        </w:rPr>
        <w:t>Pověření SOHZ (včetně pravidel pro výpočet dovolené výše vyrovnávacích plateb)</w:t>
      </w:r>
    </w:p>
    <w:p w:rsidR="00C50636" w:rsidRDefault="00C50636" w:rsidP="00C50636">
      <w:pPr>
        <w:spacing w:after="160" w:line="256" w:lineRule="auto"/>
        <w:rPr>
          <w:rFonts w:ascii="Arial" w:hAnsi="Arial" w:cs="Arial"/>
          <w:i/>
          <w:color w:val="FF0000"/>
        </w:rPr>
      </w:pPr>
    </w:p>
    <w:sectPr w:rsidR="00C506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FFD" w:rsidRDefault="00087FFD">
      <w:r>
        <w:separator/>
      </w:r>
    </w:p>
  </w:endnote>
  <w:endnote w:type="continuationSeparator" w:id="0">
    <w:p w:rsidR="00087FFD" w:rsidRDefault="0008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B5" w:rsidRPr="007D486E" w:rsidRDefault="000554D6" w:rsidP="00882B7D">
    <w:pPr>
      <w:pStyle w:val="Zpat"/>
      <w:pBdr>
        <w:top w:val="single" w:sz="4" w:space="1" w:color="auto"/>
      </w:pBdr>
      <w:rPr>
        <w:rFonts w:ascii="Arial" w:hAnsi="Arial" w:cs="Arial"/>
        <w:i/>
        <w:sz w:val="20"/>
        <w:szCs w:val="20"/>
      </w:rPr>
    </w:pPr>
    <w:r>
      <w:rPr>
        <w:rFonts w:ascii="Arial" w:hAnsi="Arial" w:cs="Arial"/>
        <w:i/>
        <w:sz w:val="20"/>
        <w:szCs w:val="20"/>
      </w:rPr>
      <w:t>Zastupitelstvo</w:t>
    </w:r>
    <w:r w:rsidR="00414EB5" w:rsidRPr="007D486E">
      <w:rPr>
        <w:rFonts w:ascii="Arial" w:hAnsi="Arial" w:cs="Arial"/>
        <w:i/>
        <w:sz w:val="20"/>
        <w:szCs w:val="20"/>
      </w:rPr>
      <w:t xml:space="preserve"> Olomouckého kraje</w:t>
    </w:r>
    <w:r w:rsidR="00414EB5">
      <w:rPr>
        <w:rFonts w:ascii="Arial" w:hAnsi="Arial" w:cs="Arial"/>
        <w:i/>
        <w:sz w:val="20"/>
        <w:szCs w:val="20"/>
      </w:rPr>
      <w:t xml:space="preserve"> </w:t>
    </w:r>
    <w:r>
      <w:rPr>
        <w:rFonts w:ascii="Arial" w:hAnsi="Arial" w:cs="Arial"/>
        <w:i/>
        <w:sz w:val="20"/>
        <w:szCs w:val="20"/>
      </w:rPr>
      <w:t>2</w:t>
    </w:r>
    <w:r w:rsidR="00AD5DF5">
      <w:rPr>
        <w:rFonts w:ascii="Arial" w:hAnsi="Arial" w:cs="Arial"/>
        <w:i/>
        <w:sz w:val="20"/>
        <w:szCs w:val="20"/>
      </w:rPr>
      <w:t>1</w:t>
    </w:r>
    <w:r w:rsidR="00414EB5">
      <w:rPr>
        <w:rFonts w:ascii="Arial" w:hAnsi="Arial" w:cs="Arial"/>
        <w:i/>
        <w:sz w:val="20"/>
        <w:szCs w:val="20"/>
      </w:rPr>
      <w:t>.</w:t>
    </w:r>
    <w:r w:rsidR="00A817E4">
      <w:rPr>
        <w:rFonts w:ascii="Arial" w:hAnsi="Arial" w:cs="Arial"/>
        <w:i/>
        <w:sz w:val="20"/>
        <w:szCs w:val="20"/>
      </w:rPr>
      <w:t xml:space="preserve"> </w:t>
    </w:r>
    <w:r w:rsidR="00AD5DF5">
      <w:rPr>
        <w:rFonts w:ascii="Arial" w:hAnsi="Arial" w:cs="Arial"/>
        <w:i/>
        <w:sz w:val="20"/>
        <w:szCs w:val="20"/>
      </w:rPr>
      <w:t>9</w:t>
    </w:r>
    <w:r w:rsidR="00414EB5">
      <w:rPr>
        <w:rFonts w:ascii="Arial" w:hAnsi="Arial" w:cs="Arial"/>
        <w:i/>
        <w:sz w:val="20"/>
        <w:szCs w:val="20"/>
      </w:rPr>
      <w:t>. 20</w:t>
    </w:r>
    <w:r w:rsidR="00AD5DF5">
      <w:rPr>
        <w:rFonts w:ascii="Arial" w:hAnsi="Arial" w:cs="Arial"/>
        <w:i/>
        <w:sz w:val="20"/>
        <w:szCs w:val="20"/>
      </w:rPr>
      <w:t>20</w:t>
    </w:r>
    <w:r w:rsidR="00414EB5">
      <w:rPr>
        <w:rFonts w:ascii="Arial" w:hAnsi="Arial" w:cs="Arial"/>
        <w:i/>
        <w:sz w:val="20"/>
        <w:szCs w:val="20"/>
      </w:rPr>
      <w:tab/>
    </w:r>
    <w:r w:rsidR="00414EB5">
      <w:rPr>
        <w:rFonts w:ascii="Arial" w:hAnsi="Arial" w:cs="Arial"/>
        <w:i/>
        <w:sz w:val="20"/>
        <w:szCs w:val="20"/>
      </w:rPr>
      <w:tab/>
    </w:r>
    <w:r w:rsidR="00414EB5" w:rsidRPr="009B475F">
      <w:rPr>
        <w:rFonts w:ascii="Arial" w:hAnsi="Arial" w:cs="Arial"/>
        <w:i/>
        <w:sz w:val="20"/>
        <w:szCs w:val="20"/>
      </w:rPr>
      <w:t xml:space="preserve">Strana </w:t>
    </w:r>
    <w:r w:rsidR="00414EB5" w:rsidRPr="009B475F">
      <w:rPr>
        <w:rFonts w:ascii="Arial" w:hAnsi="Arial" w:cs="Arial"/>
        <w:i/>
        <w:sz w:val="20"/>
        <w:szCs w:val="20"/>
      </w:rPr>
      <w:fldChar w:fldCharType="begin"/>
    </w:r>
    <w:r w:rsidR="00414EB5" w:rsidRPr="009B475F">
      <w:rPr>
        <w:rFonts w:ascii="Arial" w:hAnsi="Arial" w:cs="Arial"/>
        <w:i/>
        <w:sz w:val="20"/>
        <w:szCs w:val="20"/>
      </w:rPr>
      <w:instrText xml:space="preserve"> PAGE </w:instrText>
    </w:r>
    <w:r w:rsidR="00414EB5" w:rsidRPr="009B475F">
      <w:rPr>
        <w:rFonts w:ascii="Arial" w:hAnsi="Arial" w:cs="Arial"/>
        <w:i/>
        <w:sz w:val="20"/>
        <w:szCs w:val="20"/>
      </w:rPr>
      <w:fldChar w:fldCharType="separate"/>
    </w:r>
    <w:r>
      <w:rPr>
        <w:rFonts w:ascii="Arial" w:hAnsi="Arial" w:cs="Arial"/>
        <w:i/>
        <w:noProof/>
        <w:sz w:val="20"/>
        <w:szCs w:val="20"/>
      </w:rPr>
      <w:t>3</w:t>
    </w:r>
    <w:r w:rsidR="00414EB5" w:rsidRPr="009B475F">
      <w:rPr>
        <w:rFonts w:ascii="Arial" w:hAnsi="Arial" w:cs="Arial"/>
        <w:i/>
        <w:sz w:val="20"/>
        <w:szCs w:val="20"/>
      </w:rPr>
      <w:fldChar w:fldCharType="end"/>
    </w:r>
    <w:r w:rsidR="00414EB5" w:rsidRPr="009B475F">
      <w:rPr>
        <w:rFonts w:ascii="Arial" w:hAnsi="Arial" w:cs="Arial"/>
        <w:i/>
        <w:sz w:val="20"/>
        <w:szCs w:val="20"/>
      </w:rPr>
      <w:t xml:space="preserve"> (celkem </w:t>
    </w:r>
    <w:r w:rsidR="00414EB5" w:rsidRPr="009B475F">
      <w:rPr>
        <w:rFonts w:ascii="Arial" w:hAnsi="Arial" w:cs="Arial"/>
        <w:i/>
        <w:sz w:val="20"/>
        <w:szCs w:val="20"/>
      </w:rPr>
      <w:fldChar w:fldCharType="begin"/>
    </w:r>
    <w:r w:rsidR="00414EB5" w:rsidRPr="009B475F">
      <w:rPr>
        <w:rFonts w:ascii="Arial" w:hAnsi="Arial" w:cs="Arial"/>
        <w:i/>
        <w:sz w:val="20"/>
        <w:szCs w:val="20"/>
      </w:rPr>
      <w:instrText xml:space="preserve"> NUMPAGES </w:instrText>
    </w:r>
    <w:r w:rsidR="00414EB5" w:rsidRPr="009B475F">
      <w:rPr>
        <w:rFonts w:ascii="Arial" w:hAnsi="Arial" w:cs="Arial"/>
        <w:i/>
        <w:sz w:val="20"/>
        <w:szCs w:val="20"/>
      </w:rPr>
      <w:fldChar w:fldCharType="separate"/>
    </w:r>
    <w:r>
      <w:rPr>
        <w:rFonts w:ascii="Arial" w:hAnsi="Arial" w:cs="Arial"/>
        <w:i/>
        <w:noProof/>
        <w:sz w:val="20"/>
        <w:szCs w:val="20"/>
      </w:rPr>
      <w:t>3</w:t>
    </w:r>
    <w:r w:rsidR="00414EB5" w:rsidRPr="009B475F">
      <w:rPr>
        <w:rFonts w:ascii="Arial" w:hAnsi="Arial" w:cs="Arial"/>
        <w:i/>
        <w:sz w:val="20"/>
        <w:szCs w:val="20"/>
      </w:rPr>
      <w:fldChar w:fldCharType="end"/>
    </w:r>
    <w:r w:rsidR="00414EB5" w:rsidRPr="009B475F">
      <w:rPr>
        <w:rFonts w:ascii="Arial" w:hAnsi="Arial" w:cs="Arial"/>
        <w:i/>
        <w:sz w:val="20"/>
        <w:szCs w:val="20"/>
      </w:rPr>
      <w:t>)</w:t>
    </w:r>
  </w:p>
  <w:p w:rsidR="00414EB5" w:rsidRPr="00F825FB" w:rsidRDefault="000554D6" w:rsidP="00F825FB">
    <w:pPr>
      <w:pStyle w:val="Zpat"/>
      <w:pBdr>
        <w:top w:val="single" w:sz="4" w:space="1" w:color="auto"/>
      </w:pBdr>
      <w:rPr>
        <w:rFonts w:ascii="Arial" w:hAnsi="Arial" w:cs="Arial"/>
        <w:i/>
        <w:sz w:val="20"/>
        <w:szCs w:val="20"/>
      </w:rPr>
    </w:pPr>
    <w:r>
      <w:rPr>
        <w:rFonts w:ascii="Arial" w:hAnsi="Arial" w:cs="Arial"/>
        <w:i/>
        <w:sz w:val="20"/>
        <w:szCs w:val="20"/>
      </w:rPr>
      <w:t>7</w:t>
    </w:r>
    <w:r w:rsidR="00A93255">
      <w:rPr>
        <w:rFonts w:ascii="Arial" w:hAnsi="Arial" w:cs="Arial"/>
        <w:i/>
        <w:sz w:val="20"/>
        <w:szCs w:val="20"/>
      </w:rPr>
      <w:t>2</w:t>
    </w:r>
    <w:r w:rsidR="007F6211">
      <w:rPr>
        <w:rFonts w:ascii="Arial" w:hAnsi="Arial" w:cs="Arial"/>
        <w:i/>
        <w:sz w:val="20"/>
        <w:szCs w:val="20"/>
      </w:rPr>
      <w:t>.</w:t>
    </w:r>
    <w:r w:rsidR="003F1973">
      <w:rPr>
        <w:rFonts w:ascii="Arial" w:hAnsi="Arial" w:cs="Arial"/>
        <w:i/>
        <w:sz w:val="20"/>
        <w:szCs w:val="20"/>
      </w:rPr>
      <w:t xml:space="preserve"> </w:t>
    </w:r>
    <w:r w:rsidR="00414EB5" w:rsidRPr="00F825FB">
      <w:rPr>
        <w:rFonts w:ascii="Arial" w:hAnsi="Arial" w:cs="Arial"/>
        <w:i/>
        <w:sz w:val="20"/>
        <w:szCs w:val="20"/>
      </w:rPr>
      <w:t xml:space="preserve">– </w:t>
    </w:r>
    <w:r w:rsidR="00C50636">
      <w:rPr>
        <w:rFonts w:ascii="Arial" w:hAnsi="Arial" w:cs="Arial"/>
        <w:i/>
        <w:sz w:val="20"/>
        <w:szCs w:val="20"/>
      </w:rPr>
      <w:t>Pověření službou obecného hospodářského zájmu – nemocnice v</w:t>
    </w:r>
    <w:r w:rsidR="00AD5DF5">
      <w:rPr>
        <w:rFonts w:ascii="Arial" w:hAnsi="Arial" w:cs="Arial"/>
        <w:i/>
        <w:sz w:val="20"/>
        <w:szCs w:val="20"/>
      </w:rPr>
      <w:t xml:space="preserve"> Přerově</w:t>
    </w:r>
    <w:r w:rsidR="00414EB5" w:rsidRPr="00F825FB">
      <w:rPr>
        <w:rFonts w:ascii="Arial" w:hAnsi="Arial" w:cs="Arial"/>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FFD" w:rsidRDefault="00087FFD">
      <w:r>
        <w:separator/>
      </w:r>
    </w:p>
  </w:footnote>
  <w:footnote w:type="continuationSeparator" w:id="0">
    <w:p w:rsidR="00087FFD" w:rsidRDefault="0008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F68"/>
    <w:multiLevelType w:val="hybridMultilevel"/>
    <w:tmpl w:val="995CF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DD4A66"/>
    <w:multiLevelType w:val="hybridMultilevel"/>
    <w:tmpl w:val="3BBE3AC4"/>
    <w:lvl w:ilvl="0" w:tplc="9EC8FB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1E54F1"/>
    <w:multiLevelType w:val="hybridMultilevel"/>
    <w:tmpl w:val="F7F65674"/>
    <w:lvl w:ilvl="0" w:tplc="ED6CFFAC">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574C8C"/>
    <w:multiLevelType w:val="hybridMultilevel"/>
    <w:tmpl w:val="9BE0703A"/>
    <w:lvl w:ilvl="0" w:tplc="14A0BBAE">
      <w:numFmt w:val="bullet"/>
      <w:lvlText w:val="-"/>
      <w:lvlJc w:val="left"/>
      <w:pPr>
        <w:tabs>
          <w:tab w:val="num" w:pos="360"/>
        </w:tabs>
        <w:ind w:left="36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32B335F9"/>
    <w:multiLevelType w:val="hybridMultilevel"/>
    <w:tmpl w:val="37D2F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B336D3"/>
    <w:multiLevelType w:val="hybridMultilevel"/>
    <w:tmpl w:val="12A473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ED9596D"/>
    <w:multiLevelType w:val="hybridMultilevel"/>
    <w:tmpl w:val="B6627394"/>
    <w:lvl w:ilvl="0" w:tplc="73DC30E0">
      <w:start w:val="86"/>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465C0139"/>
    <w:multiLevelType w:val="hybridMultilevel"/>
    <w:tmpl w:val="367241AE"/>
    <w:lvl w:ilvl="0" w:tplc="0C021E1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F8C78BE"/>
    <w:multiLevelType w:val="hybridMultilevel"/>
    <w:tmpl w:val="59966952"/>
    <w:lvl w:ilvl="0" w:tplc="9084AC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55536"/>
    <w:multiLevelType w:val="hybridMultilevel"/>
    <w:tmpl w:val="8DAEC11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4C27C40"/>
    <w:multiLevelType w:val="hybridMultilevel"/>
    <w:tmpl w:val="C36A364C"/>
    <w:lvl w:ilvl="0" w:tplc="12523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5"/>
  </w:num>
  <w:num w:numId="5">
    <w:abstractNumId w:val="8"/>
  </w:num>
  <w:num w:numId="6">
    <w:abstractNumId w:val="11"/>
  </w:num>
  <w:num w:numId="7">
    <w:abstractNumId w:val="4"/>
  </w:num>
  <w:num w:numId="8">
    <w:abstractNumId w:val="7"/>
  </w:num>
  <w:num w:numId="9">
    <w:abstractNumId w:val="1"/>
  </w:num>
  <w:num w:numId="10">
    <w:abstractNumId w:val="10"/>
  </w:num>
  <w:num w:numId="11">
    <w:abstractNumId w:val="6"/>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71"/>
    <w:rsid w:val="00012695"/>
    <w:rsid w:val="00017397"/>
    <w:rsid w:val="000178B2"/>
    <w:rsid w:val="000200D2"/>
    <w:rsid w:val="00023685"/>
    <w:rsid w:val="0002398F"/>
    <w:rsid w:val="000363FE"/>
    <w:rsid w:val="000472D0"/>
    <w:rsid w:val="00050A92"/>
    <w:rsid w:val="00052AFF"/>
    <w:rsid w:val="00054206"/>
    <w:rsid w:val="000554D6"/>
    <w:rsid w:val="00056A9F"/>
    <w:rsid w:val="00057EF7"/>
    <w:rsid w:val="00082534"/>
    <w:rsid w:val="00084F0D"/>
    <w:rsid w:val="00087476"/>
    <w:rsid w:val="00087E14"/>
    <w:rsid w:val="00087FFD"/>
    <w:rsid w:val="00092089"/>
    <w:rsid w:val="000941B3"/>
    <w:rsid w:val="0009497D"/>
    <w:rsid w:val="00094F24"/>
    <w:rsid w:val="00095E41"/>
    <w:rsid w:val="000963E5"/>
    <w:rsid w:val="00096A88"/>
    <w:rsid w:val="000A37BB"/>
    <w:rsid w:val="000B7498"/>
    <w:rsid w:val="000C06DB"/>
    <w:rsid w:val="000C53F2"/>
    <w:rsid w:val="000C72DB"/>
    <w:rsid w:val="000D290A"/>
    <w:rsid w:val="000D2DC1"/>
    <w:rsid w:val="000D7F18"/>
    <w:rsid w:val="000E4B52"/>
    <w:rsid w:val="000E548A"/>
    <w:rsid w:val="000F3115"/>
    <w:rsid w:val="00101376"/>
    <w:rsid w:val="00112087"/>
    <w:rsid w:val="00114AB0"/>
    <w:rsid w:val="0011737D"/>
    <w:rsid w:val="0012584B"/>
    <w:rsid w:val="00132691"/>
    <w:rsid w:val="00147051"/>
    <w:rsid w:val="0015265F"/>
    <w:rsid w:val="00152940"/>
    <w:rsid w:val="00153684"/>
    <w:rsid w:val="00154242"/>
    <w:rsid w:val="00154C8A"/>
    <w:rsid w:val="001602C8"/>
    <w:rsid w:val="00162ADD"/>
    <w:rsid w:val="00163D34"/>
    <w:rsid w:val="00165332"/>
    <w:rsid w:val="00170A76"/>
    <w:rsid w:val="00173D23"/>
    <w:rsid w:val="0018587B"/>
    <w:rsid w:val="001871BA"/>
    <w:rsid w:val="00187B8F"/>
    <w:rsid w:val="00191EDB"/>
    <w:rsid w:val="00193E12"/>
    <w:rsid w:val="00194A87"/>
    <w:rsid w:val="00196D91"/>
    <w:rsid w:val="001A21E1"/>
    <w:rsid w:val="001A4CB9"/>
    <w:rsid w:val="001A7716"/>
    <w:rsid w:val="001B589D"/>
    <w:rsid w:val="001C1BDE"/>
    <w:rsid w:val="001C1CD3"/>
    <w:rsid w:val="001C69FD"/>
    <w:rsid w:val="001D4E87"/>
    <w:rsid w:val="001D5302"/>
    <w:rsid w:val="001F3917"/>
    <w:rsid w:val="001F6AFA"/>
    <w:rsid w:val="001F7C6F"/>
    <w:rsid w:val="001F7F62"/>
    <w:rsid w:val="0020196B"/>
    <w:rsid w:val="0020657C"/>
    <w:rsid w:val="002072C5"/>
    <w:rsid w:val="002102D0"/>
    <w:rsid w:val="00211F59"/>
    <w:rsid w:val="002125ED"/>
    <w:rsid w:val="00214032"/>
    <w:rsid w:val="00223AFC"/>
    <w:rsid w:val="002246AB"/>
    <w:rsid w:val="00230540"/>
    <w:rsid w:val="00235411"/>
    <w:rsid w:val="0023598C"/>
    <w:rsid w:val="00241246"/>
    <w:rsid w:val="0024531D"/>
    <w:rsid w:val="00247516"/>
    <w:rsid w:val="00254C4B"/>
    <w:rsid w:val="00255901"/>
    <w:rsid w:val="002610AC"/>
    <w:rsid w:val="002634CD"/>
    <w:rsid w:val="002641DA"/>
    <w:rsid w:val="00264C0E"/>
    <w:rsid w:val="00293076"/>
    <w:rsid w:val="002B243F"/>
    <w:rsid w:val="002B72DD"/>
    <w:rsid w:val="002C71C8"/>
    <w:rsid w:val="002D0C5F"/>
    <w:rsid w:val="002D33F0"/>
    <w:rsid w:val="002D581A"/>
    <w:rsid w:val="002E2ADA"/>
    <w:rsid w:val="002E63C3"/>
    <w:rsid w:val="002E6ED0"/>
    <w:rsid w:val="002F15A2"/>
    <w:rsid w:val="002F2693"/>
    <w:rsid w:val="002F76F6"/>
    <w:rsid w:val="003024B6"/>
    <w:rsid w:val="0030486A"/>
    <w:rsid w:val="00306925"/>
    <w:rsid w:val="00316862"/>
    <w:rsid w:val="003201B2"/>
    <w:rsid w:val="00321FDC"/>
    <w:rsid w:val="00342B1B"/>
    <w:rsid w:val="00342C1C"/>
    <w:rsid w:val="00345419"/>
    <w:rsid w:val="003510CA"/>
    <w:rsid w:val="00355263"/>
    <w:rsid w:val="00357FCC"/>
    <w:rsid w:val="00367033"/>
    <w:rsid w:val="00375EA5"/>
    <w:rsid w:val="0038569C"/>
    <w:rsid w:val="00390AA6"/>
    <w:rsid w:val="00391EFC"/>
    <w:rsid w:val="00392148"/>
    <w:rsid w:val="00392B07"/>
    <w:rsid w:val="00396BF3"/>
    <w:rsid w:val="003976CA"/>
    <w:rsid w:val="003A6182"/>
    <w:rsid w:val="003A7A02"/>
    <w:rsid w:val="003B1788"/>
    <w:rsid w:val="003B346D"/>
    <w:rsid w:val="003B37EC"/>
    <w:rsid w:val="003D0D3C"/>
    <w:rsid w:val="003D2C41"/>
    <w:rsid w:val="003E055B"/>
    <w:rsid w:val="003E74A8"/>
    <w:rsid w:val="003F1973"/>
    <w:rsid w:val="003F343B"/>
    <w:rsid w:val="003F59A5"/>
    <w:rsid w:val="003F74AE"/>
    <w:rsid w:val="00403C10"/>
    <w:rsid w:val="004065D9"/>
    <w:rsid w:val="00410DDD"/>
    <w:rsid w:val="004120B0"/>
    <w:rsid w:val="00414EB5"/>
    <w:rsid w:val="004154E2"/>
    <w:rsid w:val="004166BB"/>
    <w:rsid w:val="00420207"/>
    <w:rsid w:val="00426580"/>
    <w:rsid w:val="00426F10"/>
    <w:rsid w:val="004279FF"/>
    <w:rsid w:val="004308B9"/>
    <w:rsid w:val="00431F54"/>
    <w:rsid w:val="00440859"/>
    <w:rsid w:val="00443417"/>
    <w:rsid w:val="00444410"/>
    <w:rsid w:val="00445FCB"/>
    <w:rsid w:val="004464B1"/>
    <w:rsid w:val="0045096E"/>
    <w:rsid w:val="00455CCF"/>
    <w:rsid w:val="0048206D"/>
    <w:rsid w:val="0048311F"/>
    <w:rsid w:val="00491AFD"/>
    <w:rsid w:val="004A4C78"/>
    <w:rsid w:val="004A7A13"/>
    <w:rsid w:val="004B220B"/>
    <w:rsid w:val="004B3816"/>
    <w:rsid w:val="004C50F4"/>
    <w:rsid w:val="004D1EC7"/>
    <w:rsid w:val="004E45AC"/>
    <w:rsid w:val="004E5F8F"/>
    <w:rsid w:val="004F2365"/>
    <w:rsid w:val="004F246B"/>
    <w:rsid w:val="004F3647"/>
    <w:rsid w:val="004F3B00"/>
    <w:rsid w:val="005054EF"/>
    <w:rsid w:val="0050730C"/>
    <w:rsid w:val="0050745C"/>
    <w:rsid w:val="0051767B"/>
    <w:rsid w:val="00524D2E"/>
    <w:rsid w:val="0053268B"/>
    <w:rsid w:val="005364EF"/>
    <w:rsid w:val="00536E87"/>
    <w:rsid w:val="00540241"/>
    <w:rsid w:val="0056042B"/>
    <w:rsid w:val="00562A98"/>
    <w:rsid w:val="0056538E"/>
    <w:rsid w:val="00570434"/>
    <w:rsid w:val="00571875"/>
    <w:rsid w:val="00572D0F"/>
    <w:rsid w:val="00577558"/>
    <w:rsid w:val="005811B1"/>
    <w:rsid w:val="005879CA"/>
    <w:rsid w:val="0059153D"/>
    <w:rsid w:val="005950BC"/>
    <w:rsid w:val="00597E36"/>
    <w:rsid w:val="005A6AEE"/>
    <w:rsid w:val="005B35A6"/>
    <w:rsid w:val="005B3CDD"/>
    <w:rsid w:val="005C21C0"/>
    <w:rsid w:val="005C30C4"/>
    <w:rsid w:val="005C7728"/>
    <w:rsid w:val="005D6387"/>
    <w:rsid w:val="005D7C0E"/>
    <w:rsid w:val="005E2396"/>
    <w:rsid w:val="005E3547"/>
    <w:rsid w:val="005F0773"/>
    <w:rsid w:val="005F3D2F"/>
    <w:rsid w:val="005F50AC"/>
    <w:rsid w:val="00601E1B"/>
    <w:rsid w:val="0060445D"/>
    <w:rsid w:val="0060647A"/>
    <w:rsid w:val="0061007C"/>
    <w:rsid w:val="006102DD"/>
    <w:rsid w:val="006118BC"/>
    <w:rsid w:val="006129CC"/>
    <w:rsid w:val="00613FFF"/>
    <w:rsid w:val="00615E3A"/>
    <w:rsid w:val="00621D2A"/>
    <w:rsid w:val="00624EC0"/>
    <w:rsid w:val="00627F65"/>
    <w:rsid w:val="00631A7C"/>
    <w:rsid w:val="00632A1D"/>
    <w:rsid w:val="00634A72"/>
    <w:rsid w:val="0064170C"/>
    <w:rsid w:val="006460DC"/>
    <w:rsid w:val="006465C0"/>
    <w:rsid w:val="00646D23"/>
    <w:rsid w:val="00652871"/>
    <w:rsid w:val="00653C3E"/>
    <w:rsid w:val="00657F02"/>
    <w:rsid w:val="00663341"/>
    <w:rsid w:val="006648B9"/>
    <w:rsid w:val="00665B6B"/>
    <w:rsid w:val="0067046B"/>
    <w:rsid w:val="006704F7"/>
    <w:rsid w:val="00681D4F"/>
    <w:rsid w:val="0068406F"/>
    <w:rsid w:val="00685962"/>
    <w:rsid w:val="006915BB"/>
    <w:rsid w:val="006B1401"/>
    <w:rsid w:val="006B47FD"/>
    <w:rsid w:val="006C16ED"/>
    <w:rsid w:val="006C3DF9"/>
    <w:rsid w:val="006D6666"/>
    <w:rsid w:val="006E5041"/>
    <w:rsid w:val="006E6A8A"/>
    <w:rsid w:val="006F3E25"/>
    <w:rsid w:val="006F4D8A"/>
    <w:rsid w:val="006F6C7E"/>
    <w:rsid w:val="006F7043"/>
    <w:rsid w:val="006F73CB"/>
    <w:rsid w:val="00715722"/>
    <w:rsid w:val="007230B3"/>
    <w:rsid w:val="00723B03"/>
    <w:rsid w:val="0072416E"/>
    <w:rsid w:val="00724FA2"/>
    <w:rsid w:val="00725848"/>
    <w:rsid w:val="00727D20"/>
    <w:rsid w:val="007316AD"/>
    <w:rsid w:val="00734FE6"/>
    <w:rsid w:val="007363AA"/>
    <w:rsid w:val="00736E8B"/>
    <w:rsid w:val="00744EB6"/>
    <w:rsid w:val="0075504A"/>
    <w:rsid w:val="0075697F"/>
    <w:rsid w:val="0076425F"/>
    <w:rsid w:val="00766F67"/>
    <w:rsid w:val="007773CF"/>
    <w:rsid w:val="0078525E"/>
    <w:rsid w:val="007902FF"/>
    <w:rsid w:val="00791350"/>
    <w:rsid w:val="00792FA1"/>
    <w:rsid w:val="00793607"/>
    <w:rsid w:val="00797C43"/>
    <w:rsid w:val="007A1FDB"/>
    <w:rsid w:val="007B1FEA"/>
    <w:rsid w:val="007D14C4"/>
    <w:rsid w:val="007D289D"/>
    <w:rsid w:val="007D486E"/>
    <w:rsid w:val="007D54E6"/>
    <w:rsid w:val="007E3AC4"/>
    <w:rsid w:val="007E4B50"/>
    <w:rsid w:val="007F14B8"/>
    <w:rsid w:val="007F1A49"/>
    <w:rsid w:val="007F6211"/>
    <w:rsid w:val="007F6945"/>
    <w:rsid w:val="00801886"/>
    <w:rsid w:val="00803941"/>
    <w:rsid w:val="00804B85"/>
    <w:rsid w:val="00805C12"/>
    <w:rsid w:val="008064E9"/>
    <w:rsid w:val="008133E9"/>
    <w:rsid w:val="008172BB"/>
    <w:rsid w:val="008355C0"/>
    <w:rsid w:val="00840DB2"/>
    <w:rsid w:val="008455D0"/>
    <w:rsid w:val="00846288"/>
    <w:rsid w:val="0085027F"/>
    <w:rsid w:val="00852F8E"/>
    <w:rsid w:val="00854505"/>
    <w:rsid w:val="00854ADE"/>
    <w:rsid w:val="0087119F"/>
    <w:rsid w:val="008720FD"/>
    <w:rsid w:val="00873F8D"/>
    <w:rsid w:val="0087484C"/>
    <w:rsid w:val="0087543F"/>
    <w:rsid w:val="00882B7D"/>
    <w:rsid w:val="00885EC6"/>
    <w:rsid w:val="008914A5"/>
    <w:rsid w:val="00892F1F"/>
    <w:rsid w:val="00896869"/>
    <w:rsid w:val="008A0C2B"/>
    <w:rsid w:val="008A2F4A"/>
    <w:rsid w:val="008A39D9"/>
    <w:rsid w:val="008A6D77"/>
    <w:rsid w:val="008B2F94"/>
    <w:rsid w:val="008B750E"/>
    <w:rsid w:val="008C5B8D"/>
    <w:rsid w:val="008D0F83"/>
    <w:rsid w:val="008D7252"/>
    <w:rsid w:val="008E4FE0"/>
    <w:rsid w:val="008E5349"/>
    <w:rsid w:val="008E72A5"/>
    <w:rsid w:val="008F280A"/>
    <w:rsid w:val="008F3039"/>
    <w:rsid w:val="008F4850"/>
    <w:rsid w:val="00901D6E"/>
    <w:rsid w:val="00914B2B"/>
    <w:rsid w:val="00917A6C"/>
    <w:rsid w:val="00925749"/>
    <w:rsid w:val="00926785"/>
    <w:rsid w:val="009378ED"/>
    <w:rsid w:val="00937C3F"/>
    <w:rsid w:val="0094283C"/>
    <w:rsid w:val="0094288D"/>
    <w:rsid w:val="00944219"/>
    <w:rsid w:val="00951F3E"/>
    <w:rsid w:val="009569B7"/>
    <w:rsid w:val="00963981"/>
    <w:rsid w:val="00965FE2"/>
    <w:rsid w:val="00966F13"/>
    <w:rsid w:val="00981DA5"/>
    <w:rsid w:val="0098758D"/>
    <w:rsid w:val="00991646"/>
    <w:rsid w:val="00994C5F"/>
    <w:rsid w:val="00995109"/>
    <w:rsid w:val="00995358"/>
    <w:rsid w:val="00995DAA"/>
    <w:rsid w:val="0099668D"/>
    <w:rsid w:val="00996C58"/>
    <w:rsid w:val="009A0146"/>
    <w:rsid w:val="009A5695"/>
    <w:rsid w:val="009A5894"/>
    <w:rsid w:val="009B475F"/>
    <w:rsid w:val="009B57EA"/>
    <w:rsid w:val="009C16A7"/>
    <w:rsid w:val="009C17BD"/>
    <w:rsid w:val="009C7EC7"/>
    <w:rsid w:val="009D3677"/>
    <w:rsid w:val="009D4FA5"/>
    <w:rsid w:val="009D5EFD"/>
    <w:rsid w:val="009D6741"/>
    <w:rsid w:val="009D7449"/>
    <w:rsid w:val="009E5861"/>
    <w:rsid w:val="009F7430"/>
    <w:rsid w:val="009F760F"/>
    <w:rsid w:val="00A10369"/>
    <w:rsid w:val="00A26FB6"/>
    <w:rsid w:val="00A43FA8"/>
    <w:rsid w:val="00A54A7B"/>
    <w:rsid w:val="00A55521"/>
    <w:rsid w:val="00A55E30"/>
    <w:rsid w:val="00A56FA2"/>
    <w:rsid w:val="00A60B13"/>
    <w:rsid w:val="00A66446"/>
    <w:rsid w:val="00A71174"/>
    <w:rsid w:val="00A817E4"/>
    <w:rsid w:val="00A93255"/>
    <w:rsid w:val="00A94C2E"/>
    <w:rsid w:val="00A9626D"/>
    <w:rsid w:val="00AB22C4"/>
    <w:rsid w:val="00AB460E"/>
    <w:rsid w:val="00AD5DF5"/>
    <w:rsid w:val="00AE32F3"/>
    <w:rsid w:val="00AF372C"/>
    <w:rsid w:val="00AF63F8"/>
    <w:rsid w:val="00B0495E"/>
    <w:rsid w:val="00B15153"/>
    <w:rsid w:val="00B22E5E"/>
    <w:rsid w:val="00B26671"/>
    <w:rsid w:val="00B306F0"/>
    <w:rsid w:val="00B30EB9"/>
    <w:rsid w:val="00B3555E"/>
    <w:rsid w:val="00B41322"/>
    <w:rsid w:val="00B4418A"/>
    <w:rsid w:val="00B46546"/>
    <w:rsid w:val="00B51BCB"/>
    <w:rsid w:val="00B533CB"/>
    <w:rsid w:val="00B5340F"/>
    <w:rsid w:val="00B56625"/>
    <w:rsid w:val="00B56E4A"/>
    <w:rsid w:val="00B73E53"/>
    <w:rsid w:val="00B753CA"/>
    <w:rsid w:val="00B83AEF"/>
    <w:rsid w:val="00B84525"/>
    <w:rsid w:val="00B857A3"/>
    <w:rsid w:val="00B92555"/>
    <w:rsid w:val="00B95224"/>
    <w:rsid w:val="00B96ED5"/>
    <w:rsid w:val="00BA5FB4"/>
    <w:rsid w:val="00BB1B59"/>
    <w:rsid w:val="00BB7D47"/>
    <w:rsid w:val="00BC3CAF"/>
    <w:rsid w:val="00BD1970"/>
    <w:rsid w:val="00BF0F69"/>
    <w:rsid w:val="00BF48A3"/>
    <w:rsid w:val="00C014D3"/>
    <w:rsid w:val="00C03B96"/>
    <w:rsid w:val="00C108A8"/>
    <w:rsid w:val="00C123A1"/>
    <w:rsid w:val="00C13369"/>
    <w:rsid w:val="00C15B40"/>
    <w:rsid w:val="00C16195"/>
    <w:rsid w:val="00C17A3B"/>
    <w:rsid w:val="00C214A0"/>
    <w:rsid w:val="00C236E1"/>
    <w:rsid w:val="00C23B68"/>
    <w:rsid w:val="00C23F46"/>
    <w:rsid w:val="00C3350A"/>
    <w:rsid w:val="00C33F28"/>
    <w:rsid w:val="00C344B8"/>
    <w:rsid w:val="00C40B24"/>
    <w:rsid w:val="00C41860"/>
    <w:rsid w:val="00C47264"/>
    <w:rsid w:val="00C50636"/>
    <w:rsid w:val="00C51FD6"/>
    <w:rsid w:val="00C53FB1"/>
    <w:rsid w:val="00C66244"/>
    <w:rsid w:val="00C71E08"/>
    <w:rsid w:val="00C75CD1"/>
    <w:rsid w:val="00C908FC"/>
    <w:rsid w:val="00CA01F4"/>
    <w:rsid w:val="00CA647A"/>
    <w:rsid w:val="00CA69CC"/>
    <w:rsid w:val="00CB01D1"/>
    <w:rsid w:val="00CB6003"/>
    <w:rsid w:val="00CB63AB"/>
    <w:rsid w:val="00CC3C28"/>
    <w:rsid w:val="00CC503E"/>
    <w:rsid w:val="00CD2A31"/>
    <w:rsid w:val="00CD4E4B"/>
    <w:rsid w:val="00CE16A6"/>
    <w:rsid w:val="00CE7CE1"/>
    <w:rsid w:val="00CF05DB"/>
    <w:rsid w:val="00CF6163"/>
    <w:rsid w:val="00D0097C"/>
    <w:rsid w:val="00D01B97"/>
    <w:rsid w:val="00D11DE8"/>
    <w:rsid w:val="00D1286A"/>
    <w:rsid w:val="00D14E1A"/>
    <w:rsid w:val="00D2033A"/>
    <w:rsid w:val="00D211F0"/>
    <w:rsid w:val="00D221C3"/>
    <w:rsid w:val="00D2499A"/>
    <w:rsid w:val="00D348EC"/>
    <w:rsid w:val="00D3643C"/>
    <w:rsid w:val="00D36642"/>
    <w:rsid w:val="00D47681"/>
    <w:rsid w:val="00D4799E"/>
    <w:rsid w:val="00D503F1"/>
    <w:rsid w:val="00D633F5"/>
    <w:rsid w:val="00D63DE5"/>
    <w:rsid w:val="00D83E49"/>
    <w:rsid w:val="00D93793"/>
    <w:rsid w:val="00D964C4"/>
    <w:rsid w:val="00D97E4F"/>
    <w:rsid w:val="00DA4527"/>
    <w:rsid w:val="00DC1234"/>
    <w:rsid w:val="00DC2F2D"/>
    <w:rsid w:val="00DC33B1"/>
    <w:rsid w:val="00DC6413"/>
    <w:rsid w:val="00DC6B29"/>
    <w:rsid w:val="00DF59E1"/>
    <w:rsid w:val="00DF5D40"/>
    <w:rsid w:val="00DF608F"/>
    <w:rsid w:val="00E0211D"/>
    <w:rsid w:val="00E04E65"/>
    <w:rsid w:val="00E1346A"/>
    <w:rsid w:val="00E1728C"/>
    <w:rsid w:val="00E17C06"/>
    <w:rsid w:val="00E212FC"/>
    <w:rsid w:val="00E2481C"/>
    <w:rsid w:val="00E30437"/>
    <w:rsid w:val="00E312F6"/>
    <w:rsid w:val="00E33169"/>
    <w:rsid w:val="00E34FE4"/>
    <w:rsid w:val="00E41BD5"/>
    <w:rsid w:val="00E4453B"/>
    <w:rsid w:val="00E478CC"/>
    <w:rsid w:val="00E56530"/>
    <w:rsid w:val="00E56795"/>
    <w:rsid w:val="00E73512"/>
    <w:rsid w:val="00E76C1A"/>
    <w:rsid w:val="00E77F6B"/>
    <w:rsid w:val="00E84777"/>
    <w:rsid w:val="00E847A7"/>
    <w:rsid w:val="00E94790"/>
    <w:rsid w:val="00E97173"/>
    <w:rsid w:val="00EA2982"/>
    <w:rsid w:val="00EA6E0C"/>
    <w:rsid w:val="00EB76F1"/>
    <w:rsid w:val="00EC0171"/>
    <w:rsid w:val="00EC314A"/>
    <w:rsid w:val="00ED3BF9"/>
    <w:rsid w:val="00ED45EF"/>
    <w:rsid w:val="00ED4660"/>
    <w:rsid w:val="00ED723C"/>
    <w:rsid w:val="00EE3B60"/>
    <w:rsid w:val="00EE50EC"/>
    <w:rsid w:val="00EE5EB6"/>
    <w:rsid w:val="00EF7F4F"/>
    <w:rsid w:val="00F07D5A"/>
    <w:rsid w:val="00F22FDB"/>
    <w:rsid w:val="00F24B8D"/>
    <w:rsid w:val="00F2634E"/>
    <w:rsid w:val="00F30171"/>
    <w:rsid w:val="00F32B02"/>
    <w:rsid w:val="00F4166D"/>
    <w:rsid w:val="00F5303F"/>
    <w:rsid w:val="00F612FD"/>
    <w:rsid w:val="00F66522"/>
    <w:rsid w:val="00F677C2"/>
    <w:rsid w:val="00F72ABE"/>
    <w:rsid w:val="00F777CD"/>
    <w:rsid w:val="00F825FB"/>
    <w:rsid w:val="00F840FA"/>
    <w:rsid w:val="00F8456B"/>
    <w:rsid w:val="00F84715"/>
    <w:rsid w:val="00F856F2"/>
    <w:rsid w:val="00F86557"/>
    <w:rsid w:val="00FA4E0E"/>
    <w:rsid w:val="00FC5489"/>
    <w:rsid w:val="00FC620E"/>
    <w:rsid w:val="00FD6224"/>
    <w:rsid w:val="00FE097E"/>
    <w:rsid w:val="00FE2AE3"/>
    <w:rsid w:val="00FF0407"/>
    <w:rsid w:val="00FF11F9"/>
    <w:rsid w:val="00FF461D"/>
    <w:rsid w:val="00FF6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719D5"/>
  <w15:chartTrackingRefBased/>
  <w15:docId w15:val="{D7E5957E-F55A-4B14-8119-ED03D51F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017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C0171"/>
    <w:pPr>
      <w:widowControl w:val="0"/>
      <w:spacing w:after="480"/>
      <w:jc w:val="both"/>
    </w:pPr>
    <w:rPr>
      <w:rFonts w:ascii="Arial" w:hAnsi="Arial"/>
      <w:b/>
      <w:noProof/>
      <w:szCs w:val="20"/>
    </w:rPr>
  </w:style>
  <w:style w:type="paragraph" w:customStyle="1" w:styleId="Tabulkatuntext16nasted">
    <w:name w:val="Tabulka tučný text_16 na střed"/>
    <w:basedOn w:val="Normln"/>
    <w:rsid w:val="00EC0171"/>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C0171"/>
    <w:pPr>
      <w:widowControl w:val="0"/>
      <w:spacing w:before="40" w:after="40"/>
      <w:jc w:val="center"/>
    </w:pPr>
    <w:rPr>
      <w:rFonts w:ascii="Arial" w:hAnsi="Arial"/>
      <w:b/>
      <w:noProof/>
      <w:szCs w:val="20"/>
    </w:rPr>
  </w:style>
  <w:style w:type="paragraph" w:customStyle="1" w:styleId="Tabulkazkladntext">
    <w:name w:val="Tabulka základní text"/>
    <w:basedOn w:val="Normln"/>
    <w:rsid w:val="00EC0171"/>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C0171"/>
    <w:pPr>
      <w:widowControl w:val="0"/>
      <w:spacing w:before="40" w:after="40"/>
      <w:jc w:val="center"/>
    </w:pPr>
    <w:rPr>
      <w:rFonts w:ascii="Arial" w:hAnsi="Arial"/>
      <w:noProof/>
      <w:szCs w:val="20"/>
    </w:rPr>
  </w:style>
  <w:style w:type="paragraph" w:styleId="Zhlav">
    <w:name w:val="header"/>
    <w:basedOn w:val="Normln"/>
    <w:link w:val="ZhlavChar"/>
    <w:rsid w:val="00EC0171"/>
    <w:pPr>
      <w:tabs>
        <w:tab w:val="center" w:pos="4536"/>
        <w:tab w:val="right" w:pos="9072"/>
      </w:tabs>
    </w:pPr>
  </w:style>
  <w:style w:type="paragraph" w:styleId="Zpat">
    <w:name w:val="footer"/>
    <w:basedOn w:val="Normln"/>
    <w:rsid w:val="00EC0171"/>
    <w:pPr>
      <w:tabs>
        <w:tab w:val="center" w:pos="4536"/>
        <w:tab w:val="right" w:pos="9072"/>
      </w:tabs>
    </w:pPr>
  </w:style>
  <w:style w:type="paragraph" w:customStyle="1" w:styleId="Radabodschze">
    <w:name w:val="Rada bod schůze"/>
    <w:basedOn w:val="Normln"/>
    <w:rsid w:val="007D486E"/>
    <w:pPr>
      <w:widowControl w:val="0"/>
      <w:spacing w:before="480" w:after="480"/>
      <w:ind w:left="851" w:hanging="851"/>
      <w:jc w:val="both"/>
    </w:pPr>
    <w:rPr>
      <w:rFonts w:ascii="Arial" w:hAnsi="Arial"/>
      <w:b/>
      <w:noProof/>
      <w:sz w:val="28"/>
      <w:szCs w:val="20"/>
    </w:rPr>
  </w:style>
  <w:style w:type="paragraph" w:customStyle="1" w:styleId="Radaploha1">
    <w:name w:val="Rada příloha č.1"/>
    <w:basedOn w:val="Normln"/>
    <w:rsid w:val="00766F67"/>
    <w:pPr>
      <w:widowControl w:val="0"/>
      <w:numPr>
        <w:numId w:val="2"/>
      </w:numPr>
      <w:spacing w:after="120"/>
      <w:jc w:val="both"/>
    </w:pPr>
    <w:rPr>
      <w:rFonts w:ascii="Arial" w:hAnsi="Arial"/>
      <w:noProof/>
      <w:szCs w:val="20"/>
      <w:u w:val="single"/>
    </w:rPr>
  </w:style>
  <w:style w:type="paragraph" w:styleId="Textbubliny">
    <w:name w:val="Balloon Text"/>
    <w:basedOn w:val="Normln"/>
    <w:semiHidden/>
    <w:rsid w:val="00FF0407"/>
    <w:rPr>
      <w:rFonts w:ascii="Tahoma" w:hAnsi="Tahoma" w:cs="Tahoma"/>
      <w:sz w:val="16"/>
      <w:szCs w:val="16"/>
    </w:rPr>
  </w:style>
  <w:style w:type="character" w:customStyle="1" w:styleId="platne1">
    <w:name w:val="platne1"/>
    <w:basedOn w:val="Standardnpsmoodstavce"/>
    <w:rsid w:val="00375EA5"/>
  </w:style>
  <w:style w:type="paragraph" w:styleId="Zkladntext">
    <w:name w:val="Body Text"/>
    <w:basedOn w:val="Normln"/>
    <w:link w:val="ZkladntextChar"/>
    <w:rsid w:val="001D4E87"/>
    <w:pPr>
      <w:widowControl w:val="0"/>
      <w:spacing w:after="120"/>
      <w:jc w:val="both"/>
    </w:pPr>
    <w:rPr>
      <w:rFonts w:ascii="Arial" w:hAnsi="Arial"/>
      <w:bCs/>
      <w:noProof/>
      <w:szCs w:val="20"/>
      <w:lang w:eastAsia="en-US"/>
    </w:rPr>
  </w:style>
  <w:style w:type="paragraph" w:customStyle="1" w:styleId="Odsazen1text">
    <w:name w:val="Odsazený1 text"/>
    <w:basedOn w:val="Normln"/>
    <w:rsid w:val="001D4E87"/>
    <w:pPr>
      <w:widowControl w:val="0"/>
      <w:spacing w:after="120"/>
      <w:ind w:left="567"/>
      <w:jc w:val="both"/>
    </w:pPr>
    <w:rPr>
      <w:rFonts w:ascii="Arial" w:hAnsi="Arial"/>
      <w:noProof/>
      <w:szCs w:val="20"/>
    </w:rPr>
  </w:style>
  <w:style w:type="paragraph" w:styleId="Zkladntextodsazen">
    <w:name w:val="Body Text Indent"/>
    <w:basedOn w:val="Normln"/>
    <w:rsid w:val="001D4E87"/>
    <w:pPr>
      <w:autoSpaceDE w:val="0"/>
      <w:autoSpaceDN w:val="0"/>
      <w:adjustRightInd w:val="0"/>
      <w:ind w:left="360"/>
    </w:pPr>
  </w:style>
  <w:style w:type="character" w:styleId="slostrnky">
    <w:name w:val="page number"/>
    <w:basedOn w:val="Standardnpsmoodstavce"/>
    <w:rsid w:val="001D4E87"/>
  </w:style>
  <w:style w:type="paragraph" w:customStyle="1" w:styleId="Plohy">
    <w:name w:val="Přílohy"/>
    <w:basedOn w:val="Normln"/>
    <w:rsid w:val="001D4E87"/>
    <w:pPr>
      <w:widowControl w:val="0"/>
      <w:spacing w:after="120"/>
      <w:jc w:val="both"/>
    </w:pPr>
    <w:rPr>
      <w:rFonts w:ascii="Arial" w:hAnsi="Arial"/>
      <w:noProof/>
      <w:szCs w:val="20"/>
    </w:rPr>
  </w:style>
  <w:style w:type="table" w:styleId="Mkatabulky">
    <w:name w:val="Table Grid"/>
    <w:basedOn w:val="Normlntabulka"/>
    <w:rsid w:val="001D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proloenznak">
    <w:name w:val="Tučný proložený znak"/>
    <w:rsid w:val="001A7716"/>
    <w:rPr>
      <w:rFonts w:ascii="Arial" w:hAnsi="Arial"/>
      <w:b/>
      <w:dstrike w:val="0"/>
      <w:color w:val="auto"/>
      <w:spacing w:val="70"/>
      <w:sz w:val="24"/>
      <w:u w:val="none"/>
      <w:vertAlign w:val="baseline"/>
    </w:rPr>
  </w:style>
  <w:style w:type="character" w:customStyle="1" w:styleId="Tunznak">
    <w:name w:val="Tučný znak"/>
    <w:rsid w:val="00FF62A8"/>
    <w:rPr>
      <w:rFonts w:ascii="Arial" w:hAnsi="Arial" w:cs="Arial" w:hint="default"/>
      <w:b/>
      <w:bCs/>
      <w:strike w:val="0"/>
      <w:dstrike w:val="0"/>
      <w:color w:val="auto"/>
      <w:u w:val="none"/>
      <w:effect w:val="none"/>
      <w:vertAlign w:val="baseline"/>
    </w:rPr>
  </w:style>
  <w:style w:type="character" w:customStyle="1" w:styleId="Zkladnznak">
    <w:name w:val="Základní znak"/>
    <w:rsid w:val="00FF62A8"/>
    <w:rPr>
      <w:rFonts w:ascii="Arial" w:hAnsi="Arial" w:cs="Arial" w:hint="default"/>
      <w:strike w:val="0"/>
      <w:dstrike w:val="0"/>
      <w:color w:val="auto"/>
      <w:u w:val="none"/>
      <w:effect w:val="none"/>
      <w:vertAlign w:val="baseline"/>
    </w:rPr>
  </w:style>
  <w:style w:type="character" w:customStyle="1" w:styleId="ZhlavChar">
    <w:name w:val="Záhlaví Char"/>
    <w:link w:val="Zhlav"/>
    <w:rsid w:val="00B30EB9"/>
    <w:rPr>
      <w:sz w:val="24"/>
      <w:szCs w:val="24"/>
    </w:rPr>
  </w:style>
  <w:style w:type="paragraph" w:customStyle="1" w:styleId="Radaplohy">
    <w:name w:val="Rada přílohy"/>
    <w:basedOn w:val="Normln"/>
    <w:rsid w:val="00B30EB9"/>
    <w:pPr>
      <w:widowControl w:val="0"/>
      <w:spacing w:before="480" w:after="120"/>
      <w:jc w:val="both"/>
    </w:pPr>
    <w:rPr>
      <w:rFonts w:ascii="Arial" w:hAnsi="Arial"/>
      <w:noProof/>
      <w:szCs w:val="20"/>
      <w:u w:val="single"/>
    </w:rPr>
  </w:style>
  <w:style w:type="character" w:styleId="Odkaznakoment">
    <w:name w:val="annotation reference"/>
    <w:rsid w:val="00CD4E4B"/>
    <w:rPr>
      <w:sz w:val="16"/>
      <w:szCs w:val="16"/>
    </w:rPr>
  </w:style>
  <w:style w:type="paragraph" w:styleId="Textkomente">
    <w:name w:val="annotation text"/>
    <w:basedOn w:val="Normln"/>
    <w:link w:val="TextkomenteChar"/>
    <w:rsid w:val="00CD4E4B"/>
    <w:rPr>
      <w:sz w:val="20"/>
      <w:szCs w:val="20"/>
    </w:rPr>
  </w:style>
  <w:style w:type="character" w:customStyle="1" w:styleId="TextkomenteChar">
    <w:name w:val="Text komentáře Char"/>
    <w:basedOn w:val="Standardnpsmoodstavce"/>
    <w:link w:val="Textkomente"/>
    <w:rsid w:val="00CD4E4B"/>
  </w:style>
  <w:style w:type="paragraph" w:styleId="Pedmtkomente">
    <w:name w:val="annotation subject"/>
    <w:basedOn w:val="Textkomente"/>
    <w:next w:val="Textkomente"/>
    <w:link w:val="PedmtkomenteChar"/>
    <w:rsid w:val="00CD4E4B"/>
    <w:rPr>
      <w:b/>
      <w:bCs/>
    </w:rPr>
  </w:style>
  <w:style w:type="character" w:customStyle="1" w:styleId="PedmtkomenteChar">
    <w:name w:val="Předmět komentáře Char"/>
    <w:link w:val="Pedmtkomente"/>
    <w:rsid w:val="00CD4E4B"/>
    <w:rPr>
      <w:b/>
      <w:bCs/>
    </w:rPr>
  </w:style>
  <w:style w:type="paragraph" w:styleId="Odstavecseseznamem">
    <w:name w:val="List Paragraph"/>
    <w:basedOn w:val="Normln"/>
    <w:uiPriority w:val="99"/>
    <w:qFormat/>
    <w:rsid w:val="00C50636"/>
    <w:pPr>
      <w:ind w:left="720"/>
      <w:contextualSpacing/>
    </w:pPr>
    <w:rPr>
      <w:rFonts w:ascii="Calibri" w:eastAsia="Calibri" w:hAnsi="Calibri" w:cs="Calibri"/>
      <w:sz w:val="22"/>
      <w:szCs w:val="22"/>
      <w:lang w:eastAsia="en-US"/>
    </w:rPr>
  </w:style>
  <w:style w:type="character" w:styleId="Hypertextovodkaz">
    <w:name w:val="Hyperlink"/>
    <w:uiPriority w:val="99"/>
    <w:unhideWhenUsed/>
    <w:rsid w:val="00C50636"/>
    <w:rPr>
      <w:color w:val="0000FF"/>
      <w:u w:val="single"/>
    </w:rPr>
  </w:style>
  <w:style w:type="character" w:customStyle="1" w:styleId="ZkladntextChar">
    <w:name w:val="Základní text Char"/>
    <w:basedOn w:val="Standardnpsmoodstavce"/>
    <w:link w:val="Zkladntext"/>
    <w:rsid w:val="00AD5DF5"/>
    <w:rPr>
      <w:rFonts w:ascii="Arial" w:hAnsi="Arial"/>
      <w:bCs/>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10962">
      <w:bodyDiv w:val="1"/>
      <w:marLeft w:val="0"/>
      <w:marRight w:val="0"/>
      <w:marTop w:val="0"/>
      <w:marBottom w:val="0"/>
      <w:divBdr>
        <w:top w:val="none" w:sz="0" w:space="0" w:color="auto"/>
        <w:left w:val="none" w:sz="0" w:space="0" w:color="auto"/>
        <w:bottom w:val="none" w:sz="0" w:space="0" w:color="auto"/>
        <w:right w:val="none" w:sz="0" w:space="0" w:color="auto"/>
      </w:divBdr>
    </w:div>
    <w:div w:id="568468710">
      <w:bodyDiv w:val="1"/>
      <w:marLeft w:val="0"/>
      <w:marRight w:val="0"/>
      <w:marTop w:val="0"/>
      <w:marBottom w:val="0"/>
      <w:divBdr>
        <w:top w:val="none" w:sz="0" w:space="0" w:color="auto"/>
        <w:left w:val="none" w:sz="0" w:space="0" w:color="auto"/>
        <w:bottom w:val="none" w:sz="0" w:space="0" w:color="auto"/>
        <w:right w:val="none" w:sz="0" w:space="0" w:color="auto"/>
      </w:divBdr>
    </w:div>
    <w:div w:id="928999487">
      <w:bodyDiv w:val="1"/>
      <w:marLeft w:val="0"/>
      <w:marRight w:val="0"/>
      <w:marTop w:val="0"/>
      <w:marBottom w:val="0"/>
      <w:divBdr>
        <w:top w:val="none" w:sz="0" w:space="0" w:color="auto"/>
        <w:left w:val="none" w:sz="0" w:space="0" w:color="auto"/>
        <w:bottom w:val="none" w:sz="0" w:space="0" w:color="auto"/>
        <w:right w:val="none" w:sz="0" w:space="0" w:color="auto"/>
      </w:divBdr>
    </w:div>
    <w:div w:id="1035429590">
      <w:bodyDiv w:val="1"/>
      <w:marLeft w:val="0"/>
      <w:marRight w:val="0"/>
      <w:marTop w:val="0"/>
      <w:marBottom w:val="0"/>
      <w:divBdr>
        <w:top w:val="none" w:sz="0" w:space="0" w:color="auto"/>
        <w:left w:val="none" w:sz="0" w:space="0" w:color="auto"/>
        <w:bottom w:val="none" w:sz="0" w:space="0" w:color="auto"/>
        <w:right w:val="none" w:sz="0" w:space="0" w:color="auto"/>
      </w:divBdr>
    </w:div>
    <w:div w:id="1403453927">
      <w:bodyDiv w:val="1"/>
      <w:marLeft w:val="0"/>
      <w:marRight w:val="0"/>
      <w:marTop w:val="0"/>
      <w:marBottom w:val="0"/>
      <w:divBdr>
        <w:top w:val="none" w:sz="0" w:space="0" w:color="auto"/>
        <w:left w:val="none" w:sz="0" w:space="0" w:color="auto"/>
        <w:bottom w:val="none" w:sz="0" w:space="0" w:color="auto"/>
        <w:right w:val="none" w:sz="0" w:space="0" w:color="auto"/>
      </w:divBdr>
    </w:div>
    <w:div w:id="1626698731">
      <w:bodyDiv w:val="1"/>
      <w:marLeft w:val="0"/>
      <w:marRight w:val="0"/>
      <w:marTop w:val="0"/>
      <w:marBottom w:val="0"/>
      <w:divBdr>
        <w:top w:val="none" w:sz="0" w:space="0" w:color="auto"/>
        <w:left w:val="none" w:sz="0" w:space="0" w:color="auto"/>
        <w:bottom w:val="none" w:sz="0" w:space="0" w:color="auto"/>
        <w:right w:val="none" w:sz="0" w:space="0" w:color="auto"/>
      </w:divBdr>
    </w:div>
    <w:div w:id="1797139121">
      <w:bodyDiv w:val="1"/>
      <w:marLeft w:val="0"/>
      <w:marRight w:val="0"/>
      <w:marTop w:val="0"/>
      <w:marBottom w:val="0"/>
      <w:divBdr>
        <w:top w:val="none" w:sz="0" w:space="0" w:color="auto"/>
        <w:left w:val="none" w:sz="0" w:space="0" w:color="auto"/>
        <w:bottom w:val="none" w:sz="0" w:space="0" w:color="auto"/>
        <w:right w:val="none" w:sz="0" w:space="0" w:color="auto"/>
      </w:divBdr>
    </w:div>
    <w:div w:id="21448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ohs.cz/download/Sekce_VP/VP_update/ROZHODNUTI_KOMISE_o_pouziti_cl_106_odst_2_Smlouvy_o_fungovani_E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1123</Words>
  <Characters>6630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7738</CharactersWithSpaces>
  <SharedDoc>false</SharedDoc>
  <HLinks>
    <vt:vector size="6" baseType="variant">
      <vt:variant>
        <vt:i4>4259955</vt:i4>
      </vt:variant>
      <vt:variant>
        <vt:i4>0</vt:i4>
      </vt:variant>
      <vt:variant>
        <vt:i4>0</vt:i4>
      </vt:variant>
      <vt:variant>
        <vt:i4>5</vt:i4>
      </vt:variant>
      <vt:variant>
        <vt:lpwstr>http://www.uohs.cz/download/Sekce_VP/VP_update/ROZHODNUTI_KOMISE_o_pouziti_cl_106_odst_2_Smlouvy_o_fungovani_EU.pdf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Olga Kalusková</dc:creator>
  <cp:keywords/>
  <cp:lastModifiedBy>Hanák Pavel</cp:lastModifiedBy>
  <cp:revision>5</cp:revision>
  <cp:lastPrinted>2009-09-16T10:32:00Z</cp:lastPrinted>
  <dcterms:created xsi:type="dcterms:W3CDTF">2020-09-14T12:02:00Z</dcterms:created>
  <dcterms:modified xsi:type="dcterms:W3CDTF">2020-09-14T12:30:00Z</dcterms:modified>
</cp:coreProperties>
</file>