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32" w:rsidRPr="008450F3" w:rsidRDefault="009E7132" w:rsidP="00770369">
      <w:pPr>
        <w:pStyle w:val="Zkladntextodsazen"/>
        <w:pageBreakBefore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Důvodová zpráva</w:t>
      </w:r>
    </w:p>
    <w:p w:rsidR="00770369" w:rsidRDefault="00770369" w:rsidP="00770369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BE757A" w:rsidRDefault="00BE757A" w:rsidP="00BE757A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BE757A">
        <w:rPr>
          <w:rFonts w:ascii="Arial" w:hAnsi="Arial" w:cs="Arial"/>
        </w:rPr>
        <w:t xml:space="preserve">Základním strategickým dokumentem na regionální úrovni kraje je </w:t>
      </w:r>
      <w:r w:rsidR="006D1D7D">
        <w:rPr>
          <w:rFonts w:ascii="Arial" w:hAnsi="Arial" w:cs="Arial"/>
        </w:rPr>
        <w:t>Strategie</w:t>
      </w:r>
      <w:r w:rsidRPr="00BE757A">
        <w:rPr>
          <w:rFonts w:ascii="Arial" w:hAnsi="Arial" w:cs="Arial"/>
        </w:rPr>
        <w:t xml:space="preserve"> rozvoje územního obvodu Olomouckého kraje (dále jen </w:t>
      </w:r>
      <w:r w:rsidR="006D1D7D">
        <w:rPr>
          <w:rFonts w:ascii="Arial" w:hAnsi="Arial" w:cs="Arial"/>
        </w:rPr>
        <w:t>S</w:t>
      </w:r>
      <w:r w:rsidRPr="00BE757A">
        <w:rPr>
          <w:rFonts w:ascii="Arial" w:hAnsi="Arial" w:cs="Arial"/>
        </w:rPr>
        <w:t>ROK). Tento stěžejní strategický plán mají kraje povinnost z</w:t>
      </w:r>
      <w:r w:rsidR="00B24927">
        <w:rPr>
          <w:rFonts w:ascii="Arial" w:hAnsi="Arial" w:cs="Arial"/>
        </w:rPr>
        <w:t>pracovávat na základě zákona č. </w:t>
      </w:r>
      <w:r w:rsidRPr="00BE757A">
        <w:rPr>
          <w:rFonts w:ascii="Arial" w:hAnsi="Arial" w:cs="Arial"/>
        </w:rPr>
        <w:t>248/2000</w:t>
      </w:r>
      <w:r w:rsidR="00B24927">
        <w:rPr>
          <w:rFonts w:ascii="Arial" w:hAnsi="Arial" w:cs="Arial"/>
        </w:rPr>
        <w:t> </w:t>
      </w:r>
      <w:r w:rsidRPr="00BE757A">
        <w:rPr>
          <w:rFonts w:ascii="Arial" w:hAnsi="Arial" w:cs="Arial"/>
        </w:rPr>
        <w:t>Sb., o podpoře regionálního rozvoje. Rovněž Zákon o krajích č. 129/2000</w:t>
      </w:r>
      <w:r w:rsidR="00B24927">
        <w:rPr>
          <w:rFonts w:ascii="Arial" w:hAnsi="Arial" w:cs="Arial"/>
        </w:rPr>
        <w:t> </w:t>
      </w:r>
      <w:r w:rsidRPr="00BE757A">
        <w:rPr>
          <w:rFonts w:ascii="Arial" w:hAnsi="Arial" w:cs="Arial"/>
        </w:rPr>
        <w:t xml:space="preserve">Sb. vyhrazuje zastupitelstvu koordinovat rozvoj svého územního obvodu a schvalovat </w:t>
      </w:r>
      <w:r w:rsidR="000C58F0">
        <w:rPr>
          <w:rFonts w:ascii="Arial" w:hAnsi="Arial" w:cs="Arial"/>
        </w:rPr>
        <w:t>strategie</w:t>
      </w:r>
      <w:r w:rsidRPr="00BE757A">
        <w:rPr>
          <w:rFonts w:ascii="Arial" w:hAnsi="Arial" w:cs="Arial"/>
        </w:rPr>
        <w:t xml:space="preserve"> rozvoje územního obvodu</w:t>
      </w:r>
      <w:r w:rsidR="000C58F0" w:rsidRPr="000C58F0">
        <w:rPr>
          <w:rFonts w:ascii="Arial" w:hAnsi="Arial" w:cs="Arial"/>
        </w:rPr>
        <w:t>, zajišťovat jejich realiz</w:t>
      </w:r>
      <w:r w:rsidR="000C58F0">
        <w:rPr>
          <w:rFonts w:ascii="Arial" w:hAnsi="Arial" w:cs="Arial"/>
        </w:rPr>
        <w:t>aci a kontrolovat jejich plnění</w:t>
      </w:r>
      <w:r w:rsidRPr="00BE757A">
        <w:rPr>
          <w:rFonts w:ascii="Arial" w:hAnsi="Arial" w:cs="Arial"/>
        </w:rPr>
        <w:t>.</w:t>
      </w:r>
    </w:p>
    <w:p w:rsidR="008E33DA" w:rsidRDefault="008E33DA" w:rsidP="008E33DA">
      <w:pPr>
        <w:pStyle w:val="Zkladntextodsazen"/>
        <w:spacing w:after="120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Zastupitelstvo Olomouckého kr</w:t>
      </w:r>
      <w:r w:rsidRPr="000C58F0">
        <w:rPr>
          <w:rFonts w:ascii="Arial" w:hAnsi="Arial" w:cs="Arial"/>
        </w:rPr>
        <w:t xml:space="preserve">aje </w:t>
      </w:r>
      <w:r w:rsidRPr="000C58F0">
        <w:rPr>
          <w:rFonts w:ascii="Arial" w:hAnsi="Arial" w:cs="Arial"/>
          <w:iCs/>
        </w:rPr>
        <w:t>schv</w:t>
      </w:r>
      <w:r>
        <w:rPr>
          <w:rFonts w:ascii="Arial" w:hAnsi="Arial" w:cs="Arial"/>
          <w:iCs/>
        </w:rPr>
        <w:t>álilo svým usnesením ze dne 29. 4. 2019 č. </w:t>
      </w:r>
      <w:r w:rsidRPr="000C58F0">
        <w:rPr>
          <w:rFonts w:ascii="Arial" w:hAnsi="Arial" w:cs="Arial"/>
          <w:iCs/>
        </w:rPr>
        <w:t>UZ/15/62/2019 provedení aktualizace</w:t>
      </w:r>
      <w:r>
        <w:rPr>
          <w:rFonts w:ascii="Arial" w:hAnsi="Arial" w:cs="Arial"/>
          <w:iCs/>
        </w:rPr>
        <w:t xml:space="preserve"> SROK. Rada Olomouckého kraje (ROK) byla informována o průběhu zpracování a usnesením č. </w:t>
      </w:r>
      <w:r w:rsidRPr="000C58F0">
        <w:rPr>
          <w:rFonts w:ascii="Arial" w:hAnsi="Arial" w:cs="Arial"/>
          <w:iCs/>
        </w:rPr>
        <w:t>UR/75/22/2019</w:t>
      </w:r>
      <w:r>
        <w:rPr>
          <w:rFonts w:ascii="Arial" w:hAnsi="Arial" w:cs="Arial"/>
          <w:iCs/>
        </w:rPr>
        <w:t xml:space="preserve"> ze dne 21. 10. 2019. Dne 1. 6. 2020 ROK </w:t>
      </w:r>
      <w:r w:rsidR="009D1F1B">
        <w:rPr>
          <w:rFonts w:ascii="Arial" w:hAnsi="Arial" w:cs="Arial"/>
          <w:iCs/>
        </w:rPr>
        <w:t xml:space="preserve">usnesením č. </w:t>
      </w:r>
      <w:r w:rsidR="009D1F1B" w:rsidRPr="009D1F1B">
        <w:rPr>
          <w:rFonts w:ascii="Arial" w:hAnsi="Arial" w:cs="Arial"/>
          <w:iCs/>
        </w:rPr>
        <w:t>UR/94/31/2020</w:t>
      </w:r>
      <w:r w:rsidR="009D1F1B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odsouhlasila Návrhovou část strategie, která byla podrobena posouzení vlivu na životní prostředí. Dokument je připravován zpracovateli, </w:t>
      </w:r>
      <w:r w:rsidRPr="0056056B">
        <w:rPr>
          <w:rFonts w:ascii="Arial" w:hAnsi="Arial" w:cs="Arial"/>
          <w:iCs/>
        </w:rPr>
        <w:t xml:space="preserve">sdružením firem </w:t>
      </w:r>
      <w:r>
        <w:rPr>
          <w:rFonts w:ascii="Arial" w:hAnsi="Arial" w:cs="Arial"/>
          <w:iCs/>
        </w:rPr>
        <w:t>BeePartner, </w:t>
      </w:r>
      <w:r w:rsidRPr="0056056B">
        <w:rPr>
          <w:rFonts w:ascii="Arial" w:hAnsi="Arial" w:cs="Arial"/>
          <w:iCs/>
        </w:rPr>
        <w:t>a. s. – RADDIT consulting,</w:t>
      </w:r>
      <w:r>
        <w:rPr>
          <w:rFonts w:ascii="Arial" w:hAnsi="Arial" w:cs="Arial"/>
          <w:iCs/>
        </w:rPr>
        <w:t> </w:t>
      </w:r>
      <w:r w:rsidRPr="0056056B">
        <w:rPr>
          <w:rFonts w:ascii="Arial" w:hAnsi="Arial" w:cs="Arial"/>
          <w:iCs/>
        </w:rPr>
        <w:t>s. r. o.</w:t>
      </w:r>
    </w:p>
    <w:p w:rsidR="00DE039F" w:rsidRDefault="00C235E7" w:rsidP="00DE039F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SROK</w:t>
      </w:r>
      <w:r w:rsidR="00DE039F">
        <w:rPr>
          <w:rFonts w:ascii="Arial" w:hAnsi="Arial" w:cs="Arial"/>
        </w:rPr>
        <w:t xml:space="preserve"> je částečně projevem vůle zastupitelstva při správě území, tzv. samostatné působnosti. Kraj v </w:t>
      </w:r>
      <w:r w:rsidR="00DE039F" w:rsidRPr="00DE039F">
        <w:rPr>
          <w:rFonts w:ascii="Arial" w:hAnsi="Arial" w:cs="Arial"/>
        </w:rPr>
        <w:t>rámci samostatné působnosti pečuje o sociálně ekonomický rozvoj svého území, a o potřeby občanů, které jsou ve veřejném zájmu, dále spravuje vlastní majetek a může ho využívat pro zabezpeč</w:t>
      </w:r>
      <w:r w:rsidR="00DE039F">
        <w:rPr>
          <w:rFonts w:ascii="Arial" w:hAnsi="Arial" w:cs="Arial"/>
        </w:rPr>
        <w:t>ování veřejných statků, popř. k </w:t>
      </w:r>
      <w:r w:rsidR="00DE039F" w:rsidRPr="00DE039F">
        <w:rPr>
          <w:rFonts w:ascii="Arial" w:hAnsi="Arial" w:cs="Arial"/>
        </w:rPr>
        <w:t xml:space="preserve">podnikání. </w:t>
      </w:r>
    </w:p>
    <w:p w:rsidR="00C235E7" w:rsidRDefault="00C235E7" w:rsidP="00DE039F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Současně SROK a kraj při jejím naplňování musí plnit zákonné povinnosti, především dané výše uvedenými zákony o krajích a o podpoře regionálního rozvoje. Kraj za</w:t>
      </w:r>
      <w:r w:rsidRPr="00C235E7">
        <w:rPr>
          <w:rFonts w:ascii="Arial" w:hAnsi="Arial" w:cs="Arial"/>
        </w:rPr>
        <w:t>ji</w:t>
      </w:r>
      <w:r>
        <w:rPr>
          <w:rFonts w:ascii="Arial" w:hAnsi="Arial" w:cs="Arial"/>
        </w:rPr>
        <w:t>šťuje</w:t>
      </w:r>
      <w:r w:rsidRPr="00C235E7">
        <w:rPr>
          <w:rFonts w:ascii="Arial" w:hAnsi="Arial" w:cs="Arial"/>
        </w:rPr>
        <w:t xml:space="preserve"> dynamický a vyvážený rozvoj území se zřetelem na kvalitu života a životního prostředí, přisp</w:t>
      </w:r>
      <w:r w:rsidR="008E33DA">
        <w:rPr>
          <w:rFonts w:ascii="Arial" w:hAnsi="Arial" w:cs="Arial"/>
        </w:rPr>
        <w:t>ívá</w:t>
      </w:r>
      <w:r w:rsidRPr="00C235E7">
        <w:rPr>
          <w:rFonts w:ascii="Arial" w:hAnsi="Arial" w:cs="Arial"/>
        </w:rPr>
        <w:t xml:space="preserve"> ke snižování regi</w:t>
      </w:r>
      <w:r w:rsidR="008E33DA">
        <w:rPr>
          <w:rFonts w:ascii="Arial" w:hAnsi="Arial" w:cs="Arial"/>
        </w:rPr>
        <w:t>onálních rozdílů a zároveň umožňuje</w:t>
      </w:r>
      <w:r w:rsidRPr="00C235E7">
        <w:rPr>
          <w:rFonts w:ascii="Arial" w:hAnsi="Arial" w:cs="Arial"/>
        </w:rPr>
        <w:t xml:space="preserve"> využití místního potenciálu pro zvýšení hospodářské a sociální úrovně jednotlivých </w:t>
      </w:r>
      <w:r w:rsidR="008E33DA">
        <w:rPr>
          <w:rFonts w:ascii="Arial" w:hAnsi="Arial" w:cs="Arial"/>
        </w:rPr>
        <w:t xml:space="preserve">částí regionu. SROK vychází ze Strategie regionálního rozvoje ČR, SROK </w:t>
      </w:r>
      <w:r w:rsidR="008E33DA" w:rsidRPr="008E33DA">
        <w:rPr>
          <w:rFonts w:ascii="Arial" w:hAnsi="Arial" w:cs="Arial"/>
        </w:rPr>
        <w:t>rozpracováv</w:t>
      </w:r>
      <w:r w:rsidR="008E33DA">
        <w:rPr>
          <w:rFonts w:ascii="Arial" w:hAnsi="Arial" w:cs="Arial"/>
        </w:rPr>
        <w:t>á zde</w:t>
      </w:r>
      <w:r w:rsidR="008E33DA" w:rsidRPr="008E33DA">
        <w:rPr>
          <w:rFonts w:ascii="Arial" w:hAnsi="Arial" w:cs="Arial"/>
        </w:rPr>
        <w:t xml:space="preserve"> řešená témata do větších podrobností </w:t>
      </w:r>
      <w:r w:rsidR="008E33DA">
        <w:rPr>
          <w:rFonts w:ascii="Arial" w:hAnsi="Arial" w:cs="Arial"/>
        </w:rPr>
        <w:t>s </w:t>
      </w:r>
      <w:r w:rsidR="008E33DA" w:rsidRPr="008E33DA">
        <w:rPr>
          <w:rFonts w:ascii="Arial" w:hAnsi="Arial" w:cs="Arial"/>
        </w:rPr>
        <w:t xml:space="preserve">ohledem na specifika </w:t>
      </w:r>
      <w:r w:rsidR="008E33DA">
        <w:rPr>
          <w:rFonts w:ascii="Arial" w:hAnsi="Arial" w:cs="Arial"/>
        </w:rPr>
        <w:t>Olomouckého</w:t>
      </w:r>
      <w:r w:rsidR="008E33DA" w:rsidRPr="008E33DA">
        <w:rPr>
          <w:rFonts w:ascii="Arial" w:hAnsi="Arial" w:cs="Arial"/>
        </w:rPr>
        <w:t xml:space="preserve"> kraje. </w:t>
      </w:r>
      <w:r w:rsidR="008E33DA">
        <w:rPr>
          <w:rFonts w:ascii="Arial" w:hAnsi="Arial" w:cs="Arial"/>
        </w:rPr>
        <w:t xml:space="preserve">SROK </w:t>
      </w:r>
      <w:r w:rsidR="008E33DA" w:rsidRPr="008E33DA">
        <w:rPr>
          <w:rFonts w:ascii="Arial" w:hAnsi="Arial" w:cs="Arial"/>
        </w:rPr>
        <w:t>se nicméně věn</w:t>
      </w:r>
      <w:r w:rsidR="008E33DA">
        <w:rPr>
          <w:rFonts w:ascii="Arial" w:hAnsi="Arial" w:cs="Arial"/>
        </w:rPr>
        <w:t xml:space="preserve">uje i tématům, která ve Strategii regionálního rozvoje ČR </w:t>
      </w:r>
      <w:r w:rsidR="008E33DA" w:rsidRPr="008E33DA">
        <w:rPr>
          <w:rFonts w:ascii="Arial" w:hAnsi="Arial" w:cs="Arial"/>
        </w:rPr>
        <w:t>rozpracována nejsou</w:t>
      </w:r>
      <w:r w:rsidR="008E33DA">
        <w:rPr>
          <w:rFonts w:ascii="Arial" w:hAnsi="Arial" w:cs="Arial"/>
        </w:rPr>
        <w:t xml:space="preserve">, </w:t>
      </w:r>
      <w:r w:rsidR="00B97572" w:rsidRPr="00B97572">
        <w:rPr>
          <w:rFonts w:ascii="Arial" w:hAnsi="Arial" w:cs="Arial"/>
        </w:rPr>
        <w:t xml:space="preserve">včetně těch témat, která jsou </w:t>
      </w:r>
      <w:r w:rsidR="00B97572">
        <w:rPr>
          <w:rFonts w:ascii="Arial" w:hAnsi="Arial" w:cs="Arial"/>
        </w:rPr>
        <w:t>kraji</w:t>
      </w:r>
      <w:r w:rsidR="00B97572" w:rsidRPr="00B97572">
        <w:rPr>
          <w:rFonts w:ascii="Arial" w:hAnsi="Arial" w:cs="Arial"/>
        </w:rPr>
        <w:t xml:space="preserve"> uložena legislativou</w:t>
      </w:r>
      <w:r w:rsidR="00B97572">
        <w:rPr>
          <w:rFonts w:ascii="Arial" w:hAnsi="Arial" w:cs="Arial"/>
        </w:rPr>
        <w:t>, n</w:t>
      </w:r>
      <w:r w:rsidR="00B97572" w:rsidRPr="00B97572">
        <w:rPr>
          <w:rFonts w:ascii="Arial" w:hAnsi="Arial" w:cs="Arial"/>
        </w:rPr>
        <w:t>apř. střední školství</w:t>
      </w:r>
      <w:r w:rsidR="00B97572">
        <w:rPr>
          <w:rFonts w:ascii="Arial" w:hAnsi="Arial" w:cs="Arial"/>
        </w:rPr>
        <w:t>.</w:t>
      </w:r>
    </w:p>
    <w:p w:rsidR="00B97572" w:rsidRDefault="00B97572" w:rsidP="00DE039F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Zákon o podpoře regionálního rozvoje stanovuje také, že SROK má být provázána na rozpočtové období EU, tj. 2021 – 2027. V polovině programového období má být zpracována Zpráva o </w:t>
      </w:r>
      <w:r w:rsidRPr="00B97572">
        <w:rPr>
          <w:rFonts w:ascii="Arial" w:hAnsi="Arial" w:cs="Arial"/>
        </w:rPr>
        <w:t>uplatňování strategie rozvoje územního obvodu kraje, na jejímž základě zastupitelstvo kraje případně rozhodne o aktualizaci strategie rozvoje územního obvodu kraje nebo o zpracování nové strategie rozvoje územního obvodu kraje</w:t>
      </w:r>
      <w:r>
        <w:rPr>
          <w:rFonts w:ascii="Arial" w:hAnsi="Arial" w:cs="Arial"/>
        </w:rPr>
        <w:t>.</w:t>
      </w:r>
    </w:p>
    <w:p w:rsidR="00B97572" w:rsidRDefault="00B97572" w:rsidP="00DE039F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zpracování se také vycházelo z nastavení priorit na evropské úrovni. </w:t>
      </w:r>
      <w:r w:rsidR="00740B6D">
        <w:rPr>
          <w:rFonts w:ascii="Arial" w:hAnsi="Arial" w:cs="Arial"/>
        </w:rPr>
        <w:t xml:space="preserve">Především s ohledem na tematickou koncentraci politiky soudržnosti, ale i z přihlédnutím, jaké výzvy se týkají našeho regionu, např. řešení problematiky sucha. </w:t>
      </w:r>
      <w:r w:rsidR="00CD0811">
        <w:rPr>
          <w:rFonts w:ascii="Arial" w:hAnsi="Arial" w:cs="Arial"/>
        </w:rPr>
        <w:t xml:space="preserve">V době zpracování strategie nebylo známé </w:t>
      </w:r>
      <w:r w:rsidR="00740B6D">
        <w:rPr>
          <w:rFonts w:ascii="Arial" w:hAnsi="Arial" w:cs="Arial"/>
        </w:rPr>
        <w:t>nastavení dotační politiky EU v budoucím období</w:t>
      </w:r>
      <w:r w:rsidR="00CD0811">
        <w:rPr>
          <w:rFonts w:ascii="Arial" w:hAnsi="Arial" w:cs="Arial"/>
        </w:rPr>
        <w:t xml:space="preserve"> na úrovni EU, ani na národní úrovni. Proto se vycházelo z rozpracovaných verzí operačních programů a </w:t>
      </w:r>
      <w:r w:rsidR="00740B6D">
        <w:rPr>
          <w:rFonts w:ascii="Arial" w:hAnsi="Arial" w:cs="Arial"/>
        </w:rPr>
        <w:t>alespoň tematicky se tak podařilo připravit priority a cíle pro vhodné projekty.</w:t>
      </w:r>
    </w:p>
    <w:p w:rsidR="000758B0" w:rsidRDefault="000758B0" w:rsidP="000758B0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Zpracování bylo ovlivněno pandemií COVID-19, zejména co se týká plánovaného zapojení partnerů. </w:t>
      </w:r>
      <w:r w:rsidRPr="000758B0">
        <w:rPr>
          <w:rFonts w:ascii="Arial" w:hAnsi="Arial" w:cs="Arial"/>
        </w:rPr>
        <w:t>Pandemie COVID-19 si vyžádala bezprecedentní opatření na mezinárodní, národní i místní úrovni. Dopady těchto opatření již dnes výrazně ovlivňují ekonomiku a společnost.</w:t>
      </w:r>
      <w:r>
        <w:rPr>
          <w:rFonts w:ascii="Arial" w:hAnsi="Arial" w:cs="Arial"/>
        </w:rPr>
        <w:t xml:space="preserve"> Dopady pandemie nelze v současnosti změřit, protože nejsou dostupné údaje za rok 2020. Současně se však dopad pandemie na regionální ekonomiku, ale i ostatní oblasti plně projeví až v údajích za rok 2021.</w:t>
      </w:r>
    </w:p>
    <w:p w:rsidR="000758B0" w:rsidRDefault="000758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</w:p>
    <w:p w:rsidR="00740B6D" w:rsidRPr="00CD0811" w:rsidRDefault="004E37C0" w:rsidP="00DE039F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Strategie rozvoje územního obvodu Olomouckého kraje</w:t>
      </w:r>
      <w:r w:rsidR="00841BB6">
        <w:rPr>
          <w:rFonts w:ascii="Arial" w:hAnsi="Arial" w:cs="Arial"/>
          <w:b/>
        </w:rPr>
        <w:t xml:space="preserve"> </w:t>
      </w:r>
      <w:r w:rsidR="00841BB6" w:rsidRPr="00CD0811">
        <w:rPr>
          <w:rFonts w:ascii="Arial" w:hAnsi="Arial" w:cs="Arial"/>
          <w:b/>
        </w:rPr>
        <w:t xml:space="preserve">2021-2027, s výhledem do roku 2030 </w:t>
      </w:r>
      <w:r w:rsidR="00841BB6" w:rsidRPr="00CD0811">
        <w:rPr>
          <w:rFonts w:ascii="Arial" w:hAnsi="Arial" w:cs="Arial"/>
        </w:rPr>
        <w:t>(</w:t>
      </w:r>
      <w:r w:rsidR="00CD0811" w:rsidRPr="00CD0811">
        <w:rPr>
          <w:rFonts w:ascii="Arial" w:hAnsi="Arial" w:cs="Arial"/>
        </w:rPr>
        <w:t>výhled je ve strategii použit, aby byl překlenut přechod období mezi programovacími obdobími a existovala platná strategie i pro přípravu</w:t>
      </w:r>
      <w:r w:rsidR="00CD0811">
        <w:rPr>
          <w:rFonts w:ascii="Arial" w:hAnsi="Arial" w:cs="Arial"/>
        </w:rPr>
        <w:t xml:space="preserve"> na příští období</w:t>
      </w:r>
      <w:r w:rsidR="00841BB6" w:rsidRPr="00CD0811">
        <w:rPr>
          <w:rFonts w:ascii="Arial" w:hAnsi="Arial" w:cs="Arial"/>
        </w:rPr>
        <w:t>)</w:t>
      </w:r>
    </w:p>
    <w:p w:rsidR="00913960" w:rsidRPr="004E37C0" w:rsidRDefault="00913960" w:rsidP="004E37C0">
      <w:pPr>
        <w:pStyle w:val="Zkladntextodsazen"/>
        <w:spacing w:after="120"/>
        <w:ind w:left="0"/>
        <w:jc w:val="both"/>
        <w:rPr>
          <w:rFonts w:ascii="Arial" w:hAnsi="Arial" w:cs="Arial"/>
          <w:b/>
          <w:i/>
        </w:rPr>
      </w:pPr>
      <w:r w:rsidRPr="004E37C0">
        <w:rPr>
          <w:rFonts w:ascii="Arial" w:hAnsi="Arial" w:cs="Arial"/>
          <w:b/>
          <w:i/>
        </w:rPr>
        <w:t>Vize:</w:t>
      </w:r>
      <w:r w:rsidR="004E37C0" w:rsidRPr="004E37C0">
        <w:rPr>
          <w:rFonts w:ascii="Arial" w:hAnsi="Arial" w:cs="Arial"/>
          <w:b/>
          <w:i/>
        </w:rPr>
        <w:t xml:space="preserve"> </w:t>
      </w:r>
      <w:r w:rsidR="00A95CB6">
        <w:rPr>
          <w:rFonts w:ascii="Arial" w:hAnsi="Arial" w:cs="Arial"/>
          <w:b/>
          <w:i/>
        </w:rPr>
        <w:t>Vitální kraj s vysokou úrovní kvality života</w:t>
      </w:r>
      <w:r w:rsidRPr="004E37C0">
        <w:rPr>
          <w:rFonts w:ascii="Arial" w:hAnsi="Arial" w:cs="Arial"/>
          <w:b/>
          <w:i/>
        </w:rPr>
        <w:t>.</w:t>
      </w:r>
    </w:p>
    <w:p w:rsidR="00841BB6" w:rsidRDefault="00A95CB6" w:rsidP="00913960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A95CB6">
        <w:rPr>
          <w:rFonts w:ascii="Arial" w:hAnsi="Arial" w:cs="Arial"/>
          <w:b/>
        </w:rPr>
        <w:t>Zelený a odoln</w:t>
      </w:r>
      <w:r w:rsidR="006B7A13">
        <w:rPr>
          <w:rFonts w:ascii="Arial" w:hAnsi="Arial" w:cs="Arial"/>
          <w:b/>
        </w:rPr>
        <w:t>ý</w:t>
      </w:r>
      <w:r w:rsidRPr="00A95CB6">
        <w:rPr>
          <w:rFonts w:ascii="Arial" w:hAnsi="Arial" w:cs="Arial"/>
          <w:b/>
        </w:rPr>
        <w:t xml:space="preserve"> Olomoucký kraj</w:t>
      </w:r>
      <w:r>
        <w:rPr>
          <w:rFonts w:ascii="Arial" w:hAnsi="Arial" w:cs="Arial"/>
        </w:rPr>
        <w:t xml:space="preserve"> - </w:t>
      </w:r>
      <w:r w:rsidR="00547E46">
        <w:rPr>
          <w:rFonts w:ascii="Arial" w:hAnsi="Arial" w:cs="Arial"/>
        </w:rPr>
        <w:t>s</w:t>
      </w:r>
      <w:r>
        <w:rPr>
          <w:rFonts w:ascii="Arial" w:hAnsi="Arial" w:cs="Arial"/>
        </w:rPr>
        <w:t>polečně s podporou měst i venkova dosáhnout vyšší kvality životního prostředí</w:t>
      </w:r>
      <w:r w:rsidR="00913960" w:rsidRPr="0091396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47E46">
        <w:rPr>
          <w:rFonts w:ascii="Arial" w:hAnsi="Arial" w:cs="Arial"/>
          <w:b/>
        </w:rPr>
        <w:t>Podnikavý a konkurenceschopný Olomoucký kraj</w:t>
      </w:r>
      <w:r>
        <w:rPr>
          <w:rFonts w:ascii="Arial" w:hAnsi="Arial" w:cs="Arial"/>
        </w:rPr>
        <w:t xml:space="preserve"> </w:t>
      </w:r>
      <w:r w:rsidR="00547E4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47E46">
        <w:rPr>
          <w:rFonts w:ascii="Arial" w:hAnsi="Arial" w:cs="Arial"/>
        </w:rPr>
        <w:t xml:space="preserve">posílíme ekonomický růst motivací k podnikání, inovacemi a službami pro podnikatele. </w:t>
      </w:r>
      <w:r w:rsidR="00547E46" w:rsidRPr="00547E46">
        <w:rPr>
          <w:rFonts w:ascii="Arial" w:hAnsi="Arial" w:cs="Arial"/>
          <w:b/>
        </w:rPr>
        <w:t>Talentovaný a soudržný kraj</w:t>
      </w:r>
      <w:r w:rsidR="00547E46">
        <w:rPr>
          <w:rFonts w:ascii="Arial" w:hAnsi="Arial" w:cs="Arial"/>
        </w:rPr>
        <w:t xml:space="preserve"> – rozvineme kvalitní služby a investujeme do vzdělání a osobního rozvoje obyvatel v kraji.</w:t>
      </w:r>
    </w:p>
    <w:p w:rsidR="004E37C0" w:rsidRPr="004E37C0" w:rsidRDefault="00E52949" w:rsidP="00740B6D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Priority a cíle</w:t>
      </w:r>
    </w:p>
    <w:p w:rsidR="00740B6D" w:rsidRPr="00740B6D" w:rsidRDefault="00740B6D" w:rsidP="00740B6D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740B6D">
        <w:rPr>
          <w:rFonts w:ascii="Arial" w:hAnsi="Arial" w:cs="Arial"/>
        </w:rPr>
        <w:t>Strategie rozvoje Olomouckého kraje na období 2021–2027 navazuje na předchozí Strategii rozvoje kraje na</w:t>
      </w:r>
      <w:r w:rsidR="00913960">
        <w:rPr>
          <w:rFonts w:ascii="Arial" w:hAnsi="Arial" w:cs="Arial"/>
        </w:rPr>
        <w:t xml:space="preserve"> období 2014–2020 a pokračuje v</w:t>
      </w:r>
      <w:r w:rsidR="00E52949">
        <w:rPr>
          <w:rFonts w:ascii="Arial" w:hAnsi="Arial" w:cs="Arial"/>
        </w:rPr>
        <w:t> </w:t>
      </w:r>
      <w:r w:rsidRPr="00740B6D">
        <w:rPr>
          <w:rFonts w:ascii="Arial" w:hAnsi="Arial" w:cs="Arial"/>
        </w:rPr>
        <w:t xml:space="preserve">zakotvených dlouhodobých prioritách rozvoje kraje. Strategie rozvoje Olomouckého kraje na období 2021–2027 reaguje na nové trendy ve vývoji regionální politiky ČR a EU ve vazbě na období 2021+, které reagují především na socioekonomický rozvoj a environmentální aspekt. </w:t>
      </w:r>
    </w:p>
    <w:p w:rsidR="00913960" w:rsidRDefault="00913960" w:rsidP="00913960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740B6D">
        <w:rPr>
          <w:rFonts w:ascii="Arial" w:hAnsi="Arial" w:cs="Arial"/>
        </w:rPr>
        <w:t>Z</w:t>
      </w:r>
      <w:r w:rsidR="00E52949">
        <w:rPr>
          <w:rFonts w:ascii="Arial" w:hAnsi="Arial" w:cs="Arial"/>
        </w:rPr>
        <w:t> </w:t>
      </w:r>
      <w:r w:rsidRPr="00740B6D">
        <w:rPr>
          <w:rFonts w:ascii="Arial" w:hAnsi="Arial" w:cs="Arial"/>
        </w:rPr>
        <w:t>dlouhodobého pohledu je však mnohem důležitější rozvoj území, veřejné správy a poskytování veřejných služeb ve prospěch našich občanů, ať již v městském či venkovském prostředí.</w:t>
      </w:r>
    </w:p>
    <w:p w:rsidR="00913960" w:rsidRDefault="00913960" w:rsidP="00913960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E52949">
        <w:rPr>
          <w:rFonts w:ascii="Arial" w:hAnsi="Arial" w:cs="Arial"/>
        </w:rPr>
        <w:t>Vznikla samostatná priorita „Sport, kultura a cestovní ruch“. Jedná</w:t>
      </w:r>
      <w:r>
        <w:rPr>
          <w:rFonts w:ascii="Arial" w:hAnsi="Arial" w:cs="Arial"/>
        </w:rPr>
        <w:t xml:space="preserve"> se o prioritu, kam směřuje významná podpora ze strany Olomouckého kraje, proto </w:t>
      </w:r>
      <w:r w:rsidRPr="009C2808">
        <w:rPr>
          <w:rFonts w:ascii="Arial" w:hAnsi="Arial" w:cs="Arial"/>
        </w:rPr>
        <w:t>byla pro tyto oblasti vytvořena samostatná priorita. Níže uvádíme nové rozdělení priorit</w:t>
      </w:r>
      <w:r w:rsidR="00E52949" w:rsidRPr="009C2808">
        <w:rPr>
          <w:rFonts w:ascii="Arial" w:hAnsi="Arial" w:cs="Arial"/>
        </w:rPr>
        <w:t xml:space="preserve"> a cílů</w:t>
      </w:r>
      <w:r w:rsidR="00CD0811" w:rsidRPr="009C2808">
        <w:rPr>
          <w:rFonts w:ascii="Arial" w:hAnsi="Arial" w:cs="Arial"/>
        </w:rPr>
        <w:t>.</w:t>
      </w:r>
      <w:r w:rsidR="00841BB6" w:rsidRPr="009C2808">
        <w:rPr>
          <w:rFonts w:ascii="Arial" w:hAnsi="Arial" w:cs="Arial"/>
        </w:rPr>
        <w:t xml:space="preserve"> </w:t>
      </w:r>
      <w:r w:rsidR="00CD0811" w:rsidRPr="009C2808">
        <w:rPr>
          <w:rFonts w:ascii="Arial" w:hAnsi="Arial" w:cs="Arial"/>
          <w:iCs/>
        </w:rPr>
        <w:t>Plné znění Strategie rozvoje územního obvodu Olomouckého kraje je uvedeno v příloze č. 1</w:t>
      </w:r>
      <w:r w:rsidR="009C2808" w:rsidRPr="009C2808">
        <w:rPr>
          <w:rFonts w:ascii="Arial" w:hAnsi="Arial" w:cs="Arial"/>
          <w:iCs/>
        </w:rPr>
        <w:t xml:space="preserve"> (Analytická část) a příloze č. 2 (Návrhová část</w:t>
      </w:r>
      <w:r w:rsidR="00CD0811" w:rsidRPr="009C2808">
        <w:rPr>
          <w:rFonts w:ascii="Arial" w:hAnsi="Arial" w:cs="Arial"/>
          <w:iCs/>
        </w:rPr>
        <w:t xml:space="preserve"> důvodové zprávy</w:t>
      </w:r>
      <w:r w:rsidR="009C2808" w:rsidRPr="009C2808">
        <w:rPr>
          <w:rFonts w:ascii="Arial" w:hAnsi="Arial" w:cs="Arial"/>
          <w:iCs/>
        </w:rPr>
        <w:t>)</w:t>
      </w:r>
      <w:r w:rsidR="00CD0811" w:rsidRPr="009C2808">
        <w:rPr>
          <w:rFonts w:ascii="Arial" w:hAnsi="Arial" w:cs="Arial"/>
          <w:iCs/>
        </w:rPr>
        <w:t>.</w:t>
      </w:r>
      <w:r w:rsidR="00CD0811" w:rsidRPr="009C2808">
        <w:rPr>
          <w:rFonts w:ascii="Arial" w:hAnsi="Arial" w:cs="Arial"/>
        </w:rPr>
        <w:t xml:space="preserve"> Bližší popis priorit a cílů viz </w:t>
      </w:r>
      <w:r w:rsidR="009C2808" w:rsidRPr="009C2808">
        <w:rPr>
          <w:rFonts w:ascii="Arial" w:hAnsi="Arial" w:cs="Arial"/>
        </w:rPr>
        <w:t xml:space="preserve">návrhová část </w:t>
      </w:r>
      <w:r w:rsidR="00CD0811" w:rsidRPr="009C2808">
        <w:rPr>
          <w:rFonts w:ascii="Arial" w:hAnsi="Arial" w:cs="Arial"/>
        </w:rPr>
        <w:t xml:space="preserve">str. </w:t>
      </w:r>
      <w:r w:rsidR="009C2808" w:rsidRPr="009C2808">
        <w:rPr>
          <w:rFonts w:ascii="Arial" w:hAnsi="Arial" w:cs="Arial"/>
        </w:rPr>
        <w:t>19</w:t>
      </w:r>
      <w:r w:rsidR="00CD0811" w:rsidRPr="009C2808">
        <w:rPr>
          <w:rFonts w:ascii="Arial" w:hAnsi="Arial" w:cs="Arial"/>
        </w:rPr>
        <w:t xml:space="preserve"> –</w:t>
      </w:r>
      <w:r w:rsidR="009C2808" w:rsidRPr="009C2808">
        <w:rPr>
          <w:rFonts w:ascii="Arial" w:hAnsi="Arial" w:cs="Arial"/>
        </w:rPr>
        <w:t>73</w:t>
      </w:r>
      <w:r w:rsidR="00CD0811" w:rsidRPr="009C2808">
        <w:rPr>
          <w:rFonts w:ascii="Arial" w:hAnsi="Arial" w:cs="Arial"/>
        </w:rPr>
        <w:t>).</w:t>
      </w:r>
    </w:p>
    <w:p w:rsidR="00913960" w:rsidRDefault="00913960" w:rsidP="00E52949">
      <w:pPr>
        <w:pStyle w:val="Zkladntextodsazen"/>
        <w:numPr>
          <w:ilvl w:val="0"/>
          <w:numId w:val="49"/>
        </w:numPr>
        <w:spacing w:after="120"/>
        <w:rPr>
          <w:rFonts w:ascii="Arial" w:hAnsi="Arial" w:cs="Arial"/>
        </w:rPr>
      </w:pPr>
      <w:r w:rsidRPr="009200EA">
        <w:rPr>
          <w:rFonts w:ascii="Arial" w:hAnsi="Arial" w:cs="Arial"/>
        </w:rPr>
        <w:t>Ekonomika a inovace</w:t>
      </w:r>
    </w:p>
    <w:p w:rsidR="00E52949" w:rsidRPr="00E52949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 xml:space="preserve">A.1 </w:t>
      </w:r>
      <w:r>
        <w:rPr>
          <w:rFonts w:ascii="Arial" w:hAnsi="Arial" w:cs="Arial"/>
        </w:rPr>
        <w:t>Zlepšení podmínek pro podnikání</w:t>
      </w:r>
    </w:p>
    <w:p w:rsidR="00E52949" w:rsidRPr="00E52949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 xml:space="preserve">A.2 Posílení inovačního </w:t>
      </w:r>
      <w:r>
        <w:rPr>
          <w:rFonts w:ascii="Arial" w:hAnsi="Arial" w:cs="Arial"/>
        </w:rPr>
        <w:t>ekosystému a investic</w:t>
      </w:r>
    </w:p>
    <w:p w:rsidR="00E52949" w:rsidRPr="009200EA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>A.3 Rozvoj smart regionu</w:t>
      </w:r>
    </w:p>
    <w:p w:rsidR="00913960" w:rsidRDefault="00913960" w:rsidP="00913960">
      <w:pPr>
        <w:pStyle w:val="Zkladntextodsazen"/>
        <w:spacing w:after="120"/>
        <w:rPr>
          <w:rFonts w:ascii="Arial" w:hAnsi="Arial" w:cs="Arial"/>
        </w:rPr>
      </w:pPr>
      <w:r w:rsidRPr="009200EA">
        <w:rPr>
          <w:rFonts w:ascii="Arial" w:hAnsi="Arial" w:cs="Arial"/>
        </w:rPr>
        <w:t>B. Vzdělávání a zaměstnanost</w:t>
      </w:r>
    </w:p>
    <w:p w:rsidR="00E52949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>B.1 Zajištění kvality vzdělávání a uplatnitelnosti absolventů</w:t>
      </w:r>
    </w:p>
    <w:p w:rsidR="00E52949" w:rsidRPr="009200EA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>B.2 Podpora zaměstnanosti a rovných příležitostí na trhu práce</w:t>
      </w:r>
    </w:p>
    <w:p w:rsidR="00E52949" w:rsidRDefault="00913960" w:rsidP="00E52949">
      <w:pPr>
        <w:pStyle w:val="Zkladntextodsazen"/>
        <w:spacing w:after="120"/>
        <w:rPr>
          <w:rFonts w:ascii="Arial" w:hAnsi="Arial" w:cs="Arial"/>
        </w:rPr>
      </w:pPr>
      <w:r w:rsidRPr="009200EA">
        <w:rPr>
          <w:rFonts w:ascii="Arial" w:hAnsi="Arial" w:cs="Arial"/>
        </w:rPr>
        <w:t>C. Životní prostředí a technická infrastruktura</w:t>
      </w:r>
    </w:p>
    <w:p w:rsidR="00E52949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 xml:space="preserve">C.1 Snižování negativních dopadů lidské činnosti na životní prostředí </w:t>
      </w:r>
    </w:p>
    <w:p w:rsidR="00E52949" w:rsidRPr="00E52949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 xml:space="preserve">C.2 Zavádění prvků cirkulární ekonomiky a zefektivnění odpadového hospodářství </w:t>
      </w:r>
    </w:p>
    <w:p w:rsidR="00E52949" w:rsidRPr="00E52949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 xml:space="preserve">C.3 Zvyšování energetických úspor </w:t>
      </w:r>
    </w:p>
    <w:p w:rsidR="00E52949" w:rsidRPr="00E52949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 xml:space="preserve">C.4 Adaptace na dopady klimatické změny </w:t>
      </w:r>
    </w:p>
    <w:p w:rsidR="00E52949" w:rsidRPr="009200EA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>C.5 Ochrana přírody a péče o krajinu</w:t>
      </w:r>
    </w:p>
    <w:p w:rsidR="00913960" w:rsidRDefault="00913960" w:rsidP="00913960">
      <w:pPr>
        <w:pStyle w:val="Zkladntextodsazen"/>
        <w:spacing w:after="120"/>
        <w:rPr>
          <w:rFonts w:ascii="Arial" w:hAnsi="Arial" w:cs="Arial"/>
        </w:rPr>
      </w:pPr>
      <w:r w:rsidRPr="009200EA">
        <w:rPr>
          <w:rFonts w:ascii="Arial" w:hAnsi="Arial" w:cs="Arial"/>
        </w:rPr>
        <w:t>D. Zdravotnictví a sociální služby</w:t>
      </w:r>
    </w:p>
    <w:p w:rsidR="00E52949" w:rsidRPr="00E52949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 xml:space="preserve">D.1 Optimalizace systému zajišťování zdravotní péče </w:t>
      </w:r>
    </w:p>
    <w:p w:rsidR="00E52949" w:rsidRPr="00E52949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>D.2 Zkvalitňování a rozvoj sítě sociálních služeb</w:t>
      </w:r>
    </w:p>
    <w:p w:rsidR="000758B0" w:rsidRDefault="00E52949" w:rsidP="00CD0811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>D.3 Zmírňování sociálního vyloučení</w:t>
      </w:r>
    </w:p>
    <w:p w:rsidR="00913960" w:rsidRDefault="00913960" w:rsidP="00913960">
      <w:pPr>
        <w:pStyle w:val="Zkladntextodsazen"/>
        <w:spacing w:after="120"/>
        <w:rPr>
          <w:rFonts w:ascii="Arial" w:hAnsi="Arial" w:cs="Arial"/>
        </w:rPr>
      </w:pPr>
      <w:r w:rsidRPr="009200EA">
        <w:rPr>
          <w:rFonts w:ascii="Arial" w:hAnsi="Arial" w:cs="Arial"/>
        </w:rPr>
        <w:t>E. Udržitelná mobilita a dopravní infrastruktura</w:t>
      </w:r>
    </w:p>
    <w:p w:rsidR="00E52949" w:rsidRPr="00E52949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lastRenderedPageBreak/>
        <w:t>E.1 Dobudování a mode</w:t>
      </w:r>
      <w:r>
        <w:rPr>
          <w:rFonts w:ascii="Arial" w:hAnsi="Arial" w:cs="Arial"/>
        </w:rPr>
        <w:t>rnizace silniční infrastruktury</w:t>
      </w:r>
    </w:p>
    <w:p w:rsidR="00E52949" w:rsidRPr="00E52949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 xml:space="preserve">E.2 Rozvoj dalších modů dopravy v návaznosti na rozvoj cestovního ruchu </w:t>
      </w:r>
    </w:p>
    <w:p w:rsidR="00E52949" w:rsidRPr="00E52949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 xml:space="preserve">E.3 Zkvalitnění dopravní obslužnosti území </w:t>
      </w:r>
    </w:p>
    <w:p w:rsidR="00E52949" w:rsidRPr="009200EA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>E.4 Zlepšování podmínek pro nemotorovou dopravu</w:t>
      </w:r>
    </w:p>
    <w:p w:rsidR="00913960" w:rsidRDefault="00913960" w:rsidP="00913960">
      <w:pPr>
        <w:pStyle w:val="Zkladntextodsazen"/>
        <w:spacing w:after="120"/>
        <w:rPr>
          <w:rFonts w:ascii="Arial" w:hAnsi="Arial" w:cs="Arial"/>
        </w:rPr>
      </w:pPr>
      <w:r w:rsidRPr="009200EA">
        <w:rPr>
          <w:rFonts w:ascii="Arial" w:hAnsi="Arial" w:cs="Arial"/>
        </w:rPr>
        <w:t>F. Sport, kultura a cestovní ruch</w:t>
      </w:r>
    </w:p>
    <w:p w:rsidR="00E52949" w:rsidRPr="00E52949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 xml:space="preserve">F.1 Zlepšování podmínek pro kulturní, sportovní a volnočasové aktivity </w:t>
      </w:r>
    </w:p>
    <w:p w:rsidR="00E52949" w:rsidRPr="00E52949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 xml:space="preserve">F.2 Péče o kulturní dědictví </w:t>
      </w:r>
    </w:p>
    <w:p w:rsidR="00E52949" w:rsidRPr="009200EA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>F.3 Rozvoj cestovního ruchu</w:t>
      </w:r>
    </w:p>
    <w:p w:rsidR="00913960" w:rsidRDefault="00913960" w:rsidP="00913960">
      <w:pPr>
        <w:pStyle w:val="Zkladntextodsazen"/>
        <w:spacing w:after="120"/>
        <w:ind w:left="357"/>
        <w:rPr>
          <w:rFonts w:ascii="Arial" w:hAnsi="Arial" w:cs="Arial"/>
        </w:rPr>
      </w:pPr>
      <w:r w:rsidRPr="009200EA">
        <w:rPr>
          <w:rFonts w:ascii="Arial" w:hAnsi="Arial" w:cs="Arial"/>
        </w:rPr>
        <w:t>G. Veřejná správa, řízení rozvoje a bezpečnost</w:t>
      </w:r>
    </w:p>
    <w:p w:rsidR="00E52949" w:rsidRPr="00E52949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 xml:space="preserve">G.1 Efektivní fungování krajského úřadu a organizací zřizovaných krajem </w:t>
      </w:r>
    </w:p>
    <w:p w:rsidR="00E52949" w:rsidRPr="00E52949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 xml:space="preserve">G.2 Plánování a řízení rozvoje kraje </w:t>
      </w:r>
    </w:p>
    <w:p w:rsidR="00E52949" w:rsidRPr="00E52949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 xml:space="preserve">G.3 Rozvojová spolupráce </w:t>
      </w:r>
    </w:p>
    <w:p w:rsidR="00E52949" w:rsidRDefault="00E52949" w:rsidP="00E52949">
      <w:pPr>
        <w:pStyle w:val="Zkladntextodsazen"/>
        <w:spacing w:after="120"/>
        <w:ind w:left="720"/>
        <w:rPr>
          <w:rFonts w:ascii="Arial" w:hAnsi="Arial" w:cs="Arial"/>
        </w:rPr>
      </w:pPr>
      <w:r w:rsidRPr="00E52949">
        <w:rPr>
          <w:rFonts w:ascii="Arial" w:hAnsi="Arial" w:cs="Arial"/>
        </w:rPr>
        <w:t>G.4 Rozvoj krizového řízení a integrovaného záchranného systému</w:t>
      </w:r>
    </w:p>
    <w:p w:rsidR="00BE69A7" w:rsidRDefault="00BE69A7" w:rsidP="00BE69A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341AC6">
        <w:rPr>
          <w:rFonts w:ascii="Arial" w:hAnsi="Arial" w:cs="Arial"/>
          <w:b/>
        </w:rPr>
        <w:t>Vlajkové projekty</w:t>
      </w:r>
      <w:r>
        <w:rPr>
          <w:rFonts w:ascii="Arial" w:hAnsi="Arial" w:cs="Arial"/>
        </w:rPr>
        <w:t>:</w:t>
      </w:r>
    </w:p>
    <w:p w:rsidR="00BE69A7" w:rsidRPr="009C2808" w:rsidRDefault="00BE69A7" w:rsidP="00BE69A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Nově jsou ve strategii vydefinované tzv. v</w:t>
      </w:r>
      <w:r w:rsidRPr="00341AC6">
        <w:rPr>
          <w:rFonts w:ascii="Arial" w:hAnsi="Arial" w:cs="Arial"/>
        </w:rPr>
        <w:t>lajkové projekty</w:t>
      </w:r>
      <w:r>
        <w:rPr>
          <w:rFonts w:ascii="Arial" w:hAnsi="Arial" w:cs="Arial"/>
        </w:rPr>
        <w:t>. Jedná se o projekty, jejichž realizace by měla přinést pozitivní posun regionu</w:t>
      </w:r>
      <w:r w:rsidRPr="00EB7443">
        <w:rPr>
          <w:rFonts w:ascii="Arial" w:hAnsi="Arial" w:cs="Arial"/>
        </w:rPr>
        <w:t xml:space="preserve">. </w:t>
      </w:r>
      <w:r w:rsidR="00841BB6" w:rsidRPr="00EB7443">
        <w:rPr>
          <w:rFonts w:ascii="Arial" w:hAnsi="Arial" w:cs="Arial"/>
        </w:rPr>
        <w:t xml:space="preserve">Jedná se o dlouhodobé projekty, které </w:t>
      </w:r>
      <w:r w:rsidR="008756F0" w:rsidRPr="00EB7443">
        <w:rPr>
          <w:rFonts w:ascii="Arial" w:hAnsi="Arial" w:cs="Arial"/>
        </w:rPr>
        <w:t xml:space="preserve">vznikly dohodou s partnery v území. Jejich účelem je zaměřit se na místa, kde Olomoucký kraj a jeho partneři cítí největší potenciál pozitivně ovlivnit vývoj v kraji. Nemusí se vždy jednat o náročné projekty, ale spíše o projekty, kde má veřejná správa kompetence, nebo kde může pomoci koordinací místních aktérů. </w:t>
      </w:r>
      <w:r w:rsidR="00EB7443" w:rsidRPr="00EB7443">
        <w:rPr>
          <w:rFonts w:ascii="Arial" w:hAnsi="Arial" w:cs="Arial"/>
        </w:rPr>
        <w:t xml:space="preserve">Od Olomouckého </w:t>
      </w:r>
      <w:r w:rsidR="00EB7443" w:rsidRPr="009C2808">
        <w:rPr>
          <w:rFonts w:ascii="Arial" w:hAnsi="Arial" w:cs="Arial"/>
        </w:rPr>
        <w:t xml:space="preserve">kraje se očekává, že se bude v projektech aktivně angažovat, dále podporovat a koordinovat aktivity v území. V případě, že se koncept vlajkových projektů osvědčí, může být v rámci aktualizace v polovině období seznam projektů upraven. </w:t>
      </w:r>
      <w:r w:rsidR="00CD0811" w:rsidRPr="009C2808">
        <w:rPr>
          <w:rFonts w:ascii="Arial" w:hAnsi="Arial" w:cs="Arial"/>
        </w:rPr>
        <w:t>(bli</w:t>
      </w:r>
      <w:r w:rsidR="00841BB6" w:rsidRPr="009C2808">
        <w:rPr>
          <w:rFonts w:ascii="Arial" w:hAnsi="Arial" w:cs="Arial"/>
        </w:rPr>
        <w:t xml:space="preserve">žší popis v příloze č. </w:t>
      </w:r>
      <w:r w:rsidR="009C2808" w:rsidRPr="009C2808">
        <w:rPr>
          <w:rFonts w:ascii="Arial" w:hAnsi="Arial" w:cs="Arial"/>
        </w:rPr>
        <w:t>2</w:t>
      </w:r>
      <w:r w:rsidR="00841BB6" w:rsidRPr="009C2808">
        <w:rPr>
          <w:rFonts w:ascii="Arial" w:hAnsi="Arial" w:cs="Arial"/>
        </w:rPr>
        <w:t xml:space="preserve">, str. </w:t>
      </w:r>
      <w:r w:rsidR="009C2808" w:rsidRPr="009C2808">
        <w:rPr>
          <w:rFonts w:ascii="Arial" w:hAnsi="Arial" w:cs="Arial"/>
        </w:rPr>
        <w:t>13 – 16</w:t>
      </w:r>
      <w:r w:rsidR="00841BB6" w:rsidRPr="009C2808">
        <w:rPr>
          <w:rFonts w:ascii="Arial" w:hAnsi="Arial" w:cs="Arial"/>
        </w:rPr>
        <w:t>)</w:t>
      </w:r>
      <w:r w:rsidRPr="009C2808">
        <w:rPr>
          <w:rFonts w:ascii="Arial" w:hAnsi="Arial" w:cs="Arial"/>
        </w:rPr>
        <w:t>.</w:t>
      </w:r>
    </w:p>
    <w:p w:rsidR="00BE69A7" w:rsidRPr="009C2808" w:rsidRDefault="00BE69A7" w:rsidP="00BE69A7">
      <w:pPr>
        <w:pStyle w:val="Zkladntextodsazen"/>
        <w:spacing w:after="120"/>
        <w:rPr>
          <w:rFonts w:ascii="Arial" w:hAnsi="Arial" w:cs="Arial"/>
        </w:rPr>
      </w:pPr>
      <w:r w:rsidRPr="009C2808">
        <w:rPr>
          <w:rFonts w:ascii="Arial" w:hAnsi="Arial" w:cs="Arial"/>
        </w:rPr>
        <w:t>Lepší image Olomouckého kraje</w:t>
      </w:r>
    </w:p>
    <w:p w:rsidR="00BE69A7" w:rsidRPr="00341AC6" w:rsidRDefault="00BE69A7" w:rsidP="00BE69A7">
      <w:pPr>
        <w:pStyle w:val="Zkladntextodsazen"/>
        <w:spacing w:after="120"/>
        <w:rPr>
          <w:rFonts w:ascii="Arial" w:hAnsi="Arial" w:cs="Arial"/>
        </w:rPr>
      </w:pPr>
      <w:r w:rsidRPr="009C2808">
        <w:rPr>
          <w:rFonts w:ascii="Arial" w:hAnsi="Arial" w:cs="Arial"/>
        </w:rPr>
        <w:t>Restart Jesenicka a Šumperska</w:t>
      </w:r>
    </w:p>
    <w:p w:rsidR="00BE69A7" w:rsidRPr="00341AC6" w:rsidRDefault="00BE69A7" w:rsidP="00BE69A7">
      <w:pPr>
        <w:pStyle w:val="Zkladntextodsazen"/>
        <w:spacing w:after="120"/>
        <w:rPr>
          <w:rFonts w:ascii="Arial" w:hAnsi="Arial" w:cs="Arial"/>
        </w:rPr>
      </w:pPr>
      <w:r w:rsidRPr="00341AC6">
        <w:rPr>
          <w:rFonts w:ascii="Arial" w:hAnsi="Arial" w:cs="Arial"/>
        </w:rPr>
        <w:t xml:space="preserve">Rozvoj inovačního ekosystému </w:t>
      </w:r>
      <w:r w:rsidR="00547E46">
        <w:rPr>
          <w:rFonts w:ascii="Arial" w:hAnsi="Arial" w:cs="Arial"/>
        </w:rPr>
        <w:t>a chytrého regionu</w:t>
      </w:r>
    </w:p>
    <w:p w:rsidR="00BD306B" w:rsidRPr="00BD306B" w:rsidRDefault="00BD306B" w:rsidP="00BE69A7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Implementace</w:t>
      </w:r>
    </w:p>
    <w:p w:rsidR="00BE69A7" w:rsidRDefault="00BE69A7" w:rsidP="00BE69A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</w:t>
      </w:r>
      <w:r w:rsidR="00BD306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vlajkových projektů bude samostatně sledována a kraj bude spolupracovat s partnery v území. Ke koordinaci a řízení vznikne </w:t>
      </w:r>
      <w:r w:rsidRPr="00650D2B">
        <w:rPr>
          <w:rFonts w:ascii="Arial" w:hAnsi="Arial" w:cs="Arial"/>
          <w:b/>
        </w:rPr>
        <w:t>Pracovní skupina pro implementaci Strategie</w:t>
      </w:r>
      <w:r>
        <w:rPr>
          <w:rFonts w:ascii="Arial" w:hAnsi="Arial" w:cs="Arial"/>
        </w:rPr>
        <w:t xml:space="preserve">. Pracovní skupina pro implementaci vznikne na základě partnerského přístupu. Mimo samotné pracovní skupiny pro implementaci mohou vznikat (a zanikat) i tematické pracovní skupiny, např. pro sledování plnění vlajkových projektů. </w:t>
      </w:r>
    </w:p>
    <w:p w:rsidR="00BE69A7" w:rsidRDefault="00BE69A7" w:rsidP="00BE69A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Také návrh implementace zohlednil stávající praxi, kdy existuje Tříletý akční plán, který obsahuje významné aktivity a není připravován detailní roční akční plán všech aktivit Olomouckého kraje.</w:t>
      </w:r>
      <w:r w:rsidR="001B5C5C">
        <w:rPr>
          <w:rFonts w:ascii="Arial" w:hAnsi="Arial" w:cs="Arial"/>
        </w:rPr>
        <w:t xml:space="preserve"> </w:t>
      </w:r>
      <w:r w:rsidR="001B5C5C" w:rsidRPr="001B5C5C">
        <w:rPr>
          <w:rFonts w:ascii="Arial" w:hAnsi="Arial" w:cs="Arial"/>
        </w:rPr>
        <w:t>Strategické plánování je obsaženo ve směrnici R</w:t>
      </w:r>
      <w:r w:rsidR="001B5C5C">
        <w:rPr>
          <w:rFonts w:ascii="Arial" w:hAnsi="Arial" w:cs="Arial"/>
        </w:rPr>
        <w:t xml:space="preserve">ady Olomouckého kraje Zásady řízení </w:t>
      </w:r>
      <w:r w:rsidR="001B5C5C" w:rsidRPr="001B5C5C">
        <w:rPr>
          <w:rFonts w:ascii="Arial" w:hAnsi="Arial" w:cs="Arial"/>
        </w:rPr>
        <w:t xml:space="preserve">PO a vnitřním předpisem </w:t>
      </w:r>
      <w:r w:rsidR="001B5C5C">
        <w:rPr>
          <w:rFonts w:ascii="Arial" w:hAnsi="Arial" w:cs="Arial"/>
        </w:rPr>
        <w:t xml:space="preserve">krajského úřadu </w:t>
      </w:r>
      <w:r w:rsidR="001B5C5C" w:rsidRPr="001B5C5C">
        <w:rPr>
          <w:rFonts w:ascii="Arial" w:hAnsi="Arial" w:cs="Arial"/>
        </w:rPr>
        <w:t>Strategické plánování a projektové řízení Olomouckého kraje</w:t>
      </w:r>
      <w:r w:rsidR="001B5C5C">
        <w:rPr>
          <w:rFonts w:ascii="Arial" w:hAnsi="Arial" w:cs="Arial"/>
        </w:rPr>
        <w:t>, který bude také aktualizován</w:t>
      </w:r>
      <w:r w:rsidR="001B5C5C" w:rsidRPr="001B5C5C">
        <w:rPr>
          <w:rFonts w:ascii="Arial" w:hAnsi="Arial" w:cs="Arial"/>
        </w:rPr>
        <w:t>.</w:t>
      </w:r>
    </w:p>
    <w:p w:rsidR="00BE69A7" w:rsidRDefault="00BE69A7" w:rsidP="00BE69A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Nově strategie obsahuje </w:t>
      </w:r>
      <w:r w:rsidR="002722EC">
        <w:rPr>
          <w:rFonts w:ascii="Arial" w:hAnsi="Arial" w:cs="Arial"/>
        </w:rPr>
        <w:t>také</w:t>
      </w:r>
      <w:r>
        <w:rPr>
          <w:rFonts w:ascii="Arial" w:hAnsi="Arial" w:cs="Arial"/>
        </w:rPr>
        <w:t xml:space="preserve"> </w:t>
      </w:r>
      <w:r w:rsidRPr="002A75D6">
        <w:rPr>
          <w:rFonts w:ascii="Arial" w:hAnsi="Arial" w:cs="Arial"/>
          <w:b/>
        </w:rPr>
        <w:t>indikátory</w:t>
      </w:r>
      <w:r>
        <w:rPr>
          <w:rFonts w:ascii="Arial" w:hAnsi="Arial" w:cs="Arial"/>
        </w:rPr>
        <w:t>, kterými bude monitorován rozvoj kraje. Zde jsme vycházeli z indikátorů, které jsou stanoveny pro monitorování Strategie regionálního rozvoje ČR 2021 – 2027.</w:t>
      </w:r>
      <w:r w:rsidR="001B5C5C">
        <w:rPr>
          <w:rFonts w:ascii="Arial" w:hAnsi="Arial" w:cs="Arial"/>
        </w:rPr>
        <w:t xml:space="preserve"> Dle zákona o podpoře regionálního rozvoje je časově sjednoceno i vyhodnocování strategií na národní a krajské úrovni, což nám umožní využít monitorování indikátorů ze strany Ministerstva pro místní rozvoj.</w:t>
      </w:r>
    </w:p>
    <w:p w:rsidR="00547E46" w:rsidRDefault="00547E46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</w:rPr>
        <w:br w:type="page"/>
      </w:r>
    </w:p>
    <w:p w:rsidR="00074314" w:rsidRPr="00074314" w:rsidRDefault="00BD306B" w:rsidP="00BE757A">
      <w:pPr>
        <w:pStyle w:val="Zkladntextodsazen"/>
        <w:spacing w:after="120"/>
        <w:ind w:left="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Partnerský přístup</w:t>
      </w:r>
    </w:p>
    <w:p w:rsidR="00482A60" w:rsidRDefault="00261F3F" w:rsidP="00BE757A">
      <w:pPr>
        <w:pStyle w:val="Zkladntextodsazen"/>
        <w:spacing w:after="120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Dokument byl zpracováván v </w:t>
      </w:r>
      <w:r w:rsidR="00482A60">
        <w:rPr>
          <w:rFonts w:ascii="Arial" w:hAnsi="Arial" w:cs="Arial"/>
          <w:iCs/>
        </w:rPr>
        <w:t xml:space="preserve">období srpen </w:t>
      </w:r>
      <w:r>
        <w:rPr>
          <w:rFonts w:ascii="Arial" w:hAnsi="Arial" w:cs="Arial"/>
          <w:iCs/>
        </w:rPr>
        <w:t xml:space="preserve">2019 </w:t>
      </w:r>
      <w:r w:rsidR="00482A60">
        <w:rPr>
          <w:rFonts w:ascii="Arial" w:hAnsi="Arial" w:cs="Arial"/>
          <w:iCs/>
        </w:rPr>
        <w:t xml:space="preserve">až </w:t>
      </w:r>
      <w:r>
        <w:rPr>
          <w:rFonts w:ascii="Arial" w:hAnsi="Arial" w:cs="Arial"/>
          <w:iCs/>
        </w:rPr>
        <w:t>červenec</w:t>
      </w:r>
      <w:r w:rsidR="00482A60">
        <w:rPr>
          <w:rFonts w:ascii="Arial" w:hAnsi="Arial" w:cs="Arial"/>
          <w:iCs/>
        </w:rPr>
        <w:t xml:space="preserve"> 20</w:t>
      </w:r>
      <w:r>
        <w:rPr>
          <w:rFonts w:ascii="Arial" w:hAnsi="Arial" w:cs="Arial"/>
          <w:iCs/>
        </w:rPr>
        <w:t>20</w:t>
      </w:r>
      <w:r w:rsidR="00482A60">
        <w:rPr>
          <w:rFonts w:ascii="Arial" w:hAnsi="Arial" w:cs="Arial"/>
          <w:iCs/>
        </w:rPr>
        <w:t>. Podkladem</w:t>
      </w:r>
      <w:r>
        <w:rPr>
          <w:rFonts w:ascii="Arial" w:hAnsi="Arial" w:cs="Arial"/>
          <w:iCs/>
        </w:rPr>
        <w:t xml:space="preserve"> analytické části </w:t>
      </w:r>
      <w:r w:rsidR="00482A60">
        <w:rPr>
          <w:rFonts w:ascii="Arial" w:hAnsi="Arial" w:cs="Arial"/>
          <w:iCs/>
        </w:rPr>
        <w:t xml:space="preserve">byla statistická data, dále pak hodnocení expertů </w:t>
      </w:r>
      <w:r w:rsidR="008B4D7D">
        <w:rPr>
          <w:rFonts w:ascii="Arial" w:hAnsi="Arial" w:cs="Arial"/>
          <w:iCs/>
        </w:rPr>
        <w:t>zpracovatele</w:t>
      </w:r>
      <w:r w:rsidR="00482A60">
        <w:rPr>
          <w:rFonts w:ascii="Arial" w:hAnsi="Arial" w:cs="Arial"/>
          <w:iCs/>
        </w:rPr>
        <w:t xml:space="preserve"> a v neposlední řadě se jednalo o strukturované rozhovory s vedoucími odborů Krajského úřadu Olomouckého kraje. Jednalo se o všechny odbory krajského úřadu (mimo odborů o</w:t>
      </w:r>
      <w:r w:rsidR="00482A60" w:rsidRPr="0082139A">
        <w:rPr>
          <w:rFonts w:ascii="Arial" w:hAnsi="Arial" w:cs="Arial"/>
          <w:iCs/>
        </w:rPr>
        <w:t>dbor</w:t>
      </w:r>
      <w:r w:rsidR="00482A60">
        <w:rPr>
          <w:rFonts w:ascii="Arial" w:hAnsi="Arial" w:cs="Arial"/>
          <w:iCs/>
        </w:rPr>
        <w:t>u</w:t>
      </w:r>
      <w:r w:rsidR="00482A60" w:rsidRPr="0082139A">
        <w:rPr>
          <w:rFonts w:ascii="Arial" w:hAnsi="Arial" w:cs="Arial"/>
          <w:iCs/>
        </w:rPr>
        <w:t xml:space="preserve"> kontroly</w:t>
      </w:r>
      <w:r w:rsidR="00482A60">
        <w:rPr>
          <w:rFonts w:ascii="Arial" w:hAnsi="Arial" w:cs="Arial"/>
          <w:iCs/>
        </w:rPr>
        <w:t>, o</w:t>
      </w:r>
      <w:r w:rsidR="00482A60" w:rsidRPr="0082139A">
        <w:rPr>
          <w:rFonts w:ascii="Arial" w:hAnsi="Arial" w:cs="Arial"/>
          <w:iCs/>
        </w:rPr>
        <w:t>dbor</w:t>
      </w:r>
      <w:r w:rsidR="00482A60">
        <w:rPr>
          <w:rFonts w:ascii="Arial" w:hAnsi="Arial" w:cs="Arial"/>
          <w:iCs/>
        </w:rPr>
        <w:t>u majetkového</w:t>
      </w:r>
      <w:r w:rsidR="00482A60" w:rsidRPr="0082139A">
        <w:rPr>
          <w:rFonts w:ascii="Arial" w:hAnsi="Arial" w:cs="Arial"/>
          <w:iCs/>
        </w:rPr>
        <w:t>, právní</w:t>
      </w:r>
      <w:r w:rsidR="00482A60">
        <w:rPr>
          <w:rFonts w:ascii="Arial" w:hAnsi="Arial" w:cs="Arial"/>
          <w:iCs/>
        </w:rPr>
        <w:t>ho</w:t>
      </w:r>
      <w:r w:rsidR="00482A60" w:rsidRPr="0082139A">
        <w:rPr>
          <w:rFonts w:ascii="Arial" w:hAnsi="Arial" w:cs="Arial"/>
          <w:iCs/>
        </w:rPr>
        <w:t xml:space="preserve"> a správních činností</w:t>
      </w:r>
      <w:r w:rsidR="00482A60">
        <w:rPr>
          <w:rFonts w:ascii="Arial" w:hAnsi="Arial" w:cs="Arial"/>
          <w:iCs/>
        </w:rPr>
        <w:t xml:space="preserve"> a ú</w:t>
      </w:r>
      <w:r w:rsidR="00482A60" w:rsidRPr="0082139A">
        <w:rPr>
          <w:rFonts w:ascii="Arial" w:hAnsi="Arial" w:cs="Arial"/>
          <w:iCs/>
        </w:rPr>
        <w:t>tvar</w:t>
      </w:r>
      <w:r w:rsidR="00482A60">
        <w:rPr>
          <w:rFonts w:ascii="Arial" w:hAnsi="Arial" w:cs="Arial"/>
          <w:iCs/>
        </w:rPr>
        <w:t>u</w:t>
      </w:r>
      <w:r w:rsidR="00482A60" w:rsidRPr="0082139A">
        <w:rPr>
          <w:rFonts w:ascii="Arial" w:hAnsi="Arial" w:cs="Arial"/>
          <w:iCs/>
        </w:rPr>
        <w:t xml:space="preserve"> interního auditu</w:t>
      </w:r>
      <w:r w:rsidR="00482A60">
        <w:rPr>
          <w:rFonts w:ascii="Arial" w:hAnsi="Arial" w:cs="Arial"/>
          <w:iCs/>
        </w:rPr>
        <w:t>). Analytická část obsahuje i tzv. SWOT analýzu, jež shrnuje hlavní závěry pro formulaci cílů v návrhové části.</w:t>
      </w:r>
    </w:p>
    <w:p w:rsidR="00E21386" w:rsidRDefault="008B4D7D" w:rsidP="00BE757A">
      <w:pPr>
        <w:pStyle w:val="Zkladntextodsazen"/>
        <w:spacing w:after="120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Návrhová část byla souběžně zpracovávána o</w:t>
      </w:r>
      <w:r w:rsidR="00482A60">
        <w:rPr>
          <w:rFonts w:ascii="Arial" w:hAnsi="Arial" w:cs="Arial"/>
          <w:iCs/>
        </w:rPr>
        <w:t>d října 2019, i některé otázky strukturovaných rozhovorů s vedoucími odborů byly na tuto oblast zaměřeny.</w:t>
      </w:r>
      <w:r w:rsidR="00E21386">
        <w:rPr>
          <w:rFonts w:ascii="Arial" w:hAnsi="Arial" w:cs="Arial"/>
          <w:iCs/>
        </w:rPr>
        <w:t xml:space="preserve"> </w:t>
      </w:r>
      <w:r w:rsidR="000C58F0">
        <w:rPr>
          <w:rFonts w:ascii="Arial" w:hAnsi="Arial" w:cs="Arial"/>
          <w:iCs/>
        </w:rPr>
        <w:t xml:space="preserve">S ohledem na pandemii COVID-19 bylo </w:t>
      </w:r>
      <w:r w:rsidR="00E21386">
        <w:rPr>
          <w:rFonts w:ascii="Arial" w:hAnsi="Arial" w:cs="Arial"/>
          <w:iCs/>
        </w:rPr>
        <w:t>nakonec upuštěno od uskutečnění Strategického workshopu, také se neuskutečnila některá setkání, kde jsme chtěli návrhovou část diskutovat, jako např. setkání regionalistů obcí s rozšířenou působností nebo setkání mikroregionů.</w:t>
      </w:r>
    </w:p>
    <w:p w:rsidR="0056056B" w:rsidRDefault="00E21386" w:rsidP="00BE757A">
      <w:pPr>
        <w:pStyle w:val="Zkladntextodsazen"/>
        <w:spacing w:after="120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Klíčovými pro přípravu strategie se stala jednání expertních pracovních skupin. </w:t>
      </w:r>
      <w:r w:rsidR="00163B47">
        <w:rPr>
          <w:rFonts w:ascii="Arial" w:hAnsi="Arial" w:cs="Arial"/>
          <w:iCs/>
        </w:rPr>
        <w:t>E</w:t>
      </w:r>
      <w:r w:rsidR="0082139A">
        <w:rPr>
          <w:rFonts w:ascii="Arial" w:hAnsi="Arial" w:cs="Arial"/>
          <w:iCs/>
        </w:rPr>
        <w:t>xpertní</w:t>
      </w:r>
      <w:r>
        <w:rPr>
          <w:rFonts w:ascii="Arial" w:hAnsi="Arial" w:cs="Arial"/>
          <w:iCs/>
        </w:rPr>
        <w:t>ch</w:t>
      </w:r>
      <w:r w:rsidR="0082139A">
        <w:rPr>
          <w:rFonts w:ascii="Arial" w:hAnsi="Arial" w:cs="Arial"/>
          <w:iCs/>
        </w:rPr>
        <w:t xml:space="preserve"> pracovní</w:t>
      </w:r>
      <w:r>
        <w:rPr>
          <w:rFonts w:ascii="Arial" w:hAnsi="Arial" w:cs="Arial"/>
          <w:iCs/>
        </w:rPr>
        <w:t>ch</w:t>
      </w:r>
      <w:r w:rsidR="0082139A">
        <w:rPr>
          <w:rFonts w:ascii="Arial" w:hAnsi="Arial" w:cs="Arial"/>
          <w:iCs/>
        </w:rPr>
        <w:t xml:space="preserve"> skupin </w:t>
      </w:r>
      <w:r w:rsidR="00163B47">
        <w:rPr>
          <w:rFonts w:ascii="Arial" w:hAnsi="Arial" w:cs="Arial"/>
          <w:iCs/>
        </w:rPr>
        <w:t>se</w:t>
      </w:r>
      <w:r w:rsidR="00C112C3">
        <w:rPr>
          <w:rFonts w:ascii="Arial" w:hAnsi="Arial" w:cs="Arial"/>
          <w:iCs/>
        </w:rPr>
        <w:t xml:space="preserve"> </w:t>
      </w:r>
      <w:r w:rsidR="0082139A">
        <w:rPr>
          <w:rFonts w:ascii="Arial" w:hAnsi="Arial" w:cs="Arial"/>
          <w:iCs/>
        </w:rPr>
        <w:t>i nadále účastnily vybrané odbory</w:t>
      </w:r>
      <w:r w:rsidR="00C112C3">
        <w:rPr>
          <w:rFonts w:ascii="Arial" w:hAnsi="Arial" w:cs="Arial"/>
          <w:iCs/>
        </w:rPr>
        <w:t xml:space="preserve"> a byly přizváni i zástupci významných subjektů v území kraje</w:t>
      </w:r>
      <w:r w:rsidR="0082139A">
        <w:rPr>
          <w:rFonts w:ascii="Arial" w:hAnsi="Arial" w:cs="Arial"/>
          <w:iCs/>
        </w:rPr>
        <w:t xml:space="preserve">. Celkem se uskutečnily dvě </w:t>
      </w:r>
      <w:r w:rsidR="00CE7EB1">
        <w:rPr>
          <w:rFonts w:ascii="Arial" w:hAnsi="Arial" w:cs="Arial"/>
          <w:iCs/>
        </w:rPr>
        <w:t xml:space="preserve">kola </w:t>
      </w:r>
      <w:r w:rsidR="0082139A">
        <w:rPr>
          <w:rFonts w:ascii="Arial" w:hAnsi="Arial" w:cs="Arial"/>
          <w:iCs/>
        </w:rPr>
        <w:t>jednání expertních pracov</w:t>
      </w:r>
      <w:r w:rsidR="005044AC">
        <w:rPr>
          <w:rFonts w:ascii="Arial" w:hAnsi="Arial" w:cs="Arial"/>
          <w:iCs/>
        </w:rPr>
        <w:t xml:space="preserve">ních skupin. </w:t>
      </w:r>
      <w:r w:rsidR="00C112C3">
        <w:rPr>
          <w:rFonts w:ascii="Arial" w:hAnsi="Arial" w:cs="Arial"/>
          <w:iCs/>
        </w:rPr>
        <w:t xml:space="preserve">S ohledem na pandemickou situaci se druhé kolo uskutečnilo on-line. </w:t>
      </w:r>
      <w:r w:rsidR="005044AC">
        <w:rPr>
          <w:rFonts w:ascii="Arial" w:hAnsi="Arial" w:cs="Arial"/>
          <w:iCs/>
        </w:rPr>
        <w:t>Se zájemci pak byla vedena</w:t>
      </w:r>
      <w:r w:rsidR="0082139A">
        <w:rPr>
          <w:rFonts w:ascii="Arial" w:hAnsi="Arial" w:cs="Arial"/>
          <w:iCs/>
        </w:rPr>
        <w:t xml:space="preserve"> </w:t>
      </w:r>
      <w:r w:rsidR="00163B47">
        <w:rPr>
          <w:rFonts w:ascii="Arial" w:hAnsi="Arial" w:cs="Arial"/>
          <w:iCs/>
        </w:rPr>
        <w:t>dále</w:t>
      </w:r>
      <w:r w:rsidR="0082139A">
        <w:rPr>
          <w:rFonts w:ascii="Arial" w:hAnsi="Arial" w:cs="Arial"/>
          <w:iCs/>
        </w:rPr>
        <w:t xml:space="preserve"> samostatná jednání k upřesnění návrhové části. </w:t>
      </w:r>
      <w:r w:rsidR="005044AC">
        <w:rPr>
          <w:rFonts w:ascii="Arial" w:hAnsi="Arial" w:cs="Arial"/>
          <w:iCs/>
        </w:rPr>
        <w:t xml:space="preserve">Mimo krajský úřad se jednalo například o </w:t>
      </w:r>
      <w:r w:rsidR="0082139A">
        <w:rPr>
          <w:rFonts w:ascii="Arial" w:hAnsi="Arial" w:cs="Arial"/>
          <w:iCs/>
        </w:rPr>
        <w:t>Statutá</w:t>
      </w:r>
      <w:r w:rsidR="00E137D0">
        <w:rPr>
          <w:rFonts w:ascii="Arial" w:hAnsi="Arial" w:cs="Arial"/>
          <w:iCs/>
        </w:rPr>
        <w:t>rní město Olomouc, RIS3 manažer</w:t>
      </w:r>
      <w:r w:rsidR="00070545">
        <w:rPr>
          <w:rFonts w:ascii="Arial" w:hAnsi="Arial" w:cs="Arial"/>
          <w:iCs/>
        </w:rPr>
        <w:t>a</w:t>
      </w:r>
      <w:r w:rsidR="0082139A">
        <w:rPr>
          <w:rFonts w:ascii="Arial" w:hAnsi="Arial" w:cs="Arial"/>
          <w:iCs/>
        </w:rPr>
        <w:t xml:space="preserve">, </w:t>
      </w:r>
      <w:r w:rsidR="00E137D0">
        <w:rPr>
          <w:rFonts w:ascii="Arial" w:hAnsi="Arial" w:cs="Arial"/>
          <w:iCs/>
        </w:rPr>
        <w:t>CzechInvest</w:t>
      </w:r>
      <w:r w:rsidR="004C60CF">
        <w:rPr>
          <w:rFonts w:ascii="Arial" w:hAnsi="Arial" w:cs="Arial"/>
          <w:iCs/>
        </w:rPr>
        <w:t xml:space="preserve">, </w:t>
      </w:r>
      <w:r w:rsidR="0082139A" w:rsidRPr="0082139A">
        <w:rPr>
          <w:rFonts w:ascii="Arial" w:hAnsi="Arial" w:cs="Arial"/>
          <w:iCs/>
        </w:rPr>
        <w:t>A</w:t>
      </w:r>
      <w:r w:rsidR="0082139A">
        <w:rPr>
          <w:rFonts w:ascii="Arial" w:hAnsi="Arial" w:cs="Arial"/>
          <w:iCs/>
        </w:rPr>
        <w:t>gentur</w:t>
      </w:r>
      <w:r w:rsidR="00070545">
        <w:rPr>
          <w:rFonts w:ascii="Arial" w:hAnsi="Arial" w:cs="Arial"/>
          <w:iCs/>
        </w:rPr>
        <w:t>u</w:t>
      </w:r>
      <w:r w:rsidR="0082139A">
        <w:rPr>
          <w:rFonts w:ascii="Arial" w:hAnsi="Arial" w:cs="Arial"/>
          <w:iCs/>
        </w:rPr>
        <w:t xml:space="preserve"> </w:t>
      </w:r>
      <w:r w:rsidR="004C60CF">
        <w:rPr>
          <w:rFonts w:ascii="Arial" w:hAnsi="Arial" w:cs="Arial"/>
          <w:iCs/>
        </w:rPr>
        <w:t>ochrany přírody a krajiny</w:t>
      </w:r>
      <w:r w:rsidR="0082139A" w:rsidRPr="0082139A">
        <w:rPr>
          <w:rFonts w:ascii="Arial" w:hAnsi="Arial" w:cs="Arial"/>
          <w:iCs/>
        </w:rPr>
        <w:t xml:space="preserve"> ČR</w:t>
      </w:r>
      <w:r w:rsidR="004C60CF">
        <w:rPr>
          <w:rFonts w:ascii="Arial" w:hAnsi="Arial" w:cs="Arial"/>
          <w:iCs/>
        </w:rPr>
        <w:t xml:space="preserve"> a další.</w:t>
      </w:r>
      <w:r w:rsidR="003153C5">
        <w:rPr>
          <w:rFonts w:ascii="Arial" w:hAnsi="Arial" w:cs="Arial"/>
          <w:iCs/>
        </w:rPr>
        <w:t xml:space="preserve"> Zástupcům expertních pracovních skupin bude také nabídnuto zapojení do Pracovní skupiny pro implementaci, případně tematických pracovních skupin.</w:t>
      </w:r>
    </w:p>
    <w:p w:rsidR="00074314" w:rsidRDefault="00163B47" w:rsidP="00074314">
      <w:pPr>
        <w:pStyle w:val="Zkladntextodsazen"/>
        <w:spacing w:after="120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Následovalo posouzení z hlediska vlivu na životní prostředí. Protože příprava návrhové části byla poznamenána vyhlášením nouzového stavu, snažili jsme se poskytnout maximální prostor pro připomínky v rámci posuzování vlivu na životní prostředí. Také se dne 9. 7. 2020 uskutečnilo veřejné projednání strategie</w:t>
      </w:r>
      <w:r w:rsidR="004C1E32">
        <w:rPr>
          <w:rFonts w:ascii="Arial" w:hAnsi="Arial" w:cs="Arial"/>
          <w:iCs/>
        </w:rPr>
        <w:t>. Neobdrželi jsme zásadní připomínky k návrhu SROK. Zaslané připomínky byly vypořádány a strategie nyní splňuje zákonné požadavky.</w:t>
      </w:r>
    </w:p>
    <w:p w:rsidR="00DD48D1" w:rsidRDefault="00DD48D1" w:rsidP="00074314">
      <w:pPr>
        <w:pStyle w:val="Zkladntextodsazen"/>
        <w:spacing w:after="120"/>
        <w:ind w:left="0"/>
        <w:jc w:val="both"/>
        <w:rPr>
          <w:rFonts w:ascii="Arial" w:hAnsi="Arial" w:cs="Arial"/>
          <w:iCs/>
        </w:rPr>
      </w:pPr>
    </w:p>
    <w:p w:rsidR="004C1E32" w:rsidRDefault="004C1E32" w:rsidP="00074314">
      <w:pPr>
        <w:pStyle w:val="Zkladntextodsazen"/>
        <w:spacing w:after="120"/>
        <w:ind w:left="0"/>
        <w:jc w:val="both"/>
        <w:rPr>
          <w:rFonts w:ascii="Arial" w:hAnsi="Arial" w:cs="Arial"/>
          <w:iCs/>
        </w:rPr>
      </w:pPr>
      <w:r w:rsidRPr="003A2CE3">
        <w:rPr>
          <w:rFonts w:ascii="Arial" w:hAnsi="Arial" w:cs="Arial"/>
          <w:iCs/>
        </w:rPr>
        <w:t xml:space="preserve">Výsledný dokument je </w:t>
      </w:r>
      <w:r w:rsidR="00CC4B76" w:rsidRPr="003A2CE3">
        <w:rPr>
          <w:rFonts w:ascii="Arial" w:hAnsi="Arial" w:cs="Arial"/>
          <w:iCs/>
        </w:rPr>
        <w:t xml:space="preserve">nyní </w:t>
      </w:r>
      <w:r w:rsidRPr="003A2CE3">
        <w:rPr>
          <w:rFonts w:ascii="Arial" w:hAnsi="Arial" w:cs="Arial"/>
          <w:iCs/>
        </w:rPr>
        <w:t xml:space="preserve">předkládán orgánům Olomouckého kraje. </w:t>
      </w:r>
      <w:r w:rsidR="00B25333" w:rsidRPr="003A2CE3">
        <w:rPr>
          <w:rFonts w:ascii="Arial" w:hAnsi="Arial" w:cs="Arial"/>
          <w:iCs/>
        </w:rPr>
        <w:t xml:space="preserve">Aktualizace </w:t>
      </w:r>
      <w:r w:rsidRPr="003A2CE3">
        <w:rPr>
          <w:rFonts w:ascii="Arial" w:hAnsi="Arial" w:cs="Arial"/>
          <w:iCs/>
        </w:rPr>
        <w:t xml:space="preserve">SROK </w:t>
      </w:r>
      <w:r w:rsidR="00A240B7" w:rsidRPr="003A2CE3">
        <w:rPr>
          <w:rFonts w:ascii="Arial" w:hAnsi="Arial" w:cs="Arial"/>
          <w:iCs/>
        </w:rPr>
        <w:t>byla</w:t>
      </w:r>
      <w:r w:rsidRPr="003A2CE3">
        <w:rPr>
          <w:rFonts w:ascii="Arial" w:hAnsi="Arial" w:cs="Arial"/>
          <w:iCs/>
        </w:rPr>
        <w:t xml:space="preserve"> projednána na Výboru pro regionální rozvoj Zastupitelstva Olomouckého kraje dne 2. 9. 2020</w:t>
      </w:r>
      <w:r w:rsidR="00CD0811" w:rsidRPr="003A2CE3">
        <w:rPr>
          <w:rFonts w:ascii="Arial" w:hAnsi="Arial" w:cs="Arial"/>
          <w:iCs/>
        </w:rPr>
        <w:t>.</w:t>
      </w:r>
      <w:bookmarkStart w:id="0" w:name="_GoBack"/>
      <w:bookmarkEnd w:id="0"/>
    </w:p>
    <w:p w:rsidR="00DD48D1" w:rsidRDefault="00DD48D1" w:rsidP="002A3A5D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</w:p>
    <w:p w:rsidR="002A3A5D" w:rsidRPr="002A3A5D" w:rsidRDefault="00362326" w:rsidP="002A3A5D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Vyhodnocení </w:t>
      </w:r>
      <w:r w:rsidR="00114E09">
        <w:rPr>
          <w:rFonts w:ascii="Arial" w:hAnsi="Arial" w:cs="Arial"/>
          <w:b/>
        </w:rPr>
        <w:t>Strategie rozvoje územního obvodu Olomouckého kraje v období 2015 až 2019</w:t>
      </w:r>
    </w:p>
    <w:p w:rsidR="000758B0" w:rsidRDefault="00A67C9A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Současně s návrhem aktualizovaného znění SROK zpracovatel připravil i vyhodnocení regionálního rozvoje s ohledem na strategický dokument v minulém období. Stávající strategie byla platná pro období 2015 – 2020. </w:t>
      </w:r>
    </w:p>
    <w:p w:rsidR="004F6A5F" w:rsidRDefault="006573D5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Jedním ze základních sledovaných údajů je hrubý domácí produkt (HDP). </w:t>
      </w:r>
      <w:r w:rsidR="00C0323F">
        <w:rPr>
          <w:rFonts w:ascii="Arial" w:hAnsi="Arial" w:cs="Arial"/>
        </w:rPr>
        <w:t>Olomoucký kraj patří dlouhodobě k nejslabším mezi kraji. Postavení kraje v </w:t>
      </w:r>
      <w:r w:rsidR="00D0015F">
        <w:rPr>
          <w:rFonts w:ascii="Arial" w:hAnsi="Arial" w:cs="Arial"/>
        </w:rPr>
        <w:t>EU</w:t>
      </w:r>
      <w:r w:rsidR="004F6A5F" w:rsidRPr="004F6A5F">
        <w:rPr>
          <w:rFonts w:ascii="Arial" w:hAnsi="Arial" w:cs="Arial"/>
        </w:rPr>
        <w:t xml:space="preserve"> se postupně mírně zlepšuje ze </w:t>
      </w:r>
      <w:r w:rsidR="00480811">
        <w:rPr>
          <w:rFonts w:ascii="Arial" w:hAnsi="Arial" w:cs="Arial"/>
        </w:rPr>
        <w:t>64</w:t>
      </w:r>
      <w:r w:rsidR="004F6A5F" w:rsidRPr="004F6A5F">
        <w:rPr>
          <w:rFonts w:ascii="Arial" w:hAnsi="Arial" w:cs="Arial"/>
        </w:rPr>
        <w:t>,</w:t>
      </w:r>
      <w:r w:rsidR="00480811">
        <w:rPr>
          <w:rFonts w:ascii="Arial" w:hAnsi="Arial" w:cs="Arial"/>
        </w:rPr>
        <w:t>1</w:t>
      </w:r>
      <w:r w:rsidR="004F6A5F" w:rsidRPr="004F6A5F">
        <w:rPr>
          <w:rFonts w:ascii="Arial" w:hAnsi="Arial" w:cs="Arial"/>
        </w:rPr>
        <w:t xml:space="preserve"> % (2012) </w:t>
      </w:r>
      <w:r w:rsidR="00480811">
        <w:rPr>
          <w:rFonts w:ascii="Arial" w:hAnsi="Arial" w:cs="Arial"/>
        </w:rPr>
        <w:t>parity kupní síly EU 28 na 71</w:t>
      </w:r>
      <w:r w:rsidR="004F6A5F" w:rsidRPr="004F6A5F">
        <w:rPr>
          <w:rFonts w:ascii="Arial" w:hAnsi="Arial" w:cs="Arial"/>
        </w:rPr>
        <w:t>,</w:t>
      </w:r>
      <w:r w:rsidR="00480811">
        <w:rPr>
          <w:rFonts w:ascii="Arial" w:hAnsi="Arial" w:cs="Arial"/>
        </w:rPr>
        <w:t>0</w:t>
      </w:r>
      <w:r w:rsidR="004F6A5F" w:rsidRPr="004F6A5F">
        <w:rPr>
          <w:rFonts w:ascii="Arial" w:hAnsi="Arial" w:cs="Arial"/>
        </w:rPr>
        <w:t xml:space="preserve"> % </w:t>
      </w:r>
      <w:r w:rsidR="00480811">
        <w:rPr>
          <w:rFonts w:ascii="Arial" w:hAnsi="Arial" w:cs="Arial"/>
        </w:rPr>
        <w:t>parity kupní síly EU 28</w:t>
      </w:r>
      <w:r w:rsidR="00480811" w:rsidRPr="004F6A5F">
        <w:rPr>
          <w:rFonts w:ascii="Arial" w:hAnsi="Arial" w:cs="Arial"/>
        </w:rPr>
        <w:t xml:space="preserve"> </w:t>
      </w:r>
      <w:r w:rsidR="004F6A5F">
        <w:rPr>
          <w:rFonts w:ascii="Arial" w:hAnsi="Arial" w:cs="Arial"/>
        </w:rPr>
        <w:t>(2018</w:t>
      </w:r>
      <w:r w:rsidR="004F6A5F" w:rsidRPr="004F6A5F">
        <w:rPr>
          <w:rFonts w:ascii="Arial" w:hAnsi="Arial" w:cs="Arial"/>
        </w:rPr>
        <w:t>).</w:t>
      </w:r>
      <w:r w:rsidR="004F6A5F">
        <w:rPr>
          <w:rFonts w:ascii="Arial" w:hAnsi="Arial" w:cs="Arial"/>
        </w:rPr>
        <w:t xml:space="preserve"> </w:t>
      </w:r>
    </w:p>
    <w:p w:rsidR="006573D5" w:rsidRDefault="004F6A5F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0323F">
        <w:rPr>
          <w:rFonts w:ascii="Arial" w:hAnsi="Arial" w:cs="Arial"/>
        </w:rPr>
        <w:t> delšího časového hlediska</w:t>
      </w:r>
      <w:r>
        <w:rPr>
          <w:rFonts w:ascii="Arial" w:hAnsi="Arial" w:cs="Arial"/>
        </w:rPr>
        <w:t xml:space="preserve"> se v</w:t>
      </w:r>
      <w:r w:rsidRPr="004F6A5F">
        <w:rPr>
          <w:rFonts w:ascii="Arial" w:hAnsi="Arial" w:cs="Arial"/>
        </w:rPr>
        <w:t>e srovnání se zbytkem republiky se dost</w:t>
      </w:r>
      <w:r>
        <w:rPr>
          <w:rFonts w:ascii="Arial" w:hAnsi="Arial" w:cs="Arial"/>
        </w:rPr>
        <w:t xml:space="preserve">áváme na úroveň před rokem 2004, a to spíše zaostáváním severozápadu republiky. Pozitivem je, že </w:t>
      </w:r>
      <w:r w:rsidR="00C0323F">
        <w:rPr>
          <w:rFonts w:ascii="Arial" w:hAnsi="Arial" w:cs="Arial"/>
        </w:rPr>
        <w:t xml:space="preserve">náš </w:t>
      </w:r>
      <w:r>
        <w:rPr>
          <w:rFonts w:ascii="Arial" w:hAnsi="Arial" w:cs="Arial"/>
        </w:rPr>
        <w:t>kraj zásadně nezaostává za dalšími kraji</w:t>
      </w:r>
      <w:r w:rsidR="00C0323F">
        <w:rPr>
          <w:rFonts w:ascii="Arial" w:hAnsi="Arial" w:cs="Arial"/>
        </w:rPr>
        <w:t xml:space="preserve"> a dále se nepropadá</w:t>
      </w:r>
      <w:r>
        <w:rPr>
          <w:rFonts w:ascii="Arial" w:hAnsi="Arial" w:cs="Arial"/>
        </w:rPr>
        <w:t xml:space="preserve">. </w:t>
      </w:r>
      <w:r w:rsidR="00C45E91">
        <w:rPr>
          <w:rFonts w:ascii="Arial" w:hAnsi="Arial" w:cs="Arial"/>
        </w:rPr>
        <w:t xml:space="preserve">Porovnávání HDP Olomouckého kraje, jeho sousedů a zaostávajících regionů </w:t>
      </w:r>
      <w:r w:rsidR="00D0015F">
        <w:rPr>
          <w:rFonts w:ascii="Arial" w:hAnsi="Arial" w:cs="Arial"/>
        </w:rPr>
        <w:t xml:space="preserve">v ČR </w:t>
      </w:r>
      <w:r w:rsidR="00C45E91">
        <w:rPr>
          <w:rFonts w:ascii="Arial" w:hAnsi="Arial" w:cs="Arial"/>
        </w:rPr>
        <w:t>je v grafu níže.</w:t>
      </w:r>
    </w:p>
    <w:p w:rsidR="004C1E32" w:rsidRDefault="00480811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2801B4D4" wp14:editId="48EFEABE">
            <wp:extent cx="6120765" cy="3543935"/>
            <wp:effectExtent l="0" t="0" r="13335" b="1841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35F1" w:rsidRDefault="007E35F1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0660BE" w:rsidRDefault="000660BE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HDP Olomouckého kraje se v letech 2015 – 2018 pohybovalo na úrovni 210 až 250 ml</w:t>
      </w:r>
      <w:r w:rsidR="00CD1681">
        <w:rPr>
          <w:rFonts w:ascii="Arial" w:hAnsi="Arial" w:cs="Arial"/>
        </w:rPr>
        <w:t>d. </w:t>
      </w:r>
      <w:r>
        <w:rPr>
          <w:rFonts w:ascii="Arial" w:hAnsi="Arial" w:cs="Arial"/>
        </w:rPr>
        <w:t xml:space="preserve">Kč. Rozpočet Olomouckého kraje se během stejného období pohyboval na úrovni </w:t>
      </w:r>
      <w:r w:rsidR="00CD1681">
        <w:rPr>
          <w:rFonts w:ascii="Arial" w:hAnsi="Arial" w:cs="Arial"/>
        </w:rPr>
        <w:t>11,5 až 15,4 mld. Kč, současně většinu rozpočtu Olomouckého kraje tvoří účelové státní dotace, zejména platy učitelů. Reálně tak kraj mohl svou spotřebou ovlivnit cca 2 % HDP v kraji.</w:t>
      </w:r>
    </w:p>
    <w:p w:rsidR="002C2FB9" w:rsidRPr="0093726C" w:rsidRDefault="002C2FB9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 samotné SROK bylo sledováno, jak jsou uvolňovány finance do jednotlivých priorit, jak je kraj úspěšný v čerpání dotací a jak naopak sám dotace rozděluje.</w:t>
      </w:r>
      <w:r w:rsidR="00BA3E6A">
        <w:rPr>
          <w:rFonts w:ascii="Arial" w:hAnsi="Arial" w:cs="Arial"/>
        </w:rPr>
        <w:t xml:space="preserve"> Podklady pro vyhodnocení byly získávány od odborů krajského úřadu</w:t>
      </w:r>
      <w:r w:rsidR="007263AD">
        <w:rPr>
          <w:rFonts w:ascii="Arial" w:hAnsi="Arial" w:cs="Arial"/>
        </w:rPr>
        <w:t xml:space="preserve">, které zpětně vyhodnocovali realizované aktivity. </w:t>
      </w:r>
      <w:r w:rsidR="00AA2340" w:rsidRPr="0093726C">
        <w:rPr>
          <w:rFonts w:ascii="Arial" w:hAnsi="Arial" w:cs="Arial"/>
        </w:rPr>
        <w:t>Vyhodnocení nezahrnovalo úplný přehled výdajů, ale odbory určovaly výdaje, které měly dopad na rozvoj kraje, nejednalo se např. o prostou obnovu majetku.</w:t>
      </w:r>
    </w:p>
    <w:p w:rsidR="00C0323F" w:rsidRDefault="006027A3" w:rsidP="006027A3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93726C">
        <w:rPr>
          <w:rFonts w:ascii="Arial" w:hAnsi="Arial" w:cs="Arial"/>
        </w:rPr>
        <w:t>Za roky 2015 až 2019 byly získány podklady o rozvojových aktivitách kraje</w:t>
      </w:r>
      <w:r w:rsidR="00C0323F">
        <w:rPr>
          <w:rFonts w:ascii="Arial" w:hAnsi="Arial" w:cs="Arial"/>
        </w:rPr>
        <w:t xml:space="preserve">, na které vynaložil ze svého rozpočtu asi </w:t>
      </w:r>
      <w:r w:rsidR="00356739">
        <w:rPr>
          <w:rFonts w:ascii="Arial" w:hAnsi="Arial" w:cs="Arial"/>
        </w:rPr>
        <w:t xml:space="preserve">16,1 mld. Kč. </w:t>
      </w:r>
      <w:r w:rsidR="00356739" w:rsidRPr="0093726C">
        <w:rPr>
          <w:rFonts w:ascii="Arial" w:hAnsi="Arial" w:cs="Arial"/>
        </w:rPr>
        <w:t>Z této částky asi 4,6 mld. Kč připadlo na rozvoj sítě sociálních služeb, kter</w:t>
      </w:r>
      <w:r w:rsidR="00356739">
        <w:rPr>
          <w:rFonts w:ascii="Arial" w:hAnsi="Arial" w:cs="Arial"/>
        </w:rPr>
        <w:t>ý</w:t>
      </w:r>
      <w:r w:rsidR="00356739" w:rsidRPr="0093726C">
        <w:rPr>
          <w:rFonts w:ascii="Arial" w:hAnsi="Arial" w:cs="Arial"/>
        </w:rPr>
        <w:t xml:space="preserve"> kraj zajišťuje od roku 2015 a na n</w:t>
      </w:r>
      <w:r w:rsidR="00356739">
        <w:rPr>
          <w:rFonts w:ascii="Arial" w:hAnsi="Arial" w:cs="Arial"/>
        </w:rPr>
        <w:t>ějž</w:t>
      </w:r>
      <w:r w:rsidR="00356739" w:rsidRPr="0093726C">
        <w:rPr>
          <w:rFonts w:ascii="Arial" w:hAnsi="Arial" w:cs="Arial"/>
        </w:rPr>
        <w:t xml:space="preserve"> získává účelové státní dotace. Pro určení vlastní aktivity kraje byla tato částka z tohoto vyhodnocení vypuštěna.</w:t>
      </w:r>
    </w:p>
    <w:p w:rsidR="00C0323F" w:rsidRDefault="00356739" w:rsidP="006027A3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vyhodnocení se tak dostalo </w:t>
      </w:r>
      <w:r w:rsidR="006027A3" w:rsidRPr="0093726C">
        <w:rPr>
          <w:rFonts w:ascii="Arial" w:hAnsi="Arial" w:cs="Arial"/>
        </w:rPr>
        <w:t>1</w:t>
      </w:r>
      <w:r w:rsidR="00C0323F">
        <w:rPr>
          <w:rFonts w:ascii="Arial" w:hAnsi="Arial" w:cs="Arial"/>
        </w:rPr>
        <w:t>1,6</w:t>
      </w:r>
      <w:r w:rsidR="006027A3" w:rsidRPr="0093726C">
        <w:rPr>
          <w:rFonts w:ascii="Arial" w:hAnsi="Arial" w:cs="Arial"/>
        </w:rPr>
        <w:t> mld. Kč</w:t>
      </w:r>
      <w:r>
        <w:rPr>
          <w:rFonts w:ascii="Arial" w:hAnsi="Arial" w:cs="Arial"/>
        </w:rPr>
        <w:t xml:space="preserve"> vlastních výdajů z rozpočtu kraje</w:t>
      </w:r>
      <w:r w:rsidR="006027A3" w:rsidRPr="0093726C">
        <w:rPr>
          <w:rFonts w:ascii="Arial" w:hAnsi="Arial" w:cs="Arial"/>
        </w:rPr>
        <w:t>.</w:t>
      </w:r>
      <w:r w:rsidR="00C0323F">
        <w:rPr>
          <w:rFonts w:ascii="Arial" w:hAnsi="Arial" w:cs="Arial"/>
        </w:rPr>
        <w:t xml:space="preserve"> K tomu kraj získal asi 4,6 mld. Kč na dotacích z evropských a národní</w:t>
      </w:r>
      <w:r w:rsidR="00585997">
        <w:rPr>
          <w:rFonts w:ascii="Arial" w:hAnsi="Arial" w:cs="Arial"/>
        </w:rPr>
        <w:t>ch zdrojů. Ze svého rozpočtu (z </w:t>
      </w:r>
      <w:r w:rsidR="00C0323F">
        <w:rPr>
          <w:rFonts w:ascii="Arial" w:hAnsi="Arial" w:cs="Arial"/>
        </w:rPr>
        <w:t>11,6 mld. Kč) sám kraj podpořil subjekty v území, a to asi 2,9 mld. Kč.</w:t>
      </w:r>
    </w:p>
    <w:p w:rsidR="006027A3" w:rsidRPr="0093726C" w:rsidRDefault="0093726C" w:rsidP="006027A3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93726C">
        <w:rPr>
          <w:rFonts w:ascii="Arial" w:hAnsi="Arial" w:cs="Arial"/>
        </w:rPr>
        <w:t>Níže</w:t>
      </w:r>
      <w:r w:rsidR="006027A3" w:rsidRPr="0093726C">
        <w:rPr>
          <w:rFonts w:ascii="Arial" w:hAnsi="Arial" w:cs="Arial"/>
        </w:rPr>
        <w:t xml:space="preserve"> uvedená tabulka ukazuje, že rozvojové aktivity směřovaly především do oblastí, kde má Olomoucký kraj majetek a zákonné kompetence. Zejména do dopravy, vzdělávání, kultury, sportu, sociálních služeb a zdravotní péče.</w:t>
      </w:r>
    </w:p>
    <w:p w:rsidR="006027A3" w:rsidRDefault="0093726C" w:rsidP="006027A3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93726C">
        <w:rPr>
          <w:rFonts w:ascii="Arial" w:hAnsi="Arial" w:cs="Arial"/>
        </w:rPr>
        <w:t>Téměř</w:t>
      </w:r>
      <w:r w:rsidR="006027A3" w:rsidRPr="0093726C">
        <w:rPr>
          <w:rFonts w:ascii="Arial" w:hAnsi="Arial" w:cs="Arial"/>
        </w:rPr>
        <w:t xml:space="preserve"> 2/3 získaných dotací směřoval</w:t>
      </w:r>
      <w:r w:rsidRPr="0093726C">
        <w:rPr>
          <w:rFonts w:ascii="Arial" w:hAnsi="Arial" w:cs="Arial"/>
        </w:rPr>
        <w:t>o</w:t>
      </w:r>
      <w:r w:rsidR="006027A3" w:rsidRPr="0093726C">
        <w:rPr>
          <w:rFonts w:ascii="Arial" w:hAnsi="Arial" w:cs="Arial"/>
        </w:rPr>
        <w:t xml:space="preserve"> do silniční sítě. To je oblast, kde má kraj největší majetek, ten je navíc zatížen značným podfinancováním z období před zřízením krajů.</w:t>
      </w:r>
    </w:p>
    <w:p w:rsidR="00583F74" w:rsidRDefault="0093726C" w:rsidP="00585997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Olomoucký kraj je také značně aktivní v poskytování dotací jiným subjektům. V období 2015-2019 poskytl dotace za téměř 2,9 mld. Kč. Jednoznačně nejvyšší část dotací směřovala do sportu a kultury. Se značným odstupem následovali kotlíkové dotace a s dalším odstupem pak ostatní klíčové oblasti jako je podpora venkova, kultury, sociálních služeb, krizového řízení nebo trhu práce.</w:t>
      </w:r>
    </w:p>
    <w:p w:rsidR="00D84DBC" w:rsidRDefault="00D84D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</w:p>
    <w:p w:rsidR="00AA2340" w:rsidRPr="00AA2340" w:rsidRDefault="006027A3" w:rsidP="009D1434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Plnění priorit Strategie rozvoje územního obvodu OK</w:t>
      </w:r>
      <w:r w:rsidR="00AA2340" w:rsidRPr="00AA2340">
        <w:rPr>
          <w:rFonts w:ascii="Arial" w:hAnsi="Arial" w:cs="Arial"/>
          <w:b/>
        </w:rPr>
        <w:t xml:space="preserve"> v období 2015 - 2019</w:t>
      </w:r>
    </w:p>
    <w:tbl>
      <w:tblPr>
        <w:tblStyle w:val="Tabulkaseznamu4zvraznn1"/>
        <w:tblW w:w="9629" w:type="dxa"/>
        <w:tblLook w:val="04A0" w:firstRow="1" w:lastRow="0" w:firstColumn="1" w:lastColumn="0" w:noHBand="0" w:noVBand="1"/>
      </w:tblPr>
      <w:tblGrid>
        <w:gridCol w:w="3817"/>
        <w:gridCol w:w="1168"/>
        <w:gridCol w:w="964"/>
        <w:gridCol w:w="998"/>
        <w:gridCol w:w="840"/>
        <w:gridCol w:w="951"/>
        <w:gridCol w:w="891"/>
      </w:tblGrid>
      <w:tr w:rsidR="003C2B5E" w:rsidRPr="00583F74" w:rsidTr="00E75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vAlign w:val="center"/>
            <w:hideMark/>
          </w:tcPr>
          <w:p w:rsidR="00583F74" w:rsidRPr="0043076C" w:rsidRDefault="00583F74" w:rsidP="00583F74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3076C">
              <w:rPr>
                <w:rFonts w:ascii="Arial" w:hAnsi="Arial" w:cs="Arial"/>
                <w:color w:val="002060"/>
                <w:sz w:val="22"/>
                <w:szCs w:val="22"/>
              </w:rPr>
              <w:t>Plnění priorit SROK</w:t>
            </w:r>
            <w:r w:rsidR="003C2B5E">
              <w:rPr>
                <w:rFonts w:ascii="Arial" w:hAnsi="Arial" w:cs="Arial"/>
                <w:color w:val="002060"/>
                <w:sz w:val="22"/>
                <w:szCs w:val="22"/>
              </w:rPr>
              <w:t xml:space="preserve"> (v mil. Kč)</w:t>
            </w:r>
          </w:p>
        </w:tc>
        <w:tc>
          <w:tcPr>
            <w:tcW w:w="2132" w:type="dxa"/>
            <w:gridSpan w:val="2"/>
            <w:vAlign w:val="center"/>
            <w:hideMark/>
          </w:tcPr>
          <w:p w:rsidR="00583F74" w:rsidRPr="0043076C" w:rsidRDefault="00583F74" w:rsidP="003C2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3076C">
              <w:rPr>
                <w:rFonts w:ascii="Arial" w:hAnsi="Arial" w:cs="Arial"/>
                <w:color w:val="002060"/>
                <w:sz w:val="22"/>
                <w:szCs w:val="22"/>
              </w:rPr>
              <w:t>V</w:t>
            </w:r>
            <w:r w:rsidR="00CA3438">
              <w:rPr>
                <w:rFonts w:ascii="Arial" w:hAnsi="Arial" w:cs="Arial"/>
                <w:color w:val="002060"/>
                <w:sz w:val="22"/>
                <w:szCs w:val="22"/>
              </w:rPr>
              <w:t>lastní v</w:t>
            </w:r>
            <w:r w:rsidR="003C2B5E">
              <w:rPr>
                <w:rFonts w:ascii="Arial" w:hAnsi="Arial" w:cs="Arial"/>
                <w:color w:val="002060"/>
                <w:sz w:val="22"/>
                <w:szCs w:val="22"/>
              </w:rPr>
              <w:t>ýdaje OK</w:t>
            </w:r>
          </w:p>
        </w:tc>
        <w:tc>
          <w:tcPr>
            <w:tcW w:w="1838" w:type="dxa"/>
            <w:gridSpan w:val="2"/>
            <w:vAlign w:val="center"/>
            <w:hideMark/>
          </w:tcPr>
          <w:p w:rsidR="00583F74" w:rsidRPr="0043076C" w:rsidRDefault="003C2B5E" w:rsidP="003C2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Výdaje</w:t>
            </w:r>
            <w:r w:rsidR="00583F74" w:rsidRPr="0043076C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OK hrazené</w:t>
            </w:r>
            <w:r w:rsidR="00583F74" w:rsidRPr="0043076C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z dotací</w:t>
            </w:r>
          </w:p>
        </w:tc>
        <w:tc>
          <w:tcPr>
            <w:tcW w:w="1842" w:type="dxa"/>
            <w:gridSpan w:val="2"/>
            <w:vAlign w:val="center"/>
            <w:hideMark/>
          </w:tcPr>
          <w:p w:rsidR="00583F74" w:rsidRPr="00583F74" w:rsidRDefault="003C2B5E" w:rsidP="003C2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Výdaje na </w:t>
            </w:r>
            <w:r w:rsidR="00583F74" w:rsidRPr="0043076C">
              <w:rPr>
                <w:rFonts w:ascii="Arial" w:hAnsi="Arial" w:cs="Arial"/>
                <w:color w:val="002060"/>
                <w:sz w:val="22"/>
                <w:szCs w:val="22"/>
              </w:rPr>
              <w:t xml:space="preserve">poskytnuté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dotace</w:t>
            </w:r>
          </w:p>
        </w:tc>
      </w:tr>
      <w:tr w:rsidR="00E75022" w:rsidRPr="00583F74" w:rsidTr="00E7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A.1 Opt. systému škol a zvyšování kvality vzdělávání</w:t>
            </w:r>
          </w:p>
        </w:tc>
        <w:tc>
          <w:tcPr>
            <w:tcW w:w="1168" w:type="dxa"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3076C">
              <w:rPr>
                <w:rFonts w:ascii="Arial" w:hAnsi="Arial" w:cs="Arial"/>
                <w:bCs/>
                <w:sz w:val="22"/>
                <w:szCs w:val="22"/>
              </w:rPr>
              <w:t>975</w:t>
            </w:r>
            <w:r>
              <w:rPr>
                <w:rFonts w:ascii="Arial" w:hAnsi="Arial" w:cs="Arial"/>
                <w:bCs/>
                <w:sz w:val="22"/>
                <w:szCs w:val="22"/>
              </w:rPr>
              <w:t>,7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13,8%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292</w:t>
            </w:r>
            <w:r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6,4%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37</w:t>
            </w:r>
            <w:r>
              <w:rPr>
                <w:rFonts w:ascii="Arial" w:hAnsi="Arial" w:cs="Arial"/>
                <w:sz w:val="22"/>
                <w:szCs w:val="22"/>
              </w:rPr>
              <w:t>,7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1,3%</w:t>
            </w:r>
          </w:p>
        </w:tc>
      </w:tr>
      <w:tr w:rsidR="00E75022" w:rsidRPr="00583F74" w:rsidTr="00E750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A.2 Podpora zaměstnanosti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105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1,5%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86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1,9%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3,5%</w:t>
            </w:r>
          </w:p>
        </w:tc>
      </w:tr>
      <w:tr w:rsidR="00E75022" w:rsidRPr="00583F74" w:rsidTr="00E7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A.3 Podpora rovných příležitostí a prorodinných aktivit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0,1%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0,1%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,3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</w:tr>
      <w:tr w:rsidR="00E75022" w:rsidRPr="00583F74" w:rsidTr="00E750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A.4 Zlep. podmínek pro kult., sport. a volnočasové aktivity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43076C">
              <w:rPr>
                <w:rFonts w:ascii="Arial" w:hAnsi="Arial" w:cs="Arial"/>
                <w:sz w:val="22"/>
                <w:szCs w:val="22"/>
              </w:rPr>
              <w:t>141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16,1%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,3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0,7%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43076C">
              <w:rPr>
                <w:rFonts w:ascii="Arial" w:hAnsi="Arial" w:cs="Arial"/>
                <w:sz w:val="22"/>
                <w:szCs w:val="22"/>
              </w:rPr>
              <w:t>108</w:t>
            </w:r>
            <w:r>
              <w:rPr>
                <w:rFonts w:ascii="Arial" w:hAnsi="Arial" w:cs="Arial"/>
                <w:sz w:val="22"/>
                <w:szCs w:val="22"/>
              </w:rPr>
              <w:t>,3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38,5%</w:t>
            </w:r>
          </w:p>
        </w:tc>
      </w:tr>
      <w:tr w:rsidR="00E75022" w:rsidRPr="00583F74" w:rsidTr="00E7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A.5 Péče o kulturní dědictví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352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5,0%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4,0%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168</w:t>
            </w:r>
            <w:r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5,9%</w:t>
            </w:r>
          </w:p>
        </w:tc>
      </w:tr>
      <w:tr w:rsidR="00E75022" w:rsidRPr="00583F74" w:rsidTr="00E750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B.1 Optimalizace systému zajišťování zdravotní péče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436</w:t>
            </w:r>
            <w:r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6,2%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160</w:t>
            </w:r>
            <w:r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3,5%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91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3,2%</w:t>
            </w:r>
          </w:p>
        </w:tc>
      </w:tr>
      <w:tr w:rsidR="00E75022" w:rsidRPr="00583F74" w:rsidTr="00E7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B.2 Zkvalitňování a rozvoj sítě sociálních služeb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508</w:t>
            </w:r>
            <w:r>
              <w:rPr>
                <w:rFonts w:ascii="Arial" w:hAnsi="Arial" w:cs="Arial"/>
                <w:sz w:val="22"/>
                <w:szCs w:val="22"/>
              </w:rPr>
              <w:t>,9*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7,2%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418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7502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9,1%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147</w:t>
            </w:r>
            <w:r>
              <w:rPr>
                <w:rFonts w:ascii="Arial" w:hAnsi="Arial" w:cs="Arial"/>
                <w:sz w:val="22"/>
                <w:szCs w:val="22"/>
              </w:rPr>
              <w:t>,2*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5,1%</w:t>
            </w:r>
          </w:p>
        </w:tc>
      </w:tr>
      <w:tr w:rsidR="00E75022" w:rsidRPr="00583F74" w:rsidTr="00E750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B.3 Zmírňování sociálního vyloučení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74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1,1%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0,2%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75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2,6%</w:t>
            </w:r>
          </w:p>
        </w:tc>
      </w:tr>
      <w:tr w:rsidR="00E75022" w:rsidRPr="00583F74" w:rsidTr="00E7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B.4 Podpora dalších veřejných služeb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195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2,8%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195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6,8%</w:t>
            </w:r>
          </w:p>
        </w:tc>
      </w:tr>
      <w:tr w:rsidR="00E75022" w:rsidRPr="00583F74" w:rsidTr="00E750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C.1 Zlepšování podmínek pro podnikání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,4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0,1%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0,2%</w:t>
            </w:r>
          </w:p>
        </w:tc>
      </w:tr>
      <w:tr w:rsidR="00E75022" w:rsidRPr="00583F74" w:rsidTr="00E7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C.2 Podpora znalostní ekonomiky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0,2%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13</w:t>
            </w:r>
            <w:r>
              <w:rPr>
                <w:rFonts w:ascii="Arial" w:hAnsi="Arial" w:cs="Arial"/>
                <w:sz w:val="22"/>
                <w:szCs w:val="22"/>
              </w:rPr>
              <w:t>,4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0,3%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0,5%</w:t>
            </w:r>
          </w:p>
        </w:tc>
      </w:tr>
      <w:tr w:rsidR="00E75022" w:rsidRPr="00583F74" w:rsidTr="00E750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C.3 Rozvoj cestovního ruchu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113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1,6%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0,2%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81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2,8%</w:t>
            </w:r>
          </w:p>
        </w:tc>
      </w:tr>
      <w:tr w:rsidR="00E75022" w:rsidRPr="00583F74" w:rsidTr="00E7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D.1 Dobudování a modernizace silniční infrastruktury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43076C">
              <w:rPr>
                <w:rFonts w:ascii="Arial" w:hAnsi="Arial" w:cs="Arial"/>
                <w:sz w:val="22"/>
                <w:szCs w:val="22"/>
              </w:rPr>
              <w:t>215</w:t>
            </w:r>
            <w:r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31,3%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43076C">
              <w:rPr>
                <w:rFonts w:ascii="Arial" w:hAnsi="Arial" w:cs="Arial"/>
                <w:sz w:val="22"/>
                <w:szCs w:val="22"/>
              </w:rPr>
              <w:t>732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59,4%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98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3,4%</w:t>
            </w:r>
          </w:p>
        </w:tc>
      </w:tr>
      <w:tr w:rsidR="00E75022" w:rsidRPr="00583F74" w:rsidTr="00E750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D.2 Modernizace železničních tratí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</w:tr>
      <w:tr w:rsidR="00E75022" w:rsidRPr="00583F74" w:rsidTr="00E7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D.3 Zkvalitnění dopravní obslužnosti území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,4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Pr="00430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</w:tr>
      <w:tr w:rsidR="00E75022" w:rsidRPr="00583F74" w:rsidTr="00E750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D.4 Zlepšování podmínek pro nemotorovou dopravu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54</w:t>
            </w:r>
            <w:r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0,8%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2,1%</w:t>
            </w:r>
          </w:p>
        </w:tc>
      </w:tr>
      <w:tr w:rsidR="00E75022" w:rsidRPr="00583F74" w:rsidTr="00E7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E.1 Snižování dopadů lidské činnosti na životní prostředí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181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2,6%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355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7,7%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480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16,7%</w:t>
            </w:r>
          </w:p>
        </w:tc>
      </w:tr>
      <w:tr w:rsidR="00E75022" w:rsidRPr="00583F74" w:rsidTr="00E750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E.2 Zefektivnění odpadového hospodářství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0,1%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0,1%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0,1%</w:t>
            </w:r>
          </w:p>
        </w:tc>
      </w:tr>
      <w:tr w:rsidR="00E75022" w:rsidRPr="00583F74" w:rsidTr="00E7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E.3 Dosažení energetických úspor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393</w:t>
            </w:r>
            <w:r>
              <w:rPr>
                <w:rFonts w:ascii="Arial" w:hAnsi="Arial" w:cs="Arial"/>
                <w:sz w:val="22"/>
                <w:szCs w:val="22"/>
              </w:rPr>
              <w:t>,7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5,6%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244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5,3%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</w:tr>
      <w:tr w:rsidR="00E75022" w:rsidRPr="00583F74" w:rsidTr="00E750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E.4 Zlepšování ekologické stability krajiny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50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0,7%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0,1%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40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1,4%</w:t>
            </w:r>
          </w:p>
        </w:tc>
      </w:tr>
      <w:tr w:rsidR="00E75022" w:rsidRPr="00583F74" w:rsidTr="00E7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E.5 Ochrana přírody a krajinného rázu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37</w:t>
            </w:r>
            <w:r>
              <w:rPr>
                <w:rFonts w:ascii="Arial" w:hAnsi="Arial" w:cs="Arial"/>
                <w:sz w:val="22"/>
                <w:szCs w:val="22"/>
              </w:rPr>
              <w:t>,3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0,5%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0,8%</w:t>
            </w:r>
          </w:p>
        </w:tc>
      </w:tr>
      <w:tr w:rsidR="00E75022" w:rsidRPr="00583F74" w:rsidTr="00E750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F.1 Efektivní fungování KÚOK a PO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38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0,5%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34</w:t>
            </w:r>
            <w:r>
              <w:rPr>
                <w:rFonts w:ascii="Arial" w:hAnsi="Arial" w:cs="Arial"/>
                <w:sz w:val="22"/>
                <w:szCs w:val="22"/>
              </w:rPr>
              <w:t>,3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0,7%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</w:tr>
      <w:tr w:rsidR="00E75022" w:rsidRPr="00583F74" w:rsidTr="00E7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F.2 Plánování a řízení rozvoje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>,4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0,2%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Pr="0043076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</w:tr>
      <w:tr w:rsidR="00E75022" w:rsidRPr="00583F74" w:rsidTr="00E750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F.3 Rozvojová spolupráce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0,4%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0,2%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>,3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0,7%</w:t>
            </w:r>
          </w:p>
        </w:tc>
      </w:tr>
      <w:tr w:rsidR="00E75022" w:rsidRPr="00583F74" w:rsidTr="00E7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  <w:hideMark/>
          </w:tcPr>
          <w:p w:rsidR="00E75022" w:rsidRPr="0043076C" w:rsidRDefault="00E75022" w:rsidP="00E7502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3076C">
              <w:rPr>
                <w:rFonts w:ascii="Arial" w:hAnsi="Arial" w:cs="Arial"/>
                <w:b w:val="0"/>
                <w:sz w:val="22"/>
                <w:szCs w:val="22"/>
              </w:rPr>
              <w:t>F.4 Rozvoj krizového řízení a integ. záchranného systému</w:t>
            </w:r>
          </w:p>
        </w:tc>
        <w:tc>
          <w:tcPr>
            <w:tcW w:w="116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124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64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1,8%</w:t>
            </w:r>
          </w:p>
        </w:tc>
        <w:tc>
          <w:tcPr>
            <w:tcW w:w="998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,3</w:t>
            </w:r>
          </w:p>
        </w:tc>
        <w:tc>
          <w:tcPr>
            <w:tcW w:w="840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0,2%</w:t>
            </w:r>
          </w:p>
        </w:tc>
        <w:tc>
          <w:tcPr>
            <w:tcW w:w="951" w:type="dxa"/>
            <w:noWrap/>
            <w:vAlign w:val="center"/>
            <w:hideMark/>
          </w:tcPr>
          <w:p w:rsidR="00E75022" w:rsidRPr="0043076C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3076C">
              <w:rPr>
                <w:rFonts w:ascii="Arial" w:hAnsi="Arial" w:cs="Arial"/>
                <w:sz w:val="22"/>
                <w:szCs w:val="22"/>
              </w:rPr>
              <w:t>120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3076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91" w:type="dxa"/>
            <w:vAlign w:val="center"/>
          </w:tcPr>
          <w:p w:rsidR="00E75022" w:rsidRPr="00583F74" w:rsidRDefault="00E75022" w:rsidP="00E750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5022">
              <w:rPr>
                <w:rFonts w:ascii="Arial" w:hAnsi="Arial" w:cs="Arial"/>
                <w:sz w:val="22"/>
                <w:szCs w:val="22"/>
              </w:rPr>
              <w:t>4,2%</w:t>
            </w:r>
          </w:p>
        </w:tc>
      </w:tr>
      <w:tr w:rsidR="00E75022" w:rsidRPr="00583F74" w:rsidTr="00E750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noWrap/>
          </w:tcPr>
          <w:p w:rsidR="003C2B5E" w:rsidRPr="003C2B5E" w:rsidRDefault="003C2B5E" w:rsidP="003C2B5E">
            <w:pPr>
              <w:rPr>
                <w:rFonts w:ascii="Arial" w:hAnsi="Arial" w:cs="Arial"/>
                <w:sz w:val="22"/>
                <w:szCs w:val="22"/>
              </w:rPr>
            </w:pPr>
            <w:r w:rsidRPr="003C2B5E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168" w:type="dxa"/>
            <w:noWrap/>
            <w:vAlign w:val="center"/>
          </w:tcPr>
          <w:p w:rsidR="003C2B5E" w:rsidRPr="003C2B5E" w:rsidRDefault="003C2B5E" w:rsidP="003C2B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B5E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C2B5E">
              <w:rPr>
                <w:rFonts w:ascii="Arial" w:hAnsi="Arial" w:cs="Arial"/>
                <w:b/>
                <w:bCs/>
                <w:sz w:val="22"/>
                <w:szCs w:val="22"/>
              </w:rPr>
              <w:t>629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3C2B5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noWrap/>
            <w:vAlign w:val="center"/>
          </w:tcPr>
          <w:p w:rsidR="003C2B5E" w:rsidRPr="003C2B5E" w:rsidRDefault="003C2B5E" w:rsidP="003C2B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dxa"/>
            <w:noWrap/>
            <w:vAlign w:val="center"/>
          </w:tcPr>
          <w:p w:rsidR="003C2B5E" w:rsidRPr="003C2B5E" w:rsidRDefault="003C2B5E" w:rsidP="003C2B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4 602,0</w:t>
            </w:r>
          </w:p>
        </w:tc>
        <w:tc>
          <w:tcPr>
            <w:tcW w:w="840" w:type="dxa"/>
            <w:noWrap/>
            <w:vAlign w:val="center"/>
          </w:tcPr>
          <w:p w:rsidR="003C2B5E" w:rsidRPr="003C2B5E" w:rsidRDefault="003C2B5E" w:rsidP="003C2B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1" w:type="dxa"/>
            <w:noWrap/>
            <w:vAlign w:val="center"/>
          </w:tcPr>
          <w:p w:rsidR="003C2B5E" w:rsidRPr="003C2B5E" w:rsidRDefault="00E75022" w:rsidP="00E750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C2B5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879</w:t>
            </w:r>
            <w:r w:rsidR="003C2B5E">
              <w:rPr>
                <w:rFonts w:ascii="Arial" w:hAnsi="Arial" w:cs="Arial"/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891" w:type="dxa"/>
            <w:vAlign w:val="center"/>
          </w:tcPr>
          <w:p w:rsidR="003C2B5E" w:rsidRPr="003C2B5E" w:rsidRDefault="003C2B5E" w:rsidP="003C2B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341BC" w:rsidRPr="00560B19" w:rsidRDefault="00E75022" w:rsidP="009D1434">
      <w:pPr>
        <w:pStyle w:val="Zkladntextodsazen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560B19">
        <w:rPr>
          <w:rFonts w:ascii="Arial" w:hAnsi="Arial" w:cs="Arial"/>
          <w:sz w:val="20"/>
          <w:szCs w:val="20"/>
        </w:rPr>
        <w:t>* Bez účelové státní dotace na sociální služby ve výši 4 552 mil. Kč.</w:t>
      </w:r>
    </w:p>
    <w:p w:rsidR="00E75022" w:rsidRDefault="00585997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Obdobným způsobem je plnění priorit strategie rozvoje kraje sledováno již od roku 2011. To umožňuje sledovat trendy těchto tří základních ukazatelů. </w:t>
      </w:r>
      <w:r w:rsidR="0093726C">
        <w:rPr>
          <w:rFonts w:ascii="Arial" w:hAnsi="Arial" w:cs="Arial"/>
        </w:rPr>
        <w:t>Když se podíváme na dlouhodobý vývoj, můžeme sledovat setrvalý růst objemu dotací, které kraj poskytuje. Dotace, které kraj získává, jsou naopak poplatné hlavnímu zdroji</w:t>
      </w:r>
      <w:r>
        <w:rPr>
          <w:rFonts w:ascii="Arial" w:hAnsi="Arial" w:cs="Arial"/>
        </w:rPr>
        <w:t>,</w:t>
      </w:r>
      <w:r w:rsidR="0093726C">
        <w:rPr>
          <w:rFonts w:ascii="Arial" w:hAnsi="Arial" w:cs="Arial"/>
        </w:rPr>
        <w:t xml:space="preserve"> dotacím EU</w:t>
      </w:r>
      <w:r>
        <w:rPr>
          <w:rFonts w:ascii="Arial" w:hAnsi="Arial" w:cs="Arial"/>
        </w:rPr>
        <w:t>,</w:t>
      </w:r>
      <w:r w:rsidR="0093726C">
        <w:rPr>
          <w:rFonts w:ascii="Arial" w:hAnsi="Arial" w:cs="Arial"/>
        </w:rPr>
        <w:t xml:space="preserve"> a vykazují určitou periodicitu, jež je dána programovým cyklem. </w:t>
      </w:r>
      <w:r w:rsidR="00560B19">
        <w:rPr>
          <w:rFonts w:ascii="Arial" w:hAnsi="Arial" w:cs="Arial"/>
        </w:rPr>
        <w:t>V souladu s tím, lze očekávat pro roky 2020</w:t>
      </w:r>
      <w:r w:rsidR="00611725">
        <w:rPr>
          <w:rFonts w:ascii="Arial" w:hAnsi="Arial" w:cs="Arial"/>
        </w:rPr>
        <w:t>,</w:t>
      </w:r>
      <w:r w:rsidR="00560B19">
        <w:rPr>
          <w:rFonts w:ascii="Arial" w:hAnsi="Arial" w:cs="Arial"/>
        </w:rPr>
        <w:t xml:space="preserve"> a zejména pak 2021 pokles objemu dotací, které kraj získá.</w:t>
      </w:r>
      <w:r>
        <w:rPr>
          <w:rFonts w:ascii="Arial" w:hAnsi="Arial" w:cs="Arial"/>
        </w:rPr>
        <w:t xml:space="preserve"> Vývoj je zachycen v následujícím grafu.</w:t>
      </w:r>
    </w:p>
    <w:p w:rsidR="0093726C" w:rsidRDefault="0093726C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00B5A9AF" wp14:editId="543B5665">
            <wp:extent cx="5760720" cy="2776855"/>
            <wp:effectExtent l="0" t="0" r="11430" b="444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0B19" w:rsidRPr="00560B19" w:rsidRDefault="00560B19" w:rsidP="00560B19">
      <w:pPr>
        <w:pStyle w:val="Zkladntextodsazen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560B19">
        <w:rPr>
          <w:rFonts w:ascii="Arial" w:hAnsi="Arial" w:cs="Arial"/>
          <w:sz w:val="20"/>
          <w:szCs w:val="20"/>
        </w:rPr>
        <w:t xml:space="preserve">*Roky 2015 a další byly očištěny o dotace, které kraj poskytl z jiných zdrojů (sociální služby, kotlíkové dotace, zdravotnictví). Jedná se sice o dotace z jiných zdrojů, ale o jejich poskytování rozhoduje Olomoucký kraj, proto jsou zahrnuty ve SROK. </w:t>
      </w:r>
    </w:p>
    <w:p w:rsidR="00560B19" w:rsidRDefault="00611725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Souhrnně můžeme konstatovat, že Olomoucký kraj se přirozeně angažuje především v oblastech, kde jsou mu svěřeny zákonné povinnosti (silnice II. a III. třídy, střední školy, sociální služby a další). Současně Olomoucký kraj aktivně podporuje subjekty v území, a to zejména v oblasti sportu a kultury.</w:t>
      </w:r>
    </w:p>
    <w:p w:rsidR="009D1F1B" w:rsidRDefault="009D1F1B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6B7A13" w:rsidRDefault="009D1F1B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Strategie bude vyvěšena na internetových stránkách kraje a dále propagována.</w:t>
      </w:r>
      <w:r w:rsidR="006B7A13" w:rsidRPr="006B7A13">
        <w:rPr>
          <w:rFonts w:ascii="Arial" w:hAnsi="Arial" w:cs="Arial"/>
        </w:rPr>
        <w:t xml:space="preserve"> </w:t>
      </w:r>
    </w:p>
    <w:p w:rsidR="006B7A13" w:rsidRDefault="006B7A13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1C22FC" w:rsidRPr="009C2808" w:rsidRDefault="006B7A13" w:rsidP="00D84DBC">
      <w:pPr>
        <w:pStyle w:val="Plohy"/>
        <w:rPr>
          <w:b/>
        </w:rPr>
      </w:pPr>
      <w:r w:rsidRPr="00D84DBC">
        <w:rPr>
          <w:b/>
        </w:rPr>
        <w:t>Materiál projednala Rada Olomouckého kraje dne 31. 8. 2020. Předkladatel svým usnesením č. UR/99/44/2020 doporučuje Zastupitelstvu Olomouckého kraje</w:t>
      </w:r>
      <w:r w:rsidR="00D84DBC">
        <w:rPr>
          <w:b/>
        </w:rPr>
        <w:t xml:space="preserve"> </w:t>
      </w:r>
      <w:r w:rsidR="002A3A5D" w:rsidRPr="009C2808">
        <w:rPr>
          <w:b/>
        </w:rPr>
        <w:t>s</w:t>
      </w:r>
      <w:r w:rsidR="00D84DBC">
        <w:rPr>
          <w:b/>
        </w:rPr>
        <w:t xml:space="preserve">chválit </w:t>
      </w:r>
      <w:r w:rsidR="002A3A5D" w:rsidRPr="009C2808">
        <w:rPr>
          <w:b/>
        </w:rPr>
        <w:t>aktualizac</w:t>
      </w:r>
      <w:r w:rsidR="00D84DBC">
        <w:rPr>
          <w:b/>
        </w:rPr>
        <w:t>i</w:t>
      </w:r>
      <w:r w:rsidR="002A3A5D" w:rsidRPr="009C2808">
        <w:rPr>
          <w:b/>
        </w:rPr>
        <w:t xml:space="preserve"> Strategie rozvoje </w:t>
      </w:r>
      <w:r w:rsidR="001C22FC" w:rsidRPr="009C2808">
        <w:rPr>
          <w:b/>
        </w:rPr>
        <w:t>územního obvodu Olomouckého kraje dle přílohy č.</w:t>
      </w:r>
      <w:r w:rsidR="00611725" w:rsidRPr="009C2808">
        <w:rPr>
          <w:b/>
        </w:rPr>
        <w:t xml:space="preserve"> 1</w:t>
      </w:r>
      <w:r w:rsidR="009C2808" w:rsidRPr="009C2808">
        <w:rPr>
          <w:b/>
        </w:rPr>
        <w:t xml:space="preserve"> a 2</w:t>
      </w:r>
      <w:r w:rsidR="00611725" w:rsidRPr="009C2808">
        <w:rPr>
          <w:b/>
        </w:rPr>
        <w:t xml:space="preserve"> </w:t>
      </w:r>
      <w:r w:rsidR="001C22FC" w:rsidRPr="009C2808">
        <w:rPr>
          <w:b/>
        </w:rPr>
        <w:t>důvodové zprávy.</w:t>
      </w:r>
      <w:r w:rsidR="009C2808" w:rsidRPr="009C2808">
        <w:rPr>
          <w:b/>
        </w:rPr>
        <w:t xml:space="preserve"> Dále předkladatel </w:t>
      </w:r>
      <w:r w:rsidR="008C6520">
        <w:rPr>
          <w:b/>
        </w:rPr>
        <w:t xml:space="preserve">dále </w:t>
      </w:r>
      <w:r w:rsidR="00D84DBC">
        <w:rPr>
          <w:b/>
        </w:rPr>
        <w:t>doporučuje souhlasit</w:t>
      </w:r>
      <w:r w:rsidR="008C6520">
        <w:rPr>
          <w:b/>
        </w:rPr>
        <w:t xml:space="preserve"> s Prohlášením dle § </w:t>
      </w:r>
      <w:r w:rsidR="009C2808" w:rsidRPr="009C2808">
        <w:rPr>
          <w:b/>
        </w:rPr>
        <w:t>10g zákona o posuzování vlivu na životní prostředí d</w:t>
      </w:r>
      <w:r w:rsidR="00D84DBC">
        <w:rPr>
          <w:b/>
        </w:rPr>
        <w:t>le přílohy č. 3 důvodové zprávy</w:t>
      </w:r>
      <w:r w:rsidR="00F66B44" w:rsidRPr="009C2808">
        <w:rPr>
          <w:b/>
        </w:rPr>
        <w:t>.</w:t>
      </w:r>
    </w:p>
    <w:p w:rsidR="00DE4D7F" w:rsidRPr="009C2808" w:rsidRDefault="00DE4D7F">
      <w:pPr>
        <w:rPr>
          <w:rFonts w:ascii="Arial" w:hAnsi="Arial" w:cs="Arial"/>
          <w:sz w:val="24"/>
          <w:szCs w:val="24"/>
          <w:u w:val="single"/>
        </w:rPr>
      </w:pPr>
    </w:p>
    <w:p w:rsidR="003B644F" w:rsidRPr="009C2808" w:rsidRDefault="009E7132" w:rsidP="003B644F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9C2808">
        <w:rPr>
          <w:rFonts w:ascii="Arial" w:hAnsi="Arial" w:cs="Arial"/>
          <w:u w:val="single"/>
        </w:rPr>
        <w:t>Přílohy:</w:t>
      </w:r>
      <w:r w:rsidR="003B644F" w:rsidRPr="009C2808">
        <w:rPr>
          <w:rFonts w:ascii="Arial" w:hAnsi="Arial" w:cs="Arial"/>
        </w:rPr>
        <w:t xml:space="preserve"> </w:t>
      </w:r>
    </w:p>
    <w:p w:rsidR="00FD7880" w:rsidRPr="009C2808" w:rsidRDefault="00FD7880" w:rsidP="00FD7880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9C2808">
        <w:rPr>
          <w:rFonts w:ascii="Arial" w:hAnsi="Arial" w:cs="Arial"/>
        </w:rPr>
        <w:t>Příloha č. 1 – Analytická část Strategie rozvoje územního obvodu Olomouckého kraje (strana 1 – 140, číslováno samostatně)</w:t>
      </w:r>
    </w:p>
    <w:p w:rsidR="00FD7880" w:rsidRPr="009C2808" w:rsidRDefault="00FD7880" w:rsidP="00FD7880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9C2808">
        <w:rPr>
          <w:rFonts w:ascii="Arial" w:hAnsi="Arial" w:cs="Arial"/>
        </w:rPr>
        <w:t>Příloha č. 2 – Návrhová část Strategie rozvoje územního obvodu Olomouckého kraje (strana 1 – 10</w:t>
      </w:r>
      <w:r w:rsidR="009C2808" w:rsidRPr="009C2808">
        <w:rPr>
          <w:rFonts w:ascii="Arial" w:hAnsi="Arial" w:cs="Arial"/>
        </w:rPr>
        <w:t>2</w:t>
      </w:r>
      <w:r w:rsidRPr="009C2808">
        <w:rPr>
          <w:rFonts w:ascii="Arial" w:hAnsi="Arial" w:cs="Arial"/>
        </w:rPr>
        <w:t>, číslováno samostatně)</w:t>
      </w:r>
    </w:p>
    <w:p w:rsidR="003B644F" w:rsidRPr="009C2808" w:rsidRDefault="00FD7880" w:rsidP="00FD7880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9C2808">
        <w:rPr>
          <w:rFonts w:ascii="Arial" w:hAnsi="Arial" w:cs="Arial"/>
        </w:rPr>
        <w:t xml:space="preserve">Příloha č. 3 – </w:t>
      </w:r>
      <w:r w:rsidR="009C2808" w:rsidRPr="009C2808">
        <w:rPr>
          <w:rFonts w:ascii="Arial" w:hAnsi="Arial" w:cs="Arial"/>
        </w:rPr>
        <w:t xml:space="preserve">Prohlášení dle § 10g odst. 5 zákona č. 100/2001 Sb., o posuzování vlivů na životní prostředí, ve znění pozdějších předpisů </w:t>
      </w:r>
      <w:r w:rsidRPr="009C2808">
        <w:rPr>
          <w:rFonts w:ascii="Arial" w:hAnsi="Arial" w:cs="Arial"/>
        </w:rPr>
        <w:t xml:space="preserve">(strana 1 – </w:t>
      </w:r>
      <w:r w:rsidR="009C2808" w:rsidRPr="009C2808">
        <w:rPr>
          <w:rFonts w:ascii="Arial" w:hAnsi="Arial" w:cs="Arial"/>
        </w:rPr>
        <w:t>8</w:t>
      </w:r>
      <w:r w:rsidRPr="009C2808">
        <w:rPr>
          <w:rFonts w:ascii="Arial" w:hAnsi="Arial" w:cs="Arial"/>
        </w:rPr>
        <w:t>, číslováno samostatně)</w:t>
      </w:r>
    </w:p>
    <w:sectPr w:rsidR="003B644F" w:rsidRPr="009C2808" w:rsidSect="00D12EB3">
      <w:footerReference w:type="default" r:id="rId9"/>
      <w:pgSz w:w="11907" w:h="16840" w:code="9"/>
      <w:pgMar w:top="1134" w:right="1134" w:bottom="1134" w:left="1134" w:header="709" w:footer="3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B7" w:rsidRDefault="00BB7DB7">
      <w:r>
        <w:separator/>
      </w:r>
    </w:p>
  </w:endnote>
  <w:endnote w:type="continuationSeparator" w:id="0">
    <w:p w:rsidR="00BB7DB7" w:rsidRDefault="00BB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B8" w:rsidRPr="00E86B01" w:rsidRDefault="00D84DBC" w:rsidP="00D12EB3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6011B8">
      <w:rPr>
        <w:rFonts w:ascii="Arial" w:hAnsi="Arial" w:cs="Arial"/>
        <w:i/>
        <w:iCs/>
      </w:rPr>
      <w:t xml:space="preserve"> Olomouckého kraje</w:t>
    </w:r>
    <w:r w:rsidR="006011B8"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</w:t>
    </w:r>
    <w:r w:rsidR="00A67C9A">
      <w:rPr>
        <w:rFonts w:ascii="Arial" w:hAnsi="Arial" w:cs="Arial"/>
        <w:i/>
        <w:iCs/>
      </w:rPr>
      <w:t>1</w:t>
    </w:r>
    <w:r w:rsidR="00D12EB3">
      <w:rPr>
        <w:rFonts w:ascii="Arial" w:hAnsi="Arial" w:cs="Arial"/>
        <w:i/>
        <w:iCs/>
      </w:rPr>
      <w:t>. </w:t>
    </w:r>
    <w:r>
      <w:rPr>
        <w:rFonts w:ascii="Arial" w:hAnsi="Arial" w:cs="Arial"/>
        <w:i/>
        <w:iCs/>
      </w:rPr>
      <w:t>9</w:t>
    </w:r>
    <w:r w:rsidR="00D12EB3">
      <w:rPr>
        <w:rFonts w:ascii="Arial" w:hAnsi="Arial" w:cs="Arial"/>
        <w:i/>
        <w:iCs/>
      </w:rPr>
      <w:t>. </w:t>
    </w:r>
    <w:r w:rsidR="006011B8" w:rsidRPr="00E86B01">
      <w:rPr>
        <w:rFonts w:ascii="Arial" w:hAnsi="Arial" w:cs="Arial"/>
        <w:i/>
        <w:iCs/>
      </w:rPr>
      <w:t>20</w:t>
    </w:r>
    <w:r w:rsidR="00AB7B24">
      <w:rPr>
        <w:rFonts w:ascii="Arial" w:hAnsi="Arial" w:cs="Arial"/>
        <w:i/>
        <w:iCs/>
      </w:rPr>
      <w:t>20</w:t>
    </w:r>
    <w:r w:rsidR="006011B8" w:rsidRPr="00E86B01">
      <w:rPr>
        <w:rFonts w:ascii="Arial" w:hAnsi="Arial" w:cs="Arial"/>
        <w:i/>
        <w:iCs/>
      </w:rPr>
      <w:tab/>
    </w:r>
    <w:r w:rsidR="006011B8" w:rsidRPr="00E86B01">
      <w:rPr>
        <w:rFonts w:ascii="Arial" w:hAnsi="Arial" w:cs="Arial"/>
        <w:i/>
        <w:iCs/>
      </w:rPr>
      <w:tab/>
      <w:t xml:space="preserve">Strana </w:t>
    </w:r>
    <w:r w:rsidR="006011B8" w:rsidRPr="00E86B01">
      <w:rPr>
        <w:rStyle w:val="slostrnky"/>
        <w:rFonts w:ascii="Arial" w:hAnsi="Arial" w:cs="Arial"/>
        <w:i/>
        <w:iCs/>
      </w:rPr>
      <w:fldChar w:fldCharType="begin"/>
    </w:r>
    <w:r w:rsidR="006011B8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6011B8" w:rsidRPr="00E86B01">
      <w:rPr>
        <w:rStyle w:val="slostrnky"/>
        <w:rFonts w:ascii="Arial" w:hAnsi="Arial" w:cs="Arial"/>
        <w:i/>
        <w:iCs/>
      </w:rPr>
      <w:fldChar w:fldCharType="separate"/>
    </w:r>
    <w:r w:rsidR="003A2CE3">
      <w:rPr>
        <w:rStyle w:val="slostrnky"/>
        <w:rFonts w:ascii="Arial" w:hAnsi="Arial" w:cs="Arial"/>
        <w:i/>
        <w:iCs/>
        <w:noProof/>
      </w:rPr>
      <w:t>6</w:t>
    </w:r>
    <w:r w:rsidR="006011B8" w:rsidRPr="00E86B01">
      <w:rPr>
        <w:rStyle w:val="slostrnky"/>
        <w:rFonts w:ascii="Arial" w:hAnsi="Arial" w:cs="Arial"/>
        <w:i/>
        <w:iCs/>
      </w:rPr>
      <w:fldChar w:fldCharType="end"/>
    </w:r>
    <w:r w:rsidR="006011B8" w:rsidRPr="00E86B01">
      <w:rPr>
        <w:rStyle w:val="slostrnky"/>
        <w:rFonts w:ascii="Arial" w:hAnsi="Arial" w:cs="Arial"/>
        <w:i/>
        <w:iCs/>
      </w:rPr>
      <w:t xml:space="preserve"> (celkem </w:t>
    </w:r>
    <w:r w:rsidR="006011B8" w:rsidRPr="00E86B01">
      <w:rPr>
        <w:rStyle w:val="slostrnky"/>
        <w:rFonts w:ascii="Arial" w:hAnsi="Arial" w:cs="Arial"/>
        <w:i/>
        <w:iCs/>
      </w:rPr>
      <w:fldChar w:fldCharType="begin"/>
    </w:r>
    <w:r w:rsidR="006011B8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6011B8" w:rsidRPr="00E86B01">
      <w:rPr>
        <w:rStyle w:val="slostrnky"/>
        <w:rFonts w:ascii="Arial" w:hAnsi="Arial" w:cs="Arial"/>
        <w:i/>
        <w:iCs/>
      </w:rPr>
      <w:fldChar w:fldCharType="separate"/>
    </w:r>
    <w:r w:rsidR="003A2CE3">
      <w:rPr>
        <w:rStyle w:val="slostrnky"/>
        <w:rFonts w:ascii="Arial" w:hAnsi="Arial" w:cs="Arial"/>
        <w:i/>
        <w:iCs/>
        <w:noProof/>
      </w:rPr>
      <w:t>7</w:t>
    </w:r>
    <w:r w:rsidR="006011B8" w:rsidRPr="00E86B01">
      <w:rPr>
        <w:rStyle w:val="slostrnky"/>
        <w:rFonts w:ascii="Arial" w:hAnsi="Arial" w:cs="Arial"/>
        <w:i/>
        <w:iCs/>
      </w:rPr>
      <w:fldChar w:fldCharType="end"/>
    </w:r>
    <w:r w:rsidR="006011B8" w:rsidRPr="00E86B01">
      <w:rPr>
        <w:rStyle w:val="slostrnky"/>
        <w:rFonts w:ascii="Arial" w:hAnsi="Arial" w:cs="Arial"/>
        <w:i/>
        <w:iCs/>
      </w:rPr>
      <w:t>)</w:t>
    </w:r>
  </w:p>
  <w:p w:rsidR="006011B8" w:rsidRPr="00E86B01" w:rsidRDefault="00D84DBC" w:rsidP="00D12EB3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52</w:t>
    </w:r>
    <w:r w:rsidR="00AB7B24">
      <w:rPr>
        <w:rFonts w:ascii="Arial" w:hAnsi="Arial" w:cs="Arial"/>
        <w:i/>
        <w:iCs/>
      </w:rPr>
      <w:t>.</w:t>
    </w:r>
    <w:r w:rsidR="006011B8" w:rsidRPr="00E86B01">
      <w:rPr>
        <w:rFonts w:ascii="Arial" w:hAnsi="Arial" w:cs="Arial"/>
        <w:i/>
        <w:iCs/>
      </w:rPr>
      <w:t xml:space="preserve"> </w:t>
    </w:r>
    <w:r w:rsidR="006011B8">
      <w:rPr>
        <w:rFonts w:ascii="Arial" w:hAnsi="Arial" w:cs="Arial"/>
        <w:i/>
        <w:iCs/>
      </w:rPr>
      <w:t>–</w:t>
    </w:r>
    <w:r w:rsidR="00D12EB3">
      <w:rPr>
        <w:rFonts w:ascii="Arial" w:hAnsi="Arial" w:cs="Arial"/>
        <w:i/>
        <w:iCs/>
      </w:rPr>
      <w:t xml:space="preserve"> </w:t>
    </w:r>
    <w:r w:rsidR="007552B2" w:rsidRPr="007552B2">
      <w:rPr>
        <w:rFonts w:ascii="Arial" w:hAnsi="Arial" w:cs="Arial"/>
        <w:i/>
        <w:iCs/>
      </w:rPr>
      <w:t>Aktualizace Strategie rozvoje územního obvodu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B7" w:rsidRDefault="00BB7DB7">
      <w:r>
        <w:separator/>
      </w:r>
    </w:p>
  </w:footnote>
  <w:footnote w:type="continuationSeparator" w:id="0">
    <w:p w:rsidR="00BB7DB7" w:rsidRDefault="00BB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46B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ED1DB6"/>
    <w:multiLevelType w:val="hybridMultilevel"/>
    <w:tmpl w:val="A56EF17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F174B0"/>
    <w:multiLevelType w:val="singleLevel"/>
    <w:tmpl w:val="9CEC7E46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4" w15:restartNumberingAfterBreak="0">
    <w:nsid w:val="07B97D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8E02AE5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7F5F00"/>
    <w:multiLevelType w:val="hybridMultilevel"/>
    <w:tmpl w:val="632620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D488C"/>
    <w:multiLevelType w:val="singleLevel"/>
    <w:tmpl w:val="E9F4F522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149256F8"/>
    <w:multiLevelType w:val="singleLevel"/>
    <w:tmpl w:val="3D0660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9" w15:restartNumberingAfterBreak="0">
    <w:nsid w:val="1C3B39EA"/>
    <w:multiLevelType w:val="singleLevel"/>
    <w:tmpl w:val="0F521E00"/>
    <w:lvl w:ilvl="0">
      <w:start w:val="4"/>
      <w:numFmt w:val="bullet"/>
      <w:lvlText w:val=""/>
      <w:lvlJc w:val="left"/>
      <w:pPr>
        <w:tabs>
          <w:tab w:val="num" w:pos="705"/>
        </w:tabs>
        <w:ind w:left="705" w:hanging="705"/>
      </w:pPr>
      <w:rPr>
        <w:rFonts w:ascii="Wingdings" w:hAnsi="Wingdings" w:cs="Wingdings" w:hint="default"/>
      </w:rPr>
    </w:lvl>
  </w:abstractNum>
  <w:abstractNum w:abstractNumId="10" w15:restartNumberingAfterBreak="0">
    <w:nsid w:val="1F7C1EA0"/>
    <w:multiLevelType w:val="hybridMultilevel"/>
    <w:tmpl w:val="E45AECCE"/>
    <w:lvl w:ilvl="0" w:tplc="AA309CE0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645BAB"/>
    <w:multiLevelType w:val="singleLevel"/>
    <w:tmpl w:val="D8583B04"/>
    <w:lvl w:ilvl="0">
      <w:start w:val="1"/>
      <w:numFmt w:val="bullet"/>
      <w:lvlText w:val="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D67773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026673"/>
    <w:multiLevelType w:val="multilevel"/>
    <w:tmpl w:val="856C0E0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2D705B76"/>
    <w:multiLevelType w:val="hybridMultilevel"/>
    <w:tmpl w:val="C472DD92"/>
    <w:lvl w:ilvl="0" w:tplc="7EB68D56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BB16E9"/>
    <w:multiLevelType w:val="hybridMultilevel"/>
    <w:tmpl w:val="1D0A5256"/>
    <w:lvl w:ilvl="0" w:tplc="93BCF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157F6C"/>
    <w:multiLevelType w:val="hybridMultilevel"/>
    <w:tmpl w:val="032878D0"/>
    <w:lvl w:ilvl="0" w:tplc="B91842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C65498"/>
    <w:multiLevelType w:val="hybridMultilevel"/>
    <w:tmpl w:val="30548304"/>
    <w:lvl w:ilvl="0" w:tplc="B9184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401E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384C6FF0"/>
    <w:multiLevelType w:val="singleLevel"/>
    <w:tmpl w:val="37B229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94970B6"/>
    <w:multiLevelType w:val="singleLevel"/>
    <w:tmpl w:val="9CEC7E46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21" w15:restartNumberingAfterBreak="0">
    <w:nsid w:val="397213CB"/>
    <w:multiLevelType w:val="hybridMultilevel"/>
    <w:tmpl w:val="23B09B08"/>
    <w:lvl w:ilvl="0" w:tplc="B91842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C2B0ED7"/>
    <w:multiLevelType w:val="hybridMultilevel"/>
    <w:tmpl w:val="0BF89408"/>
    <w:lvl w:ilvl="0" w:tplc="CC0682C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47FA3"/>
    <w:multiLevelType w:val="hybridMultilevel"/>
    <w:tmpl w:val="CBE0D1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4F4729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1645DC4"/>
    <w:multiLevelType w:val="singleLevel"/>
    <w:tmpl w:val="BAD613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2C53D44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74325D3"/>
    <w:multiLevelType w:val="hybridMultilevel"/>
    <w:tmpl w:val="4DA4F552"/>
    <w:lvl w:ilvl="0" w:tplc="2B8879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47EB55D6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9DF37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B0F509A"/>
    <w:multiLevelType w:val="hybridMultilevel"/>
    <w:tmpl w:val="A8F68816"/>
    <w:lvl w:ilvl="0" w:tplc="FFFFFFFF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BD60D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 w15:restartNumberingAfterBreak="0">
    <w:nsid w:val="4DA443D8"/>
    <w:multiLevelType w:val="singleLevel"/>
    <w:tmpl w:val="EE221BDC"/>
    <w:lvl w:ilvl="0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DB271C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B42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E7F78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F3A6D8A"/>
    <w:multiLevelType w:val="hybridMultilevel"/>
    <w:tmpl w:val="23003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A6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7626302"/>
    <w:multiLevelType w:val="hybridMultilevel"/>
    <w:tmpl w:val="BDEC9F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40D65"/>
    <w:multiLevelType w:val="hybridMultilevel"/>
    <w:tmpl w:val="2B9A18DC"/>
    <w:lvl w:ilvl="0" w:tplc="0E2C0FE2">
      <w:start w:val="1"/>
      <w:numFmt w:val="lowerLetter"/>
      <w:lvlText w:val="%1)"/>
      <w:lvlJc w:val="left"/>
      <w:pPr>
        <w:tabs>
          <w:tab w:val="num" w:pos="2532"/>
        </w:tabs>
        <w:ind w:left="25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0A4C52"/>
    <w:multiLevelType w:val="hybridMultilevel"/>
    <w:tmpl w:val="6EBC93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A27843"/>
    <w:multiLevelType w:val="hybridMultilevel"/>
    <w:tmpl w:val="3EF835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5C34AE"/>
    <w:multiLevelType w:val="singleLevel"/>
    <w:tmpl w:val="8082A0F0"/>
    <w:lvl w:ilvl="0">
      <w:start w:val="1"/>
      <w:numFmt w:val="bullet"/>
      <w:lvlText w:val="–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45" w15:restartNumberingAfterBreak="0">
    <w:nsid w:val="79226CCA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C35B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7" w15:restartNumberingAfterBreak="0">
    <w:nsid w:val="7F2F7AE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cs="Symbol" w:hint="default"/>
        </w:rPr>
      </w:lvl>
    </w:lvlOverride>
  </w:num>
  <w:num w:numId="2">
    <w:abstractNumId w:val="8"/>
  </w:num>
  <w:num w:numId="3">
    <w:abstractNumId w:val="26"/>
  </w:num>
  <w:num w:numId="4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4"/>
  </w:num>
  <w:num w:numId="13">
    <w:abstractNumId w:val="27"/>
  </w:num>
  <w:num w:numId="14">
    <w:abstractNumId w:val="11"/>
  </w:num>
  <w:num w:numId="15">
    <w:abstractNumId w:val="33"/>
  </w:num>
  <w:num w:numId="16">
    <w:abstractNumId w:val="9"/>
  </w:num>
  <w:num w:numId="17">
    <w:abstractNumId w:val="39"/>
  </w:num>
  <w:num w:numId="18">
    <w:abstractNumId w:val="34"/>
  </w:num>
  <w:num w:numId="19">
    <w:abstractNumId w:val="12"/>
  </w:num>
  <w:num w:numId="20">
    <w:abstractNumId w:val="29"/>
  </w:num>
  <w:num w:numId="21">
    <w:abstractNumId w:val="25"/>
  </w:num>
  <w:num w:numId="22">
    <w:abstractNumId w:val="22"/>
  </w:num>
  <w:num w:numId="23">
    <w:abstractNumId w:val="47"/>
  </w:num>
  <w:num w:numId="24">
    <w:abstractNumId w:val="18"/>
  </w:num>
  <w:num w:numId="25">
    <w:abstractNumId w:val="46"/>
  </w:num>
  <w:num w:numId="26">
    <w:abstractNumId w:val="45"/>
  </w:num>
  <w:num w:numId="27">
    <w:abstractNumId w:val="32"/>
  </w:num>
  <w:num w:numId="28">
    <w:abstractNumId w:val="20"/>
  </w:num>
  <w:num w:numId="29">
    <w:abstractNumId w:val="36"/>
  </w:num>
  <w:num w:numId="30">
    <w:abstractNumId w:val="4"/>
  </w:num>
  <w:num w:numId="31">
    <w:abstractNumId w:val="30"/>
  </w:num>
  <w:num w:numId="32">
    <w:abstractNumId w:val="19"/>
  </w:num>
  <w:num w:numId="33">
    <w:abstractNumId w:val="3"/>
  </w:num>
  <w:num w:numId="34">
    <w:abstractNumId w:val="2"/>
  </w:num>
  <w:num w:numId="35">
    <w:abstractNumId w:val="31"/>
  </w:num>
  <w:num w:numId="36">
    <w:abstractNumId w:val="16"/>
  </w:num>
  <w:num w:numId="37">
    <w:abstractNumId w:val="28"/>
  </w:num>
  <w:num w:numId="38">
    <w:abstractNumId w:val="42"/>
  </w:num>
  <w:num w:numId="39">
    <w:abstractNumId w:val="37"/>
  </w:num>
  <w:num w:numId="40">
    <w:abstractNumId w:val="23"/>
  </w:num>
  <w:num w:numId="41">
    <w:abstractNumId w:val="14"/>
  </w:num>
  <w:num w:numId="42">
    <w:abstractNumId w:val="10"/>
  </w:num>
  <w:num w:numId="43">
    <w:abstractNumId w:val="15"/>
  </w:num>
  <w:num w:numId="44">
    <w:abstractNumId w:val="40"/>
  </w:num>
  <w:num w:numId="45">
    <w:abstractNumId w:val="41"/>
  </w:num>
  <w:num w:numId="46">
    <w:abstractNumId w:val="13"/>
  </w:num>
  <w:num w:numId="47">
    <w:abstractNumId w:val="35"/>
  </w:num>
  <w:num w:numId="48">
    <w:abstractNumId w:val="38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04B38"/>
    <w:rsid w:val="00034D8C"/>
    <w:rsid w:val="00035539"/>
    <w:rsid w:val="000660BE"/>
    <w:rsid w:val="00070545"/>
    <w:rsid w:val="000707A7"/>
    <w:rsid w:val="000719C9"/>
    <w:rsid w:val="00074314"/>
    <w:rsid w:val="000758B0"/>
    <w:rsid w:val="00085CB0"/>
    <w:rsid w:val="00092C72"/>
    <w:rsid w:val="00094CD1"/>
    <w:rsid w:val="000A2D0B"/>
    <w:rsid w:val="000B0D7D"/>
    <w:rsid w:val="000B7AAF"/>
    <w:rsid w:val="000C58F0"/>
    <w:rsid w:val="000D0982"/>
    <w:rsid w:val="000D0F53"/>
    <w:rsid w:val="000E38B8"/>
    <w:rsid w:val="000E5380"/>
    <w:rsid w:val="000E641C"/>
    <w:rsid w:val="000F0843"/>
    <w:rsid w:val="0011014C"/>
    <w:rsid w:val="00113561"/>
    <w:rsid w:val="00114E09"/>
    <w:rsid w:val="001341BC"/>
    <w:rsid w:val="0014217E"/>
    <w:rsid w:val="00146629"/>
    <w:rsid w:val="0015516B"/>
    <w:rsid w:val="00163B47"/>
    <w:rsid w:val="00165DCD"/>
    <w:rsid w:val="001802FB"/>
    <w:rsid w:val="00182AD7"/>
    <w:rsid w:val="00184503"/>
    <w:rsid w:val="00187BBE"/>
    <w:rsid w:val="001A2156"/>
    <w:rsid w:val="001A734E"/>
    <w:rsid w:val="001B5C5C"/>
    <w:rsid w:val="001B6DEA"/>
    <w:rsid w:val="001C22FC"/>
    <w:rsid w:val="001D14AC"/>
    <w:rsid w:val="001E72DB"/>
    <w:rsid w:val="001F1914"/>
    <w:rsid w:val="00212CA9"/>
    <w:rsid w:val="0021656F"/>
    <w:rsid w:val="00224B7C"/>
    <w:rsid w:val="00226048"/>
    <w:rsid w:val="00232293"/>
    <w:rsid w:val="002374B3"/>
    <w:rsid w:val="00241335"/>
    <w:rsid w:val="00251C4A"/>
    <w:rsid w:val="00254DE2"/>
    <w:rsid w:val="00255C8B"/>
    <w:rsid w:val="00261F3F"/>
    <w:rsid w:val="00264627"/>
    <w:rsid w:val="002722EC"/>
    <w:rsid w:val="002A3A5D"/>
    <w:rsid w:val="002A75D6"/>
    <w:rsid w:val="002A7E87"/>
    <w:rsid w:val="002C2FB9"/>
    <w:rsid w:val="002F29D2"/>
    <w:rsid w:val="0030471A"/>
    <w:rsid w:val="003153C5"/>
    <w:rsid w:val="00325E0C"/>
    <w:rsid w:val="00341AC6"/>
    <w:rsid w:val="00343CA8"/>
    <w:rsid w:val="00347093"/>
    <w:rsid w:val="00356739"/>
    <w:rsid w:val="003569D5"/>
    <w:rsid w:val="00361E08"/>
    <w:rsid w:val="00362326"/>
    <w:rsid w:val="00372F5A"/>
    <w:rsid w:val="00380332"/>
    <w:rsid w:val="00393622"/>
    <w:rsid w:val="00393DFE"/>
    <w:rsid w:val="003A2069"/>
    <w:rsid w:val="003A2CE3"/>
    <w:rsid w:val="003B644F"/>
    <w:rsid w:val="003C2B5E"/>
    <w:rsid w:val="003E0D78"/>
    <w:rsid w:val="003E37F5"/>
    <w:rsid w:val="003E551C"/>
    <w:rsid w:val="003F19BE"/>
    <w:rsid w:val="00410834"/>
    <w:rsid w:val="0043076C"/>
    <w:rsid w:val="004506E6"/>
    <w:rsid w:val="004577F9"/>
    <w:rsid w:val="00480811"/>
    <w:rsid w:val="00482A60"/>
    <w:rsid w:val="00494841"/>
    <w:rsid w:val="00496D21"/>
    <w:rsid w:val="004A6F36"/>
    <w:rsid w:val="004C1E32"/>
    <w:rsid w:val="004C53F4"/>
    <w:rsid w:val="004C60CF"/>
    <w:rsid w:val="004D5451"/>
    <w:rsid w:val="004E0218"/>
    <w:rsid w:val="004E35E4"/>
    <w:rsid w:val="004E37C0"/>
    <w:rsid w:val="004F6A5F"/>
    <w:rsid w:val="005044AC"/>
    <w:rsid w:val="00506694"/>
    <w:rsid w:val="00522B4A"/>
    <w:rsid w:val="005343B5"/>
    <w:rsid w:val="00537317"/>
    <w:rsid w:val="00543A65"/>
    <w:rsid w:val="005441D8"/>
    <w:rsid w:val="005456AC"/>
    <w:rsid w:val="00547E46"/>
    <w:rsid w:val="00552ED9"/>
    <w:rsid w:val="0056056B"/>
    <w:rsid w:val="00560B19"/>
    <w:rsid w:val="00560C34"/>
    <w:rsid w:val="005650A3"/>
    <w:rsid w:val="005651B0"/>
    <w:rsid w:val="0056635B"/>
    <w:rsid w:val="00575981"/>
    <w:rsid w:val="00576EF5"/>
    <w:rsid w:val="005806E5"/>
    <w:rsid w:val="00583F74"/>
    <w:rsid w:val="00585997"/>
    <w:rsid w:val="005B1667"/>
    <w:rsid w:val="005B6151"/>
    <w:rsid w:val="006011B8"/>
    <w:rsid w:val="00601DB2"/>
    <w:rsid w:val="006027A3"/>
    <w:rsid w:val="00611725"/>
    <w:rsid w:val="006151C2"/>
    <w:rsid w:val="00615D5E"/>
    <w:rsid w:val="00620826"/>
    <w:rsid w:val="006262E2"/>
    <w:rsid w:val="00627522"/>
    <w:rsid w:val="00635FCA"/>
    <w:rsid w:val="00650D2B"/>
    <w:rsid w:val="006573D5"/>
    <w:rsid w:val="006869CF"/>
    <w:rsid w:val="006A4A4B"/>
    <w:rsid w:val="006A66CD"/>
    <w:rsid w:val="006B7A13"/>
    <w:rsid w:val="006D0EE5"/>
    <w:rsid w:val="006D1D7D"/>
    <w:rsid w:val="006E63AC"/>
    <w:rsid w:val="00700CC3"/>
    <w:rsid w:val="00703DA5"/>
    <w:rsid w:val="00706B2E"/>
    <w:rsid w:val="00711DD3"/>
    <w:rsid w:val="0071384A"/>
    <w:rsid w:val="007263AD"/>
    <w:rsid w:val="007274BF"/>
    <w:rsid w:val="00740B6D"/>
    <w:rsid w:val="007510E4"/>
    <w:rsid w:val="00752E30"/>
    <w:rsid w:val="007552B2"/>
    <w:rsid w:val="00770369"/>
    <w:rsid w:val="007750B6"/>
    <w:rsid w:val="00794FB4"/>
    <w:rsid w:val="00795248"/>
    <w:rsid w:val="00795F6A"/>
    <w:rsid w:val="007A4B87"/>
    <w:rsid w:val="007B1FF0"/>
    <w:rsid w:val="007B3EB7"/>
    <w:rsid w:val="007B512B"/>
    <w:rsid w:val="007D571A"/>
    <w:rsid w:val="007D700B"/>
    <w:rsid w:val="007E129C"/>
    <w:rsid w:val="007E35F1"/>
    <w:rsid w:val="007F1937"/>
    <w:rsid w:val="008002BA"/>
    <w:rsid w:val="0080386D"/>
    <w:rsid w:val="00804157"/>
    <w:rsid w:val="00812A79"/>
    <w:rsid w:val="0082139A"/>
    <w:rsid w:val="00824F30"/>
    <w:rsid w:val="008304EA"/>
    <w:rsid w:val="00833660"/>
    <w:rsid w:val="0083593D"/>
    <w:rsid w:val="00841BB6"/>
    <w:rsid w:val="00841EE9"/>
    <w:rsid w:val="008450F3"/>
    <w:rsid w:val="00860CCA"/>
    <w:rsid w:val="0087311C"/>
    <w:rsid w:val="008756F0"/>
    <w:rsid w:val="0088210F"/>
    <w:rsid w:val="00884D2A"/>
    <w:rsid w:val="008A122C"/>
    <w:rsid w:val="008A47DC"/>
    <w:rsid w:val="008A7C1E"/>
    <w:rsid w:val="008B4D7D"/>
    <w:rsid w:val="008B7D8A"/>
    <w:rsid w:val="008C4033"/>
    <w:rsid w:val="008C5428"/>
    <w:rsid w:val="008C6520"/>
    <w:rsid w:val="008D2EEC"/>
    <w:rsid w:val="008D6BC5"/>
    <w:rsid w:val="008E33DA"/>
    <w:rsid w:val="008E5DC0"/>
    <w:rsid w:val="008F6EF0"/>
    <w:rsid w:val="00913960"/>
    <w:rsid w:val="009200EA"/>
    <w:rsid w:val="00931B94"/>
    <w:rsid w:val="0093248A"/>
    <w:rsid w:val="0093726C"/>
    <w:rsid w:val="00943700"/>
    <w:rsid w:val="00956D6E"/>
    <w:rsid w:val="00960704"/>
    <w:rsid w:val="0097512B"/>
    <w:rsid w:val="00984488"/>
    <w:rsid w:val="009951D0"/>
    <w:rsid w:val="009977C7"/>
    <w:rsid w:val="009A18E0"/>
    <w:rsid w:val="009B4B6D"/>
    <w:rsid w:val="009C2808"/>
    <w:rsid w:val="009D1434"/>
    <w:rsid w:val="009D1F1B"/>
    <w:rsid w:val="009D461E"/>
    <w:rsid w:val="009D76C8"/>
    <w:rsid w:val="009E7132"/>
    <w:rsid w:val="009F7022"/>
    <w:rsid w:val="00A240B7"/>
    <w:rsid w:val="00A27C9D"/>
    <w:rsid w:val="00A521C8"/>
    <w:rsid w:val="00A6549F"/>
    <w:rsid w:val="00A655DB"/>
    <w:rsid w:val="00A67C9A"/>
    <w:rsid w:val="00A75B3F"/>
    <w:rsid w:val="00A76F77"/>
    <w:rsid w:val="00A8103B"/>
    <w:rsid w:val="00A8394E"/>
    <w:rsid w:val="00A84CB7"/>
    <w:rsid w:val="00A95CB6"/>
    <w:rsid w:val="00A96470"/>
    <w:rsid w:val="00AA2215"/>
    <w:rsid w:val="00AA2340"/>
    <w:rsid w:val="00AB2919"/>
    <w:rsid w:val="00AB4F76"/>
    <w:rsid w:val="00AB7B24"/>
    <w:rsid w:val="00AD4AEE"/>
    <w:rsid w:val="00AD4EF0"/>
    <w:rsid w:val="00AE6882"/>
    <w:rsid w:val="00AF7CC9"/>
    <w:rsid w:val="00B13699"/>
    <w:rsid w:val="00B24927"/>
    <w:rsid w:val="00B25333"/>
    <w:rsid w:val="00B459D7"/>
    <w:rsid w:val="00B667DC"/>
    <w:rsid w:val="00B7106A"/>
    <w:rsid w:val="00B739CF"/>
    <w:rsid w:val="00B838B0"/>
    <w:rsid w:val="00B97572"/>
    <w:rsid w:val="00BA3E6A"/>
    <w:rsid w:val="00BB3076"/>
    <w:rsid w:val="00BB3692"/>
    <w:rsid w:val="00BB7DB7"/>
    <w:rsid w:val="00BC4159"/>
    <w:rsid w:val="00BD2AC3"/>
    <w:rsid w:val="00BD306B"/>
    <w:rsid w:val="00BD6FE2"/>
    <w:rsid w:val="00BE69A7"/>
    <w:rsid w:val="00BE757A"/>
    <w:rsid w:val="00BF357F"/>
    <w:rsid w:val="00BF5B1A"/>
    <w:rsid w:val="00BF7A0E"/>
    <w:rsid w:val="00C0323F"/>
    <w:rsid w:val="00C072DC"/>
    <w:rsid w:val="00C0746E"/>
    <w:rsid w:val="00C112C3"/>
    <w:rsid w:val="00C114BC"/>
    <w:rsid w:val="00C14C3E"/>
    <w:rsid w:val="00C1587E"/>
    <w:rsid w:val="00C21C0E"/>
    <w:rsid w:val="00C235E7"/>
    <w:rsid w:val="00C30B5B"/>
    <w:rsid w:val="00C3776B"/>
    <w:rsid w:val="00C45E91"/>
    <w:rsid w:val="00C55303"/>
    <w:rsid w:val="00C651BB"/>
    <w:rsid w:val="00C67AC5"/>
    <w:rsid w:val="00C70266"/>
    <w:rsid w:val="00C74F28"/>
    <w:rsid w:val="00C86224"/>
    <w:rsid w:val="00CA3438"/>
    <w:rsid w:val="00CA4B65"/>
    <w:rsid w:val="00CB543A"/>
    <w:rsid w:val="00CC424E"/>
    <w:rsid w:val="00CC4B76"/>
    <w:rsid w:val="00CD0811"/>
    <w:rsid w:val="00CD1681"/>
    <w:rsid w:val="00CD41A4"/>
    <w:rsid w:val="00CE412D"/>
    <w:rsid w:val="00CE7EB1"/>
    <w:rsid w:val="00CF0F10"/>
    <w:rsid w:val="00CF32BA"/>
    <w:rsid w:val="00CF7F8B"/>
    <w:rsid w:val="00CF7FF2"/>
    <w:rsid w:val="00D0015F"/>
    <w:rsid w:val="00D010BA"/>
    <w:rsid w:val="00D02379"/>
    <w:rsid w:val="00D02A51"/>
    <w:rsid w:val="00D107C4"/>
    <w:rsid w:val="00D12EB3"/>
    <w:rsid w:val="00D3269C"/>
    <w:rsid w:val="00D33348"/>
    <w:rsid w:val="00D34197"/>
    <w:rsid w:val="00D36616"/>
    <w:rsid w:val="00D51297"/>
    <w:rsid w:val="00D56C00"/>
    <w:rsid w:val="00D63849"/>
    <w:rsid w:val="00D83AB0"/>
    <w:rsid w:val="00D84DBC"/>
    <w:rsid w:val="00D96B37"/>
    <w:rsid w:val="00DA5142"/>
    <w:rsid w:val="00DB6D53"/>
    <w:rsid w:val="00DD48D1"/>
    <w:rsid w:val="00DD52A8"/>
    <w:rsid w:val="00DE039F"/>
    <w:rsid w:val="00DE4D7F"/>
    <w:rsid w:val="00DE5FF7"/>
    <w:rsid w:val="00DF67BA"/>
    <w:rsid w:val="00DF6C3E"/>
    <w:rsid w:val="00E063ED"/>
    <w:rsid w:val="00E068D7"/>
    <w:rsid w:val="00E137D0"/>
    <w:rsid w:val="00E21386"/>
    <w:rsid w:val="00E31537"/>
    <w:rsid w:val="00E358B0"/>
    <w:rsid w:val="00E52949"/>
    <w:rsid w:val="00E673FD"/>
    <w:rsid w:val="00E67985"/>
    <w:rsid w:val="00E75022"/>
    <w:rsid w:val="00E7679E"/>
    <w:rsid w:val="00E86B01"/>
    <w:rsid w:val="00E91418"/>
    <w:rsid w:val="00EA1AF7"/>
    <w:rsid w:val="00EA2CB4"/>
    <w:rsid w:val="00EA45D6"/>
    <w:rsid w:val="00EA581D"/>
    <w:rsid w:val="00EB5716"/>
    <w:rsid w:val="00EB7443"/>
    <w:rsid w:val="00ED4EFB"/>
    <w:rsid w:val="00EE0255"/>
    <w:rsid w:val="00EE25C9"/>
    <w:rsid w:val="00EE4D89"/>
    <w:rsid w:val="00EE5E3A"/>
    <w:rsid w:val="00EF2005"/>
    <w:rsid w:val="00F17D30"/>
    <w:rsid w:val="00F21262"/>
    <w:rsid w:val="00F24CD0"/>
    <w:rsid w:val="00F24E08"/>
    <w:rsid w:val="00F319DF"/>
    <w:rsid w:val="00F453A7"/>
    <w:rsid w:val="00F45886"/>
    <w:rsid w:val="00F5138A"/>
    <w:rsid w:val="00F55F59"/>
    <w:rsid w:val="00F5701B"/>
    <w:rsid w:val="00F66B44"/>
    <w:rsid w:val="00F77F7B"/>
    <w:rsid w:val="00F857AC"/>
    <w:rsid w:val="00F876BA"/>
    <w:rsid w:val="00F9543F"/>
    <w:rsid w:val="00F96174"/>
    <w:rsid w:val="00FB79C2"/>
    <w:rsid w:val="00FC29CA"/>
    <w:rsid w:val="00FD7880"/>
    <w:rsid w:val="00FE387F"/>
    <w:rsid w:val="00FE55C5"/>
    <w:rsid w:val="00FF331C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B6A65F-FC2E-4FD3-9D4E-B877F399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rsid w:val="00D512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5129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DB6D5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6D53"/>
  </w:style>
  <w:style w:type="character" w:customStyle="1" w:styleId="TextkomenteChar">
    <w:name w:val="Text komentáře Char"/>
    <w:basedOn w:val="Standardnpsmoodstavce"/>
    <w:link w:val="Textkomente"/>
    <w:semiHidden/>
    <w:rsid w:val="00DB6D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B6D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B6D53"/>
    <w:rPr>
      <w:b/>
      <w:bCs/>
    </w:rPr>
  </w:style>
  <w:style w:type="table" w:styleId="Svtltabulkasmkou1zvraznn1">
    <w:name w:val="Grid Table 1 Light Accent 1"/>
    <w:basedOn w:val="Normlntabulka"/>
    <w:uiPriority w:val="46"/>
    <w:rsid w:val="001341B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1341B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3zvraznn1">
    <w:name w:val="Grid Table 3 Accent 1"/>
    <w:basedOn w:val="Normlntabulka"/>
    <w:uiPriority w:val="48"/>
    <w:rsid w:val="001341B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4zvraznn1">
    <w:name w:val="Grid Table 4 Accent 1"/>
    <w:basedOn w:val="Normlntabulka"/>
    <w:uiPriority w:val="49"/>
    <w:rsid w:val="001341B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3zvraznn1">
    <w:name w:val="List Table 3 Accent 1"/>
    <w:basedOn w:val="Normlntabulka"/>
    <w:uiPriority w:val="48"/>
    <w:rsid w:val="0043076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4zvraznn1">
    <w:name w:val="List Table 4 Accent 1"/>
    <w:basedOn w:val="Normlntabulka"/>
    <w:uiPriority w:val="49"/>
    <w:rsid w:val="004307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80386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9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4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55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28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19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61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k_jura7106\Downloads\HDP%20&#268;R%20a%20kraj&#367;%202008%20-%20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01\USERS2\ok_jura7106\PR&#218;OOK%202015\Hodnocen&#237;%202019\Hodnocen&#237;%20SROK%202019_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600" b="1" i="0" u="none" strike="noStrike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Vývoj HDP v kraji na obyvatele </a:t>
            </a:r>
            <a:r>
              <a:rPr lang="cs-CZ" sz="1600" b="1">
                <a:latin typeface="Arial" panose="020B0604020202020204" pitchFamily="34" charset="0"/>
                <a:cs typeface="Arial" panose="020B0604020202020204" pitchFamily="34" charset="0"/>
              </a:rPr>
              <a:t>v paritě kupní síly EU 28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2"/>
          <c:order val="1"/>
          <c:tx>
            <c:strRef>
              <c:f>List1!$A$47</c:f>
              <c:strCache>
                <c:ptCount val="1"/>
                <c:pt idx="0">
                  <c:v>Česká republika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List1!$F$46:$L$46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List1!$F$47:$L$47</c:f>
              <c:numCache>
                <c:formatCode>General</c:formatCode>
                <c:ptCount val="7"/>
                <c:pt idx="0">
                  <c:v>82.3</c:v>
                </c:pt>
                <c:pt idx="1">
                  <c:v>83.5</c:v>
                </c:pt>
                <c:pt idx="2">
                  <c:v>85.8</c:v>
                </c:pt>
                <c:pt idx="3">
                  <c:v>87</c:v>
                </c:pt>
                <c:pt idx="4">
                  <c:v>87.5</c:v>
                </c:pt>
                <c:pt idx="5">
                  <c:v>89.2</c:v>
                </c:pt>
                <c:pt idx="6">
                  <c:v>90.5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F9C-4F55-BE16-127AF559F465}"/>
            </c:ext>
          </c:extLst>
        </c:ser>
        <c:ser>
          <c:idx val="13"/>
          <c:order val="2"/>
          <c:tx>
            <c:strRef>
              <c:f>List1!$A$58</c:f>
              <c:strCache>
                <c:ptCount val="1"/>
                <c:pt idx="0">
                  <c:v>Jihomoravský kraj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List1!$F$46:$L$46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List1!$F$58:$L$58</c:f>
              <c:numCache>
                <c:formatCode>General</c:formatCode>
                <c:ptCount val="7"/>
                <c:pt idx="0">
                  <c:v>79.3</c:v>
                </c:pt>
                <c:pt idx="1">
                  <c:v>83</c:v>
                </c:pt>
                <c:pt idx="2">
                  <c:v>84.7</c:v>
                </c:pt>
                <c:pt idx="3">
                  <c:v>85.4</c:v>
                </c:pt>
                <c:pt idx="4">
                  <c:v>84.4</c:v>
                </c:pt>
                <c:pt idx="5">
                  <c:v>84.2</c:v>
                </c:pt>
                <c:pt idx="6">
                  <c:v>87.7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F9C-4F55-BE16-127AF559F465}"/>
            </c:ext>
          </c:extLst>
        </c:ser>
        <c:ser>
          <c:idx val="7"/>
          <c:order val="6"/>
          <c:tx>
            <c:strRef>
              <c:f>List1!$A$60</c:f>
              <c:strCache>
                <c:ptCount val="1"/>
                <c:pt idx="0">
                  <c:v>Zlínský kraj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List1!$F$46:$L$46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List1!$F$60:$L$60</c:f>
              <c:numCache>
                <c:formatCode>General</c:formatCode>
                <c:ptCount val="7"/>
                <c:pt idx="0">
                  <c:v>69.2</c:v>
                </c:pt>
                <c:pt idx="1">
                  <c:v>70.8</c:v>
                </c:pt>
                <c:pt idx="2">
                  <c:v>76.5</c:v>
                </c:pt>
                <c:pt idx="3">
                  <c:v>74.8</c:v>
                </c:pt>
                <c:pt idx="4">
                  <c:v>75.2</c:v>
                </c:pt>
                <c:pt idx="5">
                  <c:v>76.3</c:v>
                </c:pt>
                <c:pt idx="6">
                  <c:v>76.7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F9C-4F55-BE16-127AF559F465}"/>
            </c:ext>
          </c:extLst>
        </c:ser>
        <c:ser>
          <c:idx val="6"/>
          <c:order val="7"/>
          <c:tx>
            <c:strRef>
              <c:f>List1!$A$61</c:f>
              <c:strCache>
                <c:ptCount val="1"/>
                <c:pt idx="0">
                  <c:v>Moravskoslezský kraj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List1!$F$46:$L$46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List1!$F$61:$L$61</c:f>
              <c:numCache>
                <c:formatCode>General</c:formatCode>
                <c:ptCount val="7"/>
                <c:pt idx="0">
                  <c:v>70.900000000000006</c:v>
                </c:pt>
                <c:pt idx="1">
                  <c:v>69.5</c:v>
                </c:pt>
                <c:pt idx="2">
                  <c:v>72.099999999999994</c:v>
                </c:pt>
                <c:pt idx="3">
                  <c:v>72.3</c:v>
                </c:pt>
                <c:pt idx="4">
                  <c:v>72.599999999999994</c:v>
                </c:pt>
                <c:pt idx="5">
                  <c:v>73.5</c:v>
                </c:pt>
                <c:pt idx="6">
                  <c:v>75.599999999999994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F9C-4F55-BE16-127AF559F465}"/>
            </c:ext>
          </c:extLst>
        </c:ser>
        <c:ser>
          <c:idx val="8"/>
          <c:order val="11"/>
          <c:tx>
            <c:strRef>
              <c:f>List1!$A$59</c:f>
              <c:strCache>
                <c:ptCount val="1"/>
                <c:pt idx="0">
                  <c:v>Olomoucký kraj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List1!$F$46:$L$46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List1!$F$59:$L$59</c:f>
              <c:numCache>
                <c:formatCode>General</c:formatCode>
                <c:ptCount val="7"/>
                <c:pt idx="0">
                  <c:v>64.099999999999994</c:v>
                </c:pt>
                <c:pt idx="1">
                  <c:v>64.5</c:v>
                </c:pt>
                <c:pt idx="2">
                  <c:v>66.7</c:v>
                </c:pt>
                <c:pt idx="3">
                  <c:v>66.8</c:v>
                </c:pt>
                <c:pt idx="4">
                  <c:v>68.099999999999994</c:v>
                </c:pt>
                <c:pt idx="5">
                  <c:v>69.900000000000006</c:v>
                </c:pt>
                <c:pt idx="6">
                  <c:v>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F9C-4F55-BE16-127AF559F465}"/>
            </c:ext>
          </c:extLst>
        </c:ser>
        <c:ser>
          <c:idx val="15"/>
          <c:order val="12"/>
          <c:tx>
            <c:strRef>
              <c:f>List1!$A$54</c:f>
              <c:strCache>
                <c:ptCount val="1"/>
                <c:pt idx="0">
                  <c:v>Liberecký kraj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List1!$F$46:$L$46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List1!$F$54:$L$54</c:f>
              <c:numCache>
                <c:formatCode>General</c:formatCode>
                <c:ptCount val="7"/>
                <c:pt idx="0">
                  <c:v>63.9</c:v>
                </c:pt>
                <c:pt idx="1">
                  <c:v>64.7</c:v>
                </c:pt>
                <c:pt idx="2">
                  <c:v>66.5</c:v>
                </c:pt>
                <c:pt idx="3">
                  <c:v>67.3</c:v>
                </c:pt>
                <c:pt idx="4">
                  <c:v>67.7</c:v>
                </c:pt>
                <c:pt idx="5">
                  <c:v>68.2</c:v>
                </c:pt>
                <c:pt idx="6">
                  <c:v>69.900000000000006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F9C-4F55-BE16-127AF559F465}"/>
            </c:ext>
          </c:extLst>
        </c:ser>
        <c:ser>
          <c:idx val="14"/>
          <c:order val="13"/>
          <c:tx>
            <c:strRef>
              <c:f>List1!$A$53</c:f>
              <c:strCache>
                <c:ptCount val="1"/>
                <c:pt idx="0">
                  <c:v>Ústecký kraj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List1!$F$46:$L$46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List1!$F$53:$L$53</c:f>
              <c:numCache>
                <c:formatCode>General</c:formatCode>
                <c:ptCount val="7"/>
                <c:pt idx="0">
                  <c:v>64.599999999999994</c:v>
                </c:pt>
                <c:pt idx="1">
                  <c:v>64.7</c:v>
                </c:pt>
                <c:pt idx="2">
                  <c:v>64.900000000000006</c:v>
                </c:pt>
                <c:pt idx="3">
                  <c:v>66.7</c:v>
                </c:pt>
                <c:pt idx="4">
                  <c:v>64</c:v>
                </c:pt>
                <c:pt idx="5">
                  <c:v>64.599999999999994</c:v>
                </c:pt>
                <c:pt idx="6">
                  <c:v>64.8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F9C-4F55-BE16-127AF559F465}"/>
            </c:ext>
          </c:extLst>
        </c:ser>
        <c:ser>
          <c:idx val="9"/>
          <c:order val="14"/>
          <c:tx>
            <c:strRef>
              <c:f>List1!$A$52</c:f>
              <c:strCache>
                <c:ptCount val="1"/>
                <c:pt idx="0">
                  <c:v>Karlovarský kraj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List1!$F$46:$L$46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List1!$F$52:$L$52</c:f>
              <c:numCache>
                <c:formatCode>General</c:formatCode>
                <c:ptCount val="7"/>
                <c:pt idx="0">
                  <c:v>58</c:v>
                </c:pt>
                <c:pt idx="1">
                  <c:v>58.3</c:v>
                </c:pt>
                <c:pt idx="2">
                  <c:v>59.1</c:v>
                </c:pt>
                <c:pt idx="3">
                  <c:v>58.3</c:v>
                </c:pt>
                <c:pt idx="4">
                  <c:v>57.5</c:v>
                </c:pt>
                <c:pt idx="5">
                  <c:v>59.1</c:v>
                </c:pt>
                <c:pt idx="6">
                  <c:v>58.5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DF9C-4F55-BE16-127AF559F4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8746448"/>
        <c:axId val="418746776"/>
        <c:extLst>
          <c:ext xmlns:c15="http://schemas.microsoft.com/office/drawing/2012/chart" uri="{02D57815-91ED-43cb-92C2-25804820EDAC}">
            <c15:filteredLineSeries>
              <c15:ser>
                <c:idx val="1"/>
                <c:order val="0"/>
                <c:tx>
                  <c:strRef>
                    <c:extLst>
                      <c:ext uri="{02D57815-91ED-43cb-92C2-25804820EDAC}">
                        <c15:formulaRef>
                          <c15:sqref>List1!$A$48</c15:sqref>
                        </c15:formulaRef>
                      </c:ext>
                    </c:extLst>
                    <c:strCache>
                      <c:ptCount val="1"/>
                      <c:pt idx="0">
                        <c:v>Hlavní město Praha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List1!$F$46:$L$46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2012</c:v>
                      </c:pt>
                      <c:pt idx="1">
                        <c:v>2013</c:v>
                      </c:pt>
                      <c:pt idx="2">
                        <c:v>2014</c:v>
                      </c:pt>
                      <c:pt idx="3">
                        <c:v>2015</c:v>
                      </c:pt>
                      <c:pt idx="4">
                        <c:v>2016</c:v>
                      </c:pt>
                      <c:pt idx="5">
                        <c:v>2017</c:v>
                      </c:pt>
                      <c:pt idx="6">
                        <c:v>2018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List1!$F$48:$L$48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172.1</c:v>
                      </c:pt>
                      <c:pt idx="1">
                        <c:v>173.9</c:v>
                      </c:pt>
                      <c:pt idx="2">
                        <c:v>174.8</c:v>
                      </c:pt>
                      <c:pt idx="3">
                        <c:v>183.1</c:v>
                      </c:pt>
                      <c:pt idx="4">
                        <c:v>182.9</c:v>
                      </c:pt>
                      <c:pt idx="5">
                        <c:v>186.6</c:v>
                      </c:pt>
                      <c:pt idx="6">
                        <c:v>190.9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8-DF9C-4F55-BE16-127AF559F465}"/>
                  </c:ext>
                </c:extLst>
              </c15:ser>
            </c15:filteredLineSeries>
            <c15:filteredLineSeries>
              <c15:ser>
                <c:idx val="12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List1!$A$49</c15:sqref>
                        </c15:formulaRef>
                      </c:ext>
                    </c:extLst>
                    <c:strCache>
                      <c:ptCount val="1"/>
                      <c:pt idx="0">
                        <c:v>Středočeský kraj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List1!$F$46:$L$46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2012</c:v>
                      </c:pt>
                      <c:pt idx="1">
                        <c:v>2013</c:v>
                      </c:pt>
                      <c:pt idx="2">
                        <c:v>2014</c:v>
                      </c:pt>
                      <c:pt idx="3">
                        <c:v>2015</c:v>
                      </c:pt>
                      <c:pt idx="4">
                        <c:v>2016</c:v>
                      </c:pt>
                      <c:pt idx="5">
                        <c:v>2017</c:v>
                      </c:pt>
                      <c:pt idx="6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List1!$F$49:$L$49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74.5</c:v>
                      </c:pt>
                      <c:pt idx="1">
                        <c:v>74.599999999999994</c:v>
                      </c:pt>
                      <c:pt idx="2">
                        <c:v>78.900000000000006</c:v>
                      </c:pt>
                      <c:pt idx="3">
                        <c:v>78.400000000000006</c:v>
                      </c:pt>
                      <c:pt idx="4">
                        <c:v>81.099999999999994</c:v>
                      </c:pt>
                      <c:pt idx="5">
                        <c:v>83.4</c:v>
                      </c:pt>
                      <c:pt idx="6">
                        <c:v>81.900000000000006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DF9C-4F55-BE16-127AF559F465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List1!$A$55</c15:sqref>
                        </c15:formulaRef>
                      </c:ext>
                    </c:extLst>
                    <c:strCache>
                      <c:ptCount val="1"/>
                      <c:pt idx="0">
                        <c:v>Královéhradecký kraj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List1!$F$46:$L$46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2012</c:v>
                      </c:pt>
                      <c:pt idx="1">
                        <c:v>2013</c:v>
                      </c:pt>
                      <c:pt idx="2">
                        <c:v>2014</c:v>
                      </c:pt>
                      <c:pt idx="3">
                        <c:v>2015</c:v>
                      </c:pt>
                      <c:pt idx="4">
                        <c:v>2016</c:v>
                      </c:pt>
                      <c:pt idx="5">
                        <c:v>2017</c:v>
                      </c:pt>
                      <c:pt idx="6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List1!$F$55:$L$55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71</c:v>
                      </c:pt>
                      <c:pt idx="1">
                        <c:v>71.8</c:v>
                      </c:pt>
                      <c:pt idx="2">
                        <c:v>75.2</c:v>
                      </c:pt>
                      <c:pt idx="3">
                        <c:v>75.5</c:v>
                      </c:pt>
                      <c:pt idx="4">
                        <c:v>77.8</c:v>
                      </c:pt>
                      <c:pt idx="5">
                        <c:v>82.7</c:v>
                      </c:pt>
                      <c:pt idx="6">
                        <c:v>81.400000000000006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DF9C-4F55-BE16-127AF559F465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List1!$A$51</c15:sqref>
                        </c15:formulaRef>
                      </c:ext>
                    </c:extLst>
                    <c:strCache>
                      <c:ptCount val="1"/>
                      <c:pt idx="0">
                        <c:v>Plzeňský kraj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List1!$F$46:$L$46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2012</c:v>
                      </c:pt>
                      <c:pt idx="1">
                        <c:v>2013</c:v>
                      </c:pt>
                      <c:pt idx="2">
                        <c:v>2014</c:v>
                      </c:pt>
                      <c:pt idx="3">
                        <c:v>2015</c:v>
                      </c:pt>
                      <c:pt idx="4">
                        <c:v>2016</c:v>
                      </c:pt>
                      <c:pt idx="5">
                        <c:v>2017</c:v>
                      </c:pt>
                      <c:pt idx="6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List1!$F$51:$L$51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73.900000000000006</c:v>
                      </c:pt>
                      <c:pt idx="1">
                        <c:v>77.8</c:v>
                      </c:pt>
                      <c:pt idx="2">
                        <c:v>81.3</c:v>
                      </c:pt>
                      <c:pt idx="3">
                        <c:v>80.900000000000006</c:v>
                      </c:pt>
                      <c:pt idx="4">
                        <c:v>81.8</c:v>
                      </c:pt>
                      <c:pt idx="5">
                        <c:v>82.4</c:v>
                      </c:pt>
                      <c:pt idx="6">
                        <c:v>81.3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DF9C-4F55-BE16-127AF559F465}"/>
                  </c:ext>
                </c:extLst>
              </c15:ser>
            </c15:filteredLineSeries>
            <c15:filteredLineSeries>
              <c15:ser>
                <c:idx val="3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List1!$A$50</c15:sqref>
                        </c15:formulaRef>
                      </c:ext>
                    </c:extLst>
                    <c:strCache>
                      <c:ptCount val="1"/>
                      <c:pt idx="0">
                        <c:v>Jihočeský kraj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List1!$F$46:$L$46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2012</c:v>
                      </c:pt>
                      <c:pt idx="1">
                        <c:v>2013</c:v>
                      </c:pt>
                      <c:pt idx="2">
                        <c:v>2014</c:v>
                      </c:pt>
                      <c:pt idx="3">
                        <c:v>2015</c:v>
                      </c:pt>
                      <c:pt idx="4">
                        <c:v>2016</c:v>
                      </c:pt>
                      <c:pt idx="5">
                        <c:v>2017</c:v>
                      </c:pt>
                      <c:pt idx="6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List1!$F$50:$L$50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69.8</c:v>
                      </c:pt>
                      <c:pt idx="1">
                        <c:v>71.3</c:v>
                      </c:pt>
                      <c:pt idx="2">
                        <c:v>72.099999999999994</c:v>
                      </c:pt>
                      <c:pt idx="3">
                        <c:v>71.7</c:v>
                      </c:pt>
                      <c:pt idx="4">
                        <c:v>72.099999999999994</c:v>
                      </c:pt>
                      <c:pt idx="5">
                        <c:v>72.400000000000006</c:v>
                      </c:pt>
                      <c:pt idx="6">
                        <c:v>74.8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DF9C-4F55-BE16-127AF559F465}"/>
                  </c:ext>
                </c:extLst>
              </c15:ser>
            </c15:filteredLineSeries>
            <c15:filteredLineSeries>
              <c15:ser>
                <c:idx val="10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List1!$A$56</c15:sqref>
                        </c15:formulaRef>
                      </c:ext>
                    </c:extLst>
                    <c:strCache>
                      <c:ptCount val="1"/>
                      <c:pt idx="0">
                        <c:v>Pardubický kraj</c:v>
                      </c:pt>
                    </c:strCache>
                  </c:strRef>
                </c:tx>
                <c:spPr>
                  <a:ln w="28575" cap="rnd">
                    <a:solidFill>
                      <a:schemeClr val="accent5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List1!$F$46:$L$46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2012</c:v>
                      </c:pt>
                      <c:pt idx="1">
                        <c:v>2013</c:v>
                      </c:pt>
                      <c:pt idx="2">
                        <c:v>2014</c:v>
                      </c:pt>
                      <c:pt idx="3">
                        <c:v>2015</c:v>
                      </c:pt>
                      <c:pt idx="4">
                        <c:v>2016</c:v>
                      </c:pt>
                      <c:pt idx="5">
                        <c:v>2017</c:v>
                      </c:pt>
                      <c:pt idx="6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List1!$F$56:$L$56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65.3</c:v>
                      </c:pt>
                      <c:pt idx="1">
                        <c:v>67.2</c:v>
                      </c:pt>
                      <c:pt idx="2">
                        <c:v>69.8</c:v>
                      </c:pt>
                      <c:pt idx="3">
                        <c:v>70.8</c:v>
                      </c:pt>
                      <c:pt idx="4">
                        <c:v>71.3</c:v>
                      </c:pt>
                      <c:pt idx="5">
                        <c:v>72.599999999999994</c:v>
                      </c:pt>
                      <c:pt idx="6">
                        <c:v>74.2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D-DF9C-4F55-BE16-127AF559F465}"/>
                  </c:ext>
                </c:extLst>
              </c15:ser>
            </c15:filteredLineSeries>
            <c15:filteredLineSeries>
              <c15:ser>
                <c:idx val="11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List1!$A$57</c15:sqref>
                        </c15:formulaRef>
                      </c:ext>
                    </c:extLst>
                    <c:strCache>
                      <c:ptCount val="1"/>
                      <c:pt idx="0">
                        <c:v>Kraj Vysočina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List1!$F$46:$L$46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2012</c:v>
                      </c:pt>
                      <c:pt idx="1">
                        <c:v>2013</c:v>
                      </c:pt>
                      <c:pt idx="2">
                        <c:v>2014</c:v>
                      </c:pt>
                      <c:pt idx="3">
                        <c:v>2015</c:v>
                      </c:pt>
                      <c:pt idx="4">
                        <c:v>2016</c:v>
                      </c:pt>
                      <c:pt idx="5">
                        <c:v>2017</c:v>
                      </c:pt>
                      <c:pt idx="6">
                        <c:v>2018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List1!$F$57:$L$57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69</c:v>
                      </c:pt>
                      <c:pt idx="1">
                        <c:v>70.099999999999994</c:v>
                      </c:pt>
                      <c:pt idx="2">
                        <c:v>71.5</c:v>
                      </c:pt>
                      <c:pt idx="3">
                        <c:v>71.099999999999994</c:v>
                      </c:pt>
                      <c:pt idx="4">
                        <c:v>71.900000000000006</c:v>
                      </c:pt>
                      <c:pt idx="5">
                        <c:v>73.400000000000006</c:v>
                      </c:pt>
                      <c:pt idx="6">
                        <c:v>73.2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E-DF9C-4F55-BE16-127AF559F465}"/>
                  </c:ext>
                </c:extLst>
              </c15:ser>
            </c15:filteredLineSeries>
          </c:ext>
        </c:extLst>
      </c:lineChart>
      <c:catAx>
        <c:axId val="418746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18746776"/>
        <c:crosses val="autoZero"/>
        <c:auto val="1"/>
        <c:lblAlgn val="ctr"/>
        <c:lblOffset val="100"/>
        <c:noMultiLvlLbl val="0"/>
      </c:catAx>
      <c:valAx>
        <c:axId val="418746776"/>
        <c:scaling>
          <c:orientation val="minMax"/>
          <c:max val="1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18746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905813729099351"/>
          <c:y val="0.14666525744684597"/>
          <c:w val="0.18539782337211547"/>
          <c:h val="0.582964134500209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cs-CZ" sz="1600"/>
              <a:t>Vývoj výše výdajů na rozvojové činnosti dle hodnocení SROK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140277604188364"/>
          <c:y val="0.20991733453853376"/>
          <c:w val="0.70718729603244046"/>
          <c:h val="0.70287069364442878"/>
        </c:manualLayout>
      </c:layout>
      <c:lineChart>
        <c:grouping val="standard"/>
        <c:varyColors val="0"/>
        <c:ser>
          <c:idx val="1"/>
          <c:order val="0"/>
          <c:tx>
            <c:strRef>
              <c:f>Vývoj!$A$6</c:f>
              <c:strCache>
                <c:ptCount val="1"/>
                <c:pt idx="0">
                  <c:v>Hodnocení SROK celkem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pPr>
              <a:solidFill>
                <a:srgbClr val="002060"/>
              </a:solidFill>
            </c:spPr>
          </c:marker>
          <c:cat>
            <c:strRef>
              <c:f>Vývoj!$B$4:$J$4</c:f>
              <c:strCach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  <c:pt idx="6">
                  <c:v>2017*</c:v>
                </c:pt>
                <c:pt idx="7">
                  <c:v>2018*</c:v>
                </c:pt>
                <c:pt idx="8">
                  <c:v>2019*</c:v>
                </c:pt>
              </c:strCache>
            </c:strRef>
          </c:cat>
          <c:val>
            <c:numRef>
              <c:f>Vývoj!$B$6:$J$6</c:f>
              <c:numCache>
                <c:formatCode>General</c:formatCode>
                <c:ptCount val="9"/>
                <c:pt idx="0">
                  <c:v>1607638</c:v>
                </c:pt>
                <c:pt idx="1">
                  <c:v>1685842</c:v>
                </c:pt>
                <c:pt idx="2">
                  <c:v>1472887</c:v>
                </c:pt>
                <c:pt idx="3">
                  <c:v>2033395</c:v>
                </c:pt>
                <c:pt idx="4">
                  <c:v>2195630</c:v>
                </c:pt>
                <c:pt idx="5">
                  <c:v>1634844</c:v>
                </c:pt>
                <c:pt idx="6">
                  <c:v>1726818</c:v>
                </c:pt>
                <c:pt idx="7">
                  <c:v>2918731</c:v>
                </c:pt>
                <c:pt idx="8">
                  <c:v>2886585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C0-4DEE-B18A-5880667560F6}"/>
            </c:ext>
          </c:extLst>
        </c:ser>
        <c:ser>
          <c:idx val="4"/>
          <c:order val="1"/>
          <c:tx>
            <c:strRef>
              <c:f>Vývoj!$A$9</c:f>
              <c:strCache>
                <c:ptCount val="1"/>
                <c:pt idx="0">
                  <c:v>Čistá výše dotace získané OK</c:v>
                </c:pt>
              </c:strCache>
            </c:strRef>
          </c:tx>
          <c:spPr>
            <a:ln>
              <a:solidFill>
                <a:srgbClr val="00B0F0"/>
              </a:solidFill>
              <a:prstDash val="sysDash"/>
            </a:ln>
          </c:spPr>
          <c:marker>
            <c:spPr>
              <a:solidFill>
                <a:srgbClr val="00B0F0"/>
              </a:solidFill>
            </c:spPr>
          </c:marker>
          <c:cat>
            <c:strRef>
              <c:f>Vývoj!$B$4:$J$4</c:f>
              <c:strCach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  <c:pt idx="6">
                  <c:v>2017*</c:v>
                </c:pt>
                <c:pt idx="7">
                  <c:v>2018*</c:v>
                </c:pt>
                <c:pt idx="8">
                  <c:v>2019*</c:v>
                </c:pt>
              </c:strCache>
            </c:strRef>
          </c:cat>
          <c:val>
            <c:numRef>
              <c:f>Vývoj!$B$9:$J$9</c:f>
              <c:numCache>
                <c:formatCode>General</c:formatCode>
                <c:ptCount val="9"/>
                <c:pt idx="0">
                  <c:v>505857</c:v>
                </c:pt>
                <c:pt idx="1">
                  <c:v>418589</c:v>
                </c:pt>
                <c:pt idx="2">
                  <c:v>286508</c:v>
                </c:pt>
                <c:pt idx="3">
                  <c:v>877745</c:v>
                </c:pt>
                <c:pt idx="4">
                  <c:v>1143591</c:v>
                </c:pt>
                <c:pt idx="5">
                  <c:v>383485</c:v>
                </c:pt>
                <c:pt idx="6">
                  <c:v>479135</c:v>
                </c:pt>
                <c:pt idx="7">
                  <c:v>1221663</c:v>
                </c:pt>
                <c:pt idx="8">
                  <c:v>1000143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C0-4DEE-B18A-5880667560F6}"/>
            </c:ext>
          </c:extLst>
        </c:ser>
        <c:ser>
          <c:idx val="5"/>
          <c:order val="2"/>
          <c:tx>
            <c:strRef>
              <c:f>Vývoj!$A$10</c:f>
              <c:strCache>
                <c:ptCount val="1"/>
                <c:pt idx="0">
                  <c:v>Dotace poskytnuté druhým subjektům</c:v>
                </c:pt>
              </c:strCache>
            </c:strRef>
          </c:tx>
          <c:spPr>
            <a:ln>
              <a:solidFill>
                <a:srgbClr val="63D03C"/>
              </a:solidFill>
              <a:prstDash val="sysDot"/>
            </a:ln>
          </c:spPr>
          <c:marker>
            <c:spPr>
              <a:solidFill>
                <a:srgbClr val="63D03C"/>
              </a:solidFill>
            </c:spPr>
          </c:marker>
          <c:cat>
            <c:strRef>
              <c:f>Vývoj!$B$4:$J$4</c:f>
              <c:strCach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  <c:pt idx="6">
                  <c:v>2017*</c:v>
                </c:pt>
                <c:pt idx="7">
                  <c:v>2018*</c:v>
                </c:pt>
                <c:pt idx="8">
                  <c:v>2019*</c:v>
                </c:pt>
              </c:strCache>
            </c:strRef>
          </c:cat>
          <c:val>
            <c:numRef>
              <c:f>Vývoj!$B$10:$J$10</c:f>
              <c:numCache>
                <c:formatCode>General</c:formatCode>
                <c:ptCount val="9"/>
                <c:pt idx="0">
                  <c:v>318555</c:v>
                </c:pt>
                <c:pt idx="1">
                  <c:v>345101</c:v>
                </c:pt>
                <c:pt idx="2">
                  <c:v>313709</c:v>
                </c:pt>
                <c:pt idx="3">
                  <c:v>398848</c:v>
                </c:pt>
                <c:pt idx="4">
                  <c:v>410739</c:v>
                </c:pt>
                <c:pt idx="5">
                  <c:v>473283</c:v>
                </c:pt>
                <c:pt idx="6">
                  <c:v>459998</c:v>
                </c:pt>
                <c:pt idx="7">
                  <c:v>534714</c:v>
                </c:pt>
                <c:pt idx="8">
                  <c:v>656983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0C0-4DEE-B18A-5880667560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446336"/>
        <c:axId val="94448256"/>
      </c:lineChart>
      <c:catAx>
        <c:axId val="94446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4448256"/>
        <c:crosses val="autoZero"/>
        <c:auto val="1"/>
        <c:lblAlgn val="ctr"/>
        <c:lblOffset val="100"/>
        <c:noMultiLvlLbl val="0"/>
      </c:catAx>
      <c:valAx>
        <c:axId val="94448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mil.</a:t>
                </a:r>
                <a:r>
                  <a:rPr lang="cs-CZ"/>
                  <a:t> </a:t>
                </a:r>
                <a:r>
                  <a:rPr lang="en-US"/>
                  <a:t>K</a:t>
                </a:r>
                <a:r>
                  <a:rPr lang="cs-CZ"/>
                  <a:t>č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4446336"/>
        <c:crosses val="autoZero"/>
        <c:crossBetween val="between"/>
        <c:dispUnits>
          <c:builtInUnit val="thousands"/>
        </c:dispUnits>
      </c:valAx>
    </c:plotArea>
    <c:legend>
      <c:legendPos val="r"/>
      <c:layout>
        <c:manualLayout>
          <c:xMode val="edge"/>
          <c:yMode val="edge"/>
          <c:x val="0.77459466872196536"/>
          <c:y val="0.30611645188531628"/>
          <c:w val="0.22310175968277451"/>
          <c:h val="0.6321439182096291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0</TotalTime>
  <Pages>7</Pages>
  <Words>2636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/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creator>Taťána Vyhnálková</dc:creator>
  <cp:lastModifiedBy>Novotná Marta</cp:lastModifiedBy>
  <cp:revision>2</cp:revision>
  <cp:lastPrinted>2016-04-01T06:16:00Z</cp:lastPrinted>
  <dcterms:created xsi:type="dcterms:W3CDTF">2020-09-02T09:57:00Z</dcterms:created>
  <dcterms:modified xsi:type="dcterms:W3CDTF">2020-09-02T09:57:00Z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