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32" w:rsidRDefault="00CE2532" w:rsidP="00CE2532">
      <w:pPr>
        <w:spacing w:before="120" w:after="48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vzorová veřejnoprávní smlouva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  <w:t xml:space="preserve">o poskytnutí </w:t>
      </w:r>
      <w:r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programové</w:t>
      </w:r>
      <w:r w:rsidRPr="002604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 </w:t>
      </w:r>
      <w:r w:rsidRPr="002A0340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 xml:space="preserve">dotace na </w:t>
      </w:r>
      <w:r w:rsidRPr="009701C6">
        <w:rPr>
          <w:rFonts w:ascii="Arial" w:eastAsia="Times New Roman" w:hAnsi="Arial" w:cs="Arial"/>
          <w:b/>
          <w:bCs/>
          <w:caps/>
          <w:sz w:val="28"/>
          <w:szCs w:val="28"/>
          <w:u w:val="single"/>
          <w:lang w:eastAsia="cs-CZ"/>
        </w:rPr>
        <w:t>celoroční činnost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PRÁVNICKÝM OSOBÁM </w:t>
      </w:r>
      <w:r w:rsidRPr="005E049E">
        <w:rPr>
          <w:rFonts w:ascii="Arial" w:hAnsi="Arial" w:cs="Arial"/>
          <w:sz w:val="32"/>
          <w:szCs w:val="32"/>
        </w:rPr>
        <w:t xml:space="preserve">/Vzor </w:t>
      </w:r>
      <w:r>
        <w:rPr>
          <w:rFonts w:ascii="Arial" w:hAnsi="Arial" w:cs="Arial"/>
          <w:sz w:val="32"/>
          <w:szCs w:val="32"/>
        </w:rPr>
        <w:t>6</w:t>
      </w:r>
      <w:r w:rsidRPr="005E049E">
        <w:rPr>
          <w:rFonts w:ascii="Arial" w:hAnsi="Arial" w:cs="Arial"/>
          <w:sz w:val="32"/>
          <w:szCs w:val="32"/>
        </w:rPr>
        <w:t>/</w:t>
      </w:r>
      <w:r w:rsidRPr="005E049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(mimo obce a příspěvkové organizace)</w:t>
      </w:r>
    </w:p>
    <w:p w:rsidR="00CE2532" w:rsidRDefault="00CE2532" w:rsidP="00CE2532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CE2532" w:rsidRDefault="00CE2532" w:rsidP="00CE2532">
      <w:pPr>
        <w:spacing w:after="84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>
        <w:rPr>
          <w:rFonts w:ascii="Arial" w:eastAsia="Times New Roman" w:hAnsi="Arial" w:cs="Arial"/>
          <w:i/>
          <w:lang w:eastAsia="cs-CZ"/>
        </w:rPr>
        <w:t xml:space="preserve"> </w:t>
      </w:r>
    </w:p>
    <w:p w:rsidR="00CE2532" w:rsidRPr="009701E1" w:rsidRDefault="00CE2532" w:rsidP="00CE2532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CE2532" w:rsidRPr="009701E1" w:rsidRDefault="00CE2532" w:rsidP="00CE253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Jeremenkova </w:t>
      </w:r>
      <w:r w:rsidRPr="00E65DE7">
        <w:rPr>
          <w:rFonts w:ascii="Arial" w:eastAsia="Times New Roman" w:hAnsi="Arial" w:cs="Arial"/>
          <w:sz w:val="24"/>
          <w:szCs w:val="24"/>
          <w:lang w:eastAsia="cs-CZ"/>
        </w:rPr>
        <w:t>1191/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>40a, 779</w:t>
      </w:r>
      <w:r w:rsidRPr="008A2521">
        <w:rPr>
          <w:rFonts w:ascii="Arial" w:eastAsia="Times New Roman" w:hAnsi="Arial" w:cs="Arial"/>
          <w:sz w:val="24"/>
          <w:szCs w:val="24"/>
          <w:lang w:eastAsia="cs-CZ"/>
        </w:rPr>
        <w:t> 00</w:t>
      </w:r>
      <w:r w:rsidRPr="00E62519">
        <w:rPr>
          <w:rFonts w:ascii="Arial" w:eastAsia="Times New Roman" w:hAnsi="Arial" w:cs="Arial"/>
          <w:sz w:val="24"/>
          <w:szCs w:val="24"/>
          <w:lang w:eastAsia="cs-CZ"/>
        </w:rPr>
        <w:t xml:space="preserve"> Olomouc</w:t>
      </w:r>
    </w:p>
    <w:p w:rsidR="00CE2532" w:rsidRPr="009701E1" w:rsidRDefault="00CE2532" w:rsidP="00CE253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60609460</w:t>
      </w:r>
    </w:p>
    <w:p w:rsidR="00CE2532" w:rsidRPr="009701E1" w:rsidRDefault="00CE2532" w:rsidP="00CE253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CZ60609460</w:t>
      </w:r>
    </w:p>
    <w:p w:rsidR="00CE2532" w:rsidRPr="009701E1" w:rsidRDefault="00CE2532" w:rsidP="00CE253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CE2532" w:rsidRPr="009701E1" w:rsidRDefault="00CE2532" w:rsidP="00CE253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CE2532" w:rsidRPr="009701E1" w:rsidRDefault="00CE2532" w:rsidP="00CE253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poskytovatel“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E2532" w:rsidRPr="009701E1" w:rsidRDefault="00CE2532" w:rsidP="00CE2532">
      <w:pPr>
        <w:spacing w:before="240" w:after="24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CE2532" w:rsidRPr="009701E1" w:rsidRDefault="00CE2532" w:rsidP="00CE2532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Obchodní firma/název právnické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osoby</w:t>
      </w:r>
    </w:p>
    <w:p w:rsidR="00CE2532" w:rsidRPr="009701E1" w:rsidRDefault="00CE2532" w:rsidP="00CE253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Sídlo: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…………………………………………</w:t>
      </w:r>
    </w:p>
    <w:p w:rsidR="00CE2532" w:rsidRPr="009701E1" w:rsidRDefault="00CE2532" w:rsidP="00CE253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IČ</w:t>
      </w: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>………………</w:t>
      </w:r>
    </w:p>
    <w:p w:rsidR="00CE2532" w:rsidRPr="009701E1" w:rsidRDefault="00CE2532" w:rsidP="00CE253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 xml:space="preserve">……………… </w:t>
      </w:r>
    </w:p>
    <w:p w:rsidR="00CE2532" w:rsidRPr="009701E1" w:rsidRDefault="00CE2532" w:rsidP="00CE253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Zastoupený: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…………………………………………… </w:t>
      </w:r>
    </w:p>
    <w:p w:rsidR="00CE2532" w:rsidRPr="009701E1" w:rsidRDefault="00CE2532" w:rsidP="00CE2532">
      <w:pPr>
        <w:tabs>
          <w:tab w:val="left" w:pos="1560"/>
        </w:tabs>
        <w:spacing w:after="8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Údaj o zápisu ve veřejném nebo jiném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CE2532" w:rsidRPr="009701E1" w:rsidRDefault="00CE2532" w:rsidP="00CE2532">
      <w:pPr>
        <w:tabs>
          <w:tab w:val="left" w:pos="2127"/>
        </w:tabs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CE2532" w:rsidRPr="009701E1" w:rsidRDefault="00CE2532" w:rsidP="00CE2532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9701E1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9701E1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CE2532" w:rsidRPr="009701E1" w:rsidRDefault="00CE2532" w:rsidP="00CE2532">
      <w:pPr>
        <w:snapToGrid w:val="0"/>
        <w:spacing w:before="600" w:after="48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Pr="009701E1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tuto smlouvu o poskytnutí dotace:</w:t>
      </w:r>
    </w:p>
    <w:p w:rsidR="00CE2532" w:rsidRDefault="00CE2532" w:rsidP="00CE25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CE2532" w:rsidRPr="009869E4" w:rsidRDefault="00CE2532" w:rsidP="00CE2532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výši ......... Kč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, slovy: ......... korun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českých (dále jen „dotace“) za účelem </w:t>
      </w:r>
      <w:r w:rsidRPr="006D16AA">
        <w:rPr>
          <w:rFonts w:ascii="Arial" w:eastAsia="Times New Roman" w:hAnsi="Arial" w:cs="Arial"/>
          <w:sz w:val="24"/>
          <w:szCs w:val="24"/>
          <w:lang w:eastAsia="cs-CZ"/>
        </w:rPr>
        <w:t xml:space="preserve">finanční podpory celoroční sportovní činnosti oddílů nebo klubů </w:t>
      </w:r>
      <w:r w:rsidR="004926EF">
        <w:rPr>
          <w:rFonts w:ascii="Arial" w:hAnsi="Arial" w:cs="Arial"/>
          <w:sz w:val="24"/>
          <w:szCs w:val="24"/>
        </w:rPr>
        <w:t>vykonávajících svou s</w:t>
      </w:r>
      <w:bookmarkStart w:id="0" w:name="_GoBack"/>
      <w:bookmarkEnd w:id="0"/>
      <w:r w:rsidR="004926EF">
        <w:rPr>
          <w:rFonts w:ascii="Arial" w:hAnsi="Arial" w:cs="Arial"/>
          <w:sz w:val="24"/>
          <w:szCs w:val="24"/>
        </w:rPr>
        <w:t>portovní činnost</w:t>
      </w:r>
      <w:r w:rsidRPr="006D16AA">
        <w:rPr>
          <w:rFonts w:ascii="Arial" w:eastAsia="Times New Roman" w:hAnsi="Arial" w:cs="Arial"/>
          <w:sz w:val="24"/>
          <w:szCs w:val="24"/>
          <w:lang w:eastAsia="cs-CZ"/>
        </w:rPr>
        <w:t xml:space="preserve"> v Olomouckém kraji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roce 2021.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CE2532" w:rsidRPr="009869E4" w:rsidRDefault="00CE2532" w:rsidP="00CE2532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Účelem poskytnutí dotace je</w:t>
      </w:r>
      <w:r w:rsidRPr="009869E4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výdajů na celoroční činnost ………………… (dále také jen „činnost“). </w:t>
      </w:r>
    </w:p>
    <w:p w:rsidR="000A4D35" w:rsidRPr="000A4D35" w:rsidRDefault="00CE2532" w:rsidP="000A4D35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cs-CZ"/>
        </w:rPr>
      </w:pPr>
      <w:r w:rsidRPr="000A4D3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nabytí účinnosti této smlouvy</w:t>
      </w:r>
      <w:r w:rsidRPr="000A4D3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0A4D35">
        <w:rPr>
          <w:rFonts w:ascii="Arial" w:eastAsia="Times New Roman" w:hAnsi="Arial" w:cs="Arial"/>
          <w:sz w:val="24"/>
          <w:szCs w:val="24"/>
          <w:lang w:eastAsia="cs-CZ"/>
        </w:rPr>
        <w:t xml:space="preserve"> Za den poskytnutí dotace se pro účely této smlouvy považuje den odepsání finančních prostředků z účtu poskytovatele ve prospěch účtu příjemce.</w:t>
      </w:r>
      <w:r w:rsidRPr="000A4D3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 w:rsidRPr="000A4D3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 xml:space="preserve">Pro potřeby veřejné podpory – podpory malého rozsahu (podpory de </w:t>
      </w:r>
      <w:proofErr w:type="spellStart"/>
      <w:r w:rsidRPr="000A4D3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minimis</w:t>
      </w:r>
      <w:proofErr w:type="spellEnd"/>
      <w:r w:rsidRPr="000A4D35"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  <w:t>) se za den poskytnutí dotace považuje den, kdy tato smlouva nabyde účinnosti.</w:t>
      </w:r>
    </w:p>
    <w:p w:rsidR="00CE2532" w:rsidRDefault="00CE2532" w:rsidP="00CE25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okud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podal žádost o dotaci elektronicky e-mailem formou </w:t>
      </w:r>
      <w:proofErr w:type="spellStart"/>
      <w:r w:rsidRPr="003573DF"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</w:t>
      </w:r>
      <w:r>
        <w:rPr>
          <w:rFonts w:ascii="Arial" w:eastAsia="Times New Roman" w:hAnsi="Arial" w:cs="Arial"/>
          <w:sz w:val="24"/>
          <w:szCs w:val="24"/>
          <w:lang w:eastAsia="cs-CZ"/>
        </w:rPr>
        <w:t>není poskytovatel v prodlení s poskytnutím dotace do doby doložení originálu žádosti o dotaci s vlastnoručním podpisem příjemce. Lhůta pro poskytnutí dotace začne plynout až dnem následujícím po doručení předmětného originálu žádosti o dotaci dle</w:t>
      </w:r>
      <w:r w:rsidRPr="003573DF">
        <w:rPr>
          <w:rFonts w:ascii="Arial" w:eastAsia="Times New Roman" w:hAnsi="Arial" w:cs="Arial"/>
          <w:sz w:val="24"/>
          <w:szCs w:val="24"/>
          <w:lang w:eastAsia="cs-CZ"/>
        </w:rPr>
        <w:t xml:space="preserve"> bodu 8.3.1 písm. f) Pravidel.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(tyto 2 věty se neuvedou, bud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-li příjemc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em</w:t>
      </w:r>
      <w:r w:rsidRPr="00035B6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veřejnoprávní podepisující)</w:t>
      </w:r>
    </w:p>
    <w:p w:rsidR="00CE2532" w:rsidRDefault="00CE2532" w:rsidP="00CE2532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 odst. 2 této smlouvy jako dotace neinvestiční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CE2532" w:rsidRDefault="00CE2532" w:rsidP="00CE25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CE2532" w:rsidRDefault="00CE2532" w:rsidP="00CE2532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hmotného majetku dle § 26 odst. 2 zákona č. 586/1992 Sb., o daních z příjmů, ve znění pozdějších předpisů (dále jen „cit.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“),</w:t>
      </w:r>
    </w:p>
    <w:p w:rsidR="00CE2532" w:rsidRDefault="00CE2532" w:rsidP="00CE2532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a 2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CE2532" w:rsidRDefault="00CE2532" w:rsidP="00CE2532">
      <w:pPr>
        <w:numPr>
          <w:ilvl w:val="0"/>
          <w:numId w:val="2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a modernizací ve smyslu § 33 cit.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zákona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E2532" w:rsidRDefault="00CE2532" w:rsidP="00CE25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CE2532" w:rsidRPr="001050FA" w:rsidRDefault="00CE2532" w:rsidP="00CE2532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E6F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 a v souladu s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</w:t>
      </w:r>
      <w:r w:rsidRPr="00CE2532">
        <w:rPr>
          <w:rFonts w:ascii="Arial" w:eastAsia="Times New Roman" w:hAnsi="Arial" w:cs="Arial"/>
          <w:sz w:val="24"/>
          <w:szCs w:val="24"/>
          <w:lang w:eastAsia="cs-CZ"/>
        </w:rPr>
        <w:t xml:space="preserve">programu Program na podporu sportovní činnosti v Olomouckém kraji v roce 2021 pro dotační titul 1 Podpora celoroční sportovní činnosti </w:t>
      </w:r>
      <w:r w:rsidRPr="00CE2532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„Pravidla“).</w:t>
      </w:r>
    </w:p>
    <w:p w:rsidR="00CE2532" w:rsidRPr="009869E4" w:rsidRDefault="00CE2532" w:rsidP="00CE25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řídit se Pravidly. 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 případě odchylného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zněn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>í Pravidel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D11E6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této smlouvy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mají přednost ustanovení této smlouvy.</w:t>
      </w:r>
    </w:p>
    <w:p w:rsidR="00CE2532" w:rsidRPr="009869E4" w:rsidRDefault="00CE2532" w:rsidP="00CE25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Příjemce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je oprávněn dotaci použít pouze </w:t>
      </w:r>
      <w:r w:rsidRPr="00CE2532">
        <w:rPr>
          <w:rFonts w:ascii="Arial" w:eastAsia="Times New Roman" w:hAnsi="Arial" w:cs="Arial"/>
          <w:sz w:val="24"/>
          <w:szCs w:val="24"/>
          <w:lang w:eastAsia="cs-CZ"/>
        </w:rPr>
        <w:t xml:space="preserve">na uznatelné výdaje, spojené se zabezpečením celoroční sportovní činnosti příjemce v roce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2021, zejména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Pr="00CE2532">
        <w:rPr>
          <w:rFonts w:ascii="Arial" w:eastAsia="Times New Roman" w:hAnsi="Arial" w:cs="Arial"/>
          <w:sz w:val="24"/>
          <w:szCs w:val="24"/>
          <w:lang w:eastAsia="cs-CZ"/>
        </w:rPr>
        <w:t>..........…</w:t>
      </w:r>
      <w:proofErr w:type="gramEnd"/>
      <w:r w:rsidRPr="00CE2532">
        <w:rPr>
          <w:rFonts w:ascii="Arial" w:eastAsia="Times New Roman" w:hAnsi="Arial" w:cs="Arial"/>
          <w:sz w:val="24"/>
          <w:szCs w:val="24"/>
          <w:lang w:eastAsia="cs-CZ"/>
        </w:rPr>
        <w:t xml:space="preserve">…………. </w:t>
      </w:r>
    </w:p>
    <w:p w:rsidR="00CE2532" w:rsidRPr="009869E4" w:rsidRDefault="00CE2532" w:rsidP="00CE25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</w:t>
      </w:r>
    </w:p>
    <w:p w:rsidR="00CE2532" w:rsidRDefault="00CE2532" w:rsidP="00CE25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„DPH“) a může uplatnit odpočet DPH ve vazbě na ekonomickou činnost, která zakládá nárok na odpočet daně podle § 72 odst. 1 zákona č. 235/2004 Sb., o dani z přidané hodnoty,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>v platném znění (dále jen „ZDPH“), a to v plné nebo částečné výši (tj. v poměrné výši podle § 75 ZDPH nebo krácené výši podle § 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činnosti, na kterou byla dotace poskytnuta, a to nárok na odpočet v plné či částečné výši, uvádí na veškerých vyúčtovacích dokladech finanční částky bez DPH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odpovídající výši, která mohla být uplatněna v odpočtu daně  na základě daňového přiznání k DPH. Příjemce – neplátce DPH uvádí na veškerých vyúčtovacích dokladech finanční částky včetně DPH.</w:t>
      </w:r>
    </w:p>
    <w:p w:rsidR="00CE2532" w:rsidRPr="00007016" w:rsidRDefault="00CE2532" w:rsidP="00CE25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se příjemce stane plátcem DPH v průběhu čerpání dotace a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jeho právo uplatnit odpočet DPH při 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:rsidR="00CE2532" w:rsidRPr="00007016" w:rsidRDefault="00CE2532" w:rsidP="00CE25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007016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CE2532" w:rsidRPr="009869E4" w:rsidRDefault="00CE2532" w:rsidP="00CE2532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s 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opravou odpočtu podle §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 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75 ZDPH</w:t>
      </w:r>
      <w:r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, vypořádáním odpočtu podle § 76 ZDPH</w:t>
      </w:r>
      <w:r w:rsidRPr="00FF0879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 a</w:t>
      </w:r>
      <w:r w:rsidRPr="00FF087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Žlutě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zvýrazněný</w:t>
      </w:r>
      <w:r w:rsidRPr="004133CB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text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bude ve smlouvě uveden pouze v případě, že vyúčtování dotace bude dle </w:t>
      </w:r>
      <w:proofErr w:type="spellStart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čl</w:t>
      </w:r>
      <w:proofErr w:type="spellEnd"/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II odst. 4 předkládáno po skončení kalendářního roku. V opačném </w:t>
      </w:r>
      <w:r w:rsidRPr="009869E4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případě se tento text vypustí.</w:t>
      </w:r>
    </w:p>
    <w:p w:rsidR="00CE2532" w:rsidRPr="009869E4" w:rsidRDefault="00CE2532" w:rsidP="00CE253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CE2532" w:rsidRPr="009869E4" w:rsidRDefault="00CE2532" w:rsidP="00CE253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Cs/>
          <w:sz w:val="24"/>
          <w:szCs w:val="24"/>
          <w:lang w:eastAsia="cs-CZ"/>
        </w:rPr>
        <w:t>V případě, že příjemce je povinen přiznat a zaplatit daň z přijatého plnění v režimu přenesení daňové povinnosti podle § 92a ZDPH, a to ke dni uskutečnění zdanitelného plnění, a současně neuplatňuje nárok na odpočet,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 xml:space="preserve">je příjemce povinen do 10 dnů po uplynutí lhůty pro podání daňového přiznání k DPH předložit poskytovateli dodatečně daňové přiznání, daňovou doloženost a bankovní výpis. V případě, že příjemce dotace nepředloží tyto podklady, </w:t>
      </w:r>
      <w:r w:rsidRPr="009869E4">
        <w:rPr>
          <w:rFonts w:ascii="Arial" w:hAnsi="Arial" w:cs="Arial"/>
          <w:bCs/>
          <w:sz w:val="24"/>
          <w:szCs w:val="24"/>
          <w:u w:val="single"/>
          <w:lang w:eastAsia="cs-CZ"/>
        </w:rPr>
        <w:t>bude DPH neuznatelným výdajem čerpané dotace</w:t>
      </w:r>
      <w:r w:rsidRPr="009869E4">
        <w:rPr>
          <w:rFonts w:ascii="Arial" w:hAnsi="Arial" w:cs="Arial"/>
          <w:bCs/>
          <w:sz w:val="24"/>
          <w:szCs w:val="24"/>
          <w:lang w:eastAsia="cs-CZ"/>
        </w:rPr>
        <w:t>.</w:t>
      </w:r>
      <w:r w:rsidRPr="009869E4">
        <w:rPr>
          <w:rFonts w:ascii="Arial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Toto platí, pokud příjemce nemůže podklady pro tento výdaj kompletně doložit v</w:t>
      </w:r>
      <w:r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 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termínu</w:t>
      </w:r>
      <w:r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/lhůtě pro předložení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 xml:space="preserve"> vyúčtování poskytnuté dotace, tj. zejména do 31. 12. daného roku, protože řádný termín pro podání daňového přizná</w:t>
      </w:r>
      <w:r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n</w:t>
      </w:r>
      <w:r w:rsidRPr="009869E4">
        <w:rPr>
          <w:rFonts w:ascii="Arial" w:hAnsi="Arial" w:cs="Arial"/>
          <w:bCs/>
          <w:i/>
          <w:iCs/>
          <w:color w:val="0000FF"/>
          <w:sz w:val="24"/>
          <w:szCs w:val="24"/>
          <w:lang w:eastAsia="cs-CZ"/>
        </w:rPr>
        <w:t>í a zaplacení daňové povinnosti je až ke dni 25. 1. následujícího roku.</w:t>
      </w:r>
    </w:p>
    <w:p w:rsidR="00CE2532" w:rsidRPr="009869E4" w:rsidRDefault="00CE2532" w:rsidP="00CE253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použít na úhradu ostatních daní.</w:t>
      </w:r>
    </w:p>
    <w:p w:rsidR="00CE2532" w:rsidRPr="009869E4" w:rsidRDefault="00CE2532" w:rsidP="00CE25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povinen vést dotaci ve svém účetnictví odděleně.</w:t>
      </w:r>
    </w:p>
    <w:p w:rsidR="00CE2532" w:rsidRPr="00CE2532" w:rsidRDefault="00CE2532" w:rsidP="00CE2532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</w:t>
      </w:r>
      <w:r w:rsidRPr="00CE2532">
        <w:rPr>
          <w:rFonts w:ascii="Arial" w:eastAsia="Times New Roman" w:hAnsi="Arial" w:cs="Arial"/>
          <w:sz w:val="24"/>
          <w:szCs w:val="24"/>
          <w:lang w:eastAsia="cs-CZ"/>
        </w:rPr>
        <w:t>dotaci nejpozději do 24. 1. 2022</w:t>
      </w:r>
      <w:r w:rsidRPr="00CE2532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CE2532" w:rsidRPr="00CE2532" w:rsidRDefault="00CE2532" w:rsidP="00CE253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výdajů vynaložených příjemcem v souladu s účelem poskytnutí dotace dle čl. I odst. 2 a 4 této smlouvy a podmínkami použití dotace dle čl. II odst. 1 této smlouvy v období </w:t>
      </w:r>
      <w:r w:rsidRPr="00CE253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1. 1. 2021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nabytí účinnosti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smlouvy.</w:t>
      </w:r>
    </w:p>
    <w:p w:rsidR="00CE2532" w:rsidRPr="009869E4" w:rsidRDefault="00CE2532" w:rsidP="00CE2532">
      <w:pPr>
        <w:spacing w:after="6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uznatelné výdaje na účel uvedený v čl. I odst. 2 a 4 této smlouvy činí ….…… Kč (slovy: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…..…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… korun českých). Příjemce je povinen na tento účel vynaložit </w:t>
      </w:r>
      <w:r w:rsidRPr="00CE2532">
        <w:rPr>
          <w:rFonts w:ascii="Arial" w:eastAsia="Times New Roman" w:hAnsi="Arial" w:cs="Arial"/>
          <w:sz w:val="24"/>
          <w:szCs w:val="24"/>
          <w:lang w:eastAsia="cs-CZ"/>
        </w:rPr>
        <w:t xml:space="preserve">nejméně 50 % z vlastních a jiných zdrojů. Budou-li celkové skutečně vynaložené uznatelné výdaje nižší než celkové předpokládané uznatelné výdaje, je příjemce povinen </w:t>
      </w:r>
      <w:r w:rsidRPr="00CE2532">
        <w:rPr>
          <w:rFonts w:ascii="Arial" w:hAnsi="Arial" w:cs="Arial"/>
          <w:sz w:val="24"/>
          <w:szCs w:val="24"/>
        </w:rPr>
        <w:t xml:space="preserve">v rámci vyúčtování dotace vrátit poskytovateli část dotace tak, aby výše dotace odpovídala nejvýše 50 </w:t>
      </w:r>
      <w:r>
        <w:rPr>
          <w:rFonts w:ascii="Arial" w:hAnsi="Arial" w:cs="Arial"/>
          <w:sz w:val="24"/>
          <w:szCs w:val="24"/>
        </w:rPr>
        <w:t>%</w:t>
      </w:r>
      <w:r w:rsidRPr="009869E4">
        <w:rPr>
          <w:rFonts w:ascii="Arial" w:hAnsi="Arial" w:cs="Arial"/>
          <w:bCs/>
          <w:i/>
          <w:sz w:val="24"/>
          <w:szCs w:val="24"/>
        </w:rPr>
        <w:t xml:space="preserve"> </w:t>
      </w:r>
      <w:r w:rsidRPr="009869E4">
        <w:rPr>
          <w:rFonts w:ascii="Arial" w:hAnsi="Arial" w:cs="Arial"/>
          <w:sz w:val="24"/>
          <w:szCs w:val="24"/>
        </w:rPr>
        <w:t>celkových skutečně vynaložených uznatelných výdajů na účel dle čl. I odst. 2 a 4 této smlouvy.</w:t>
      </w:r>
    </w:p>
    <w:p w:rsidR="00CE2532" w:rsidRDefault="00CE2532" w:rsidP="00CE2532">
      <w:pPr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Uznatelné výdaje z vlastních a jiných zdrojů dle tohoto ustanovení je příjemce povinen vynaložit nejpozději ve stejném termínu</w:t>
      </w:r>
      <w:r>
        <w:rPr>
          <w:rFonts w:ascii="Arial" w:eastAsia="Times New Roman" w:hAnsi="Arial" w:cs="Arial"/>
          <w:sz w:val="24"/>
          <w:szCs w:val="24"/>
          <w:lang w:eastAsia="cs-CZ"/>
        </w:rPr>
        <w:t>/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lhůtě, jaký je v tomto čl. II odst. 2 stanoven pro použití dotace ……………. </w:t>
      </w:r>
    </w:p>
    <w:p w:rsidR="00CE2532" w:rsidRPr="00CE2532" w:rsidRDefault="00CE2532" w:rsidP="00CE2532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E2532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E2532" w:rsidRPr="00935CA8" w:rsidRDefault="00CE2532" w:rsidP="00CE2532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CE2532">
        <w:rPr>
          <w:rFonts w:ascii="Arial" w:eastAsia="Times New Roman" w:hAnsi="Arial" w:cs="Arial"/>
          <w:sz w:val="24"/>
          <w:szCs w:val="24"/>
          <w:lang w:eastAsia="cs-CZ"/>
        </w:rPr>
        <w:t xml:space="preserve">do 31. 1. 2022 </w:t>
      </w:r>
      <w:r>
        <w:rPr>
          <w:rFonts w:ascii="Arial" w:eastAsia="Times New Roman" w:hAnsi="Arial" w:cs="Arial"/>
          <w:sz w:val="24"/>
          <w:szCs w:val="24"/>
          <w:lang w:eastAsia="cs-CZ"/>
        </w:rPr>
        <w:t>předložit poskytovateli vyúčtování poskytnuté dotace (dále jen „vyúčtování“).</w:t>
      </w:r>
      <w:r w:rsidRPr="00BD03A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CE2532" w:rsidRPr="00BA4FD8" w:rsidRDefault="00CE2532" w:rsidP="00CE2532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první větě tohoto odstavce 4 lze zároveň uvést, v jaké formě má být vyúčtování předloženo. Např. bude-li smlouva uzavírána v elektronické formě prostřednictvím datové schránky, je vhodné sjednat, zda musí být vyúčtování předloženo také tímto způsobem. V takovém případě se za slova</w:t>
      </w:r>
      <w:r w:rsidRPr="009A39D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„vyúčtování poskytnuté dotace“ doplní text „</w:t>
      </w:r>
      <w:r w:rsidRPr="008301D8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, a to v elektronické formě do datové schránky poskytovatele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“.</w:t>
      </w:r>
      <w:r w:rsidRPr="00943E8D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Upozorňujeme, že stejný způsob předložení musí být uveden také níže u závěrečné zprávy.</w:t>
      </w:r>
    </w:p>
    <w:p w:rsidR="00CE2532" w:rsidRDefault="00CE2532" w:rsidP="00CE253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CE2532" w:rsidRPr="00BC325E" w:rsidRDefault="00CE2532" w:rsidP="00CE2532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Tento soupis výdajů bude doložen:</w:t>
      </w:r>
    </w:p>
    <w:p w:rsidR="00CE2532" w:rsidRPr="00BC325E" w:rsidRDefault="00CE2532" w:rsidP="00CE2532">
      <w:pPr>
        <w:numPr>
          <w:ilvl w:val="0"/>
          <w:numId w:val="3"/>
        </w:numPr>
        <w:spacing w:after="120"/>
        <w:ind w:left="1644" w:hanging="357"/>
        <w:rPr>
          <w:rFonts w:ascii="Arial" w:eastAsia="Times New Roman" w:hAnsi="Arial" w:cs="Arial"/>
          <w:sz w:val="24"/>
          <w:szCs w:val="24"/>
          <w:lang w:eastAsia="cs-CZ"/>
        </w:rPr>
      </w:pPr>
      <w:r w:rsidRPr="00BC325E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jednotlivých dokladů a faktur, s vyznačením dotčených plateb</w:t>
      </w:r>
    </w:p>
    <w:p w:rsidR="00CE2532" w:rsidRDefault="00CE2532" w:rsidP="001112B0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proofErr w:type="gramStart"/>
      <w:r w:rsidRPr="00BC325E">
        <w:rPr>
          <w:rFonts w:ascii="Arial" w:eastAsia="Times New Roman" w:hAnsi="Arial" w:cs="Arial"/>
          <w:sz w:val="24"/>
          <w:szCs w:val="24"/>
          <w:lang w:eastAsia="cs-CZ"/>
        </w:rPr>
        <w:t>4.2</w:t>
      </w:r>
      <w:proofErr w:type="gramEnd"/>
      <w:r w:rsidRPr="00BC325E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vlastních a jiných zdrojů vynaložených na účel </w:t>
      </w:r>
      <w:r w:rsidRPr="00BC325E">
        <w:rPr>
          <w:rFonts w:ascii="Arial" w:hAnsi="Arial" w:cs="Arial"/>
          <w:sz w:val="24"/>
          <w:szCs w:val="24"/>
        </w:rPr>
        <w:t xml:space="preserve">uvedený v čl. I odst. 2 a 4 této smlouvy, a to do výše povinné finanční spoluúčasti příjemce uvedené v čl. II odst. 2 této smlouvy v rozsahu uvedeném 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A53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Pr="00A53C74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C325E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112B0" w:rsidRPr="00286AF4" w:rsidRDefault="001112B0" w:rsidP="001112B0">
      <w:pPr>
        <w:spacing w:after="120"/>
        <w:ind w:left="1287" w:hanging="72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</w:p>
    <w:p w:rsidR="00CE2532" w:rsidRDefault="00CE2532" w:rsidP="00CE25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C74DF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CE2532" w:rsidRPr="001112B0" w:rsidRDefault="00CE2532" w:rsidP="00CE253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81BD7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Závěrečná zpráva musí </w:t>
      </w:r>
      <w:r w:rsidRPr="001112B0">
        <w:rPr>
          <w:rFonts w:ascii="Arial" w:eastAsia="Times New Roman" w:hAnsi="Arial" w:cs="Arial"/>
          <w:sz w:val="24"/>
          <w:szCs w:val="24"/>
          <w:lang w:eastAsia="cs-CZ"/>
        </w:rPr>
        <w:t>obsahovat</w:t>
      </w:r>
      <w:r w:rsidRPr="001112B0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112B0">
        <w:rPr>
          <w:rFonts w:ascii="Arial" w:eastAsia="Times New Roman" w:hAnsi="Arial" w:cs="Arial"/>
          <w:iCs/>
          <w:sz w:val="24"/>
          <w:szCs w:val="24"/>
          <w:lang w:eastAsia="cs-CZ"/>
        </w:rPr>
        <w:t>o</w:t>
      </w:r>
      <w:r w:rsidRPr="001112B0">
        <w:rPr>
          <w:rFonts w:ascii="Arial" w:hAnsi="Arial" w:cs="Arial"/>
          <w:sz w:val="24"/>
          <w:szCs w:val="24"/>
        </w:rPr>
        <w:t xml:space="preserve">značení příjemce, označení činnosti a </w:t>
      </w:r>
      <w:r w:rsidRPr="001112B0">
        <w:rPr>
          <w:rFonts w:ascii="Arial" w:hAnsi="Arial" w:cs="Arial"/>
          <w:iCs/>
          <w:sz w:val="24"/>
          <w:szCs w:val="24"/>
        </w:rPr>
        <w:t>stručné zhodnocení činnosti příjemce</w:t>
      </w:r>
      <w:r w:rsidRPr="00C81BD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 příloze 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>závěrečn</w:t>
      </w:r>
      <w:r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zpráv</w:t>
      </w:r>
      <w:r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C81BD7">
        <w:rPr>
          <w:rFonts w:ascii="Arial" w:eastAsia="Times New Roman" w:hAnsi="Arial" w:cs="Arial"/>
          <w:sz w:val="24"/>
          <w:szCs w:val="24"/>
          <w:lang w:eastAsia="cs-CZ"/>
        </w:rPr>
        <w:t xml:space="preserve"> je příjemce povinen předložit poskytovateli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112B0">
        <w:rPr>
          <w:rFonts w:ascii="Arial" w:hAnsi="Arial" w:cs="Arial"/>
          <w:sz w:val="24"/>
          <w:szCs w:val="24"/>
        </w:rPr>
        <w:t>fotodokumentaci o propagaci Olomouckého kraje při realizaci činnosti.</w:t>
      </w:r>
      <w:r>
        <w:rPr>
          <w:rFonts w:ascii="Arial" w:hAnsi="Arial" w:cs="Arial"/>
          <w:sz w:val="24"/>
          <w:szCs w:val="24"/>
        </w:rPr>
        <w:t xml:space="preserve"> </w:t>
      </w:r>
    </w:p>
    <w:p w:rsidR="00CE2532" w:rsidRPr="0058756D" w:rsidRDefault="00CE2532" w:rsidP="00CE2532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termínu/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>lhůtě uvedené v čl. II odst. 2 této smlouvy</w:t>
      </w:r>
      <w:r w:rsidRPr="001112B0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1112B0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1112B0">
        <w:rPr>
          <w:rFonts w:ascii="Arial" w:eastAsia="Times New Roman" w:hAnsi="Arial" w:cs="Arial"/>
          <w:sz w:val="24"/>
          <w:szCs w:val="24"/>
          <w:lang w:eastAsia="cs-CZ"/>
        </w:rPr>
        <w:t>nebo v případě, že celkové příjemcem skutečně vynaložené uznatelné výdaje na účel uvedený v čl. I odst. 2 a 4 této smlouvy byly nižší než celkové předpokládané uznatelné výdaje dle čl. II odst. 2 této smlouvy, je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:rsidR="001112B0" w:rsidRPr="001112B0" w:rsidRDefault="00CE2532" w:rsidP="00397CD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12B0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 w:rsidRPr="001112B0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112B0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 rozpočtových pravidlech územních rozpočtů, ve znění pozdějších předpisů. Pokud příjemce předloží vyúčtování a závěrečnou zprávu v termínu stanoveném v čl. II odst. 4 této smlouvy, ale vyúčtování nebo závěrečná zpráva </w:t>
      </w:r>
      <w:r w:rsidRPr="001112B0">
        <w:rPr>
          <w:rFonts w:ascii="Arial" w:eastAsia="Times New Roman" w:hAnsi="Arial" w:cs="Arial"/>
          <w:iCs/>
          <w:sz w:val="24"/>
          <w:szCs w:val="24"/>
          <w:lang w:eastAsia="cs-CZ"/>
        </w:rPr>
        <w:t>nebudou předloženy způsobem stanoveným v čl. II odst. 4 této smlouvy nebo</w:t>
      </w:r>
      <w:r w:rsidRPr="001112B0">
        <w:rPr>
          <w:rFonts w:ascii="Arial" w:eastAsia="Times New Roman" w:hAnsi="Arial" w:cs="Arial"/>
          <w:sz w:val="24"/>
          <w:szCs w:val="24"/>
          <w:lang w:eastAsia="cs-CZ"/>
        </w:rPr>
        <w:t xml:space="preserve">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  <w:r w:rsidRPr="001112B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CE2532" w:rsidRPr="001112B0" w:rsidRDefault="00CE2532" w:rsidP="00397CD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112B0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CE2532" w:rsidTr="00583CC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32" w:rsidRDefault="00CE2532" w:rsidP="00583C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32" w:rsidRDefault="00CE2532" w:rsidP="00583C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</w:t>
            </w:r>
          </w:p>
          <w:p w:rsidR="00CE2532" w:rsidRDefault="00CE2532" w:rsidP="00583CC8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 % z celkově poskytnuté dotace</w:t>
            </w:r>
          </w:p>
        </w:tc>
      </w:tr>
      <w:tr w:rsidR="00CE2532" w:rsidTr="00583C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32" w:rsidRDefault="00CE2532" w:rsidP="00583C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32" w:rsidRDefault="00CE2532" w:rsidP="00583C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E2532" w:rsidTr="00583C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532" w:rsidRDefault="00CE2532" w:rsidP="001112B0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Použití dotace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,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její části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povinné spoluúčasti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do 30 kalendářních dnů po termínu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nebo lhůtě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pro použití dotace 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>uveden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ých</w:t>
            </w:r>
            <w:r w:rsidRPr="002C73C9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 ve smlou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532" w:rsidRDefault="00CE2532" w:rsidP="00583C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E2532" w:rsidTr="00583CC8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32" w:rsidRDefault="00CE2532" w:rsidP="00583C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60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32" w:rsidRDefault="00CE2532" w:rsidP="00583C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2 %</w:t>
            </w:r>
          </w:p>
        </w:tc>
      </w:tr>
      <w:tr w:rsidR="00CE2532" w:rsidTr="00583C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532" w:rsidRDefault="00CE2532" w:rsidP="00583C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doplněného vyúčtování a závěrečné zprávy o využití dotace s prodlením do 15 kalendářních dnů od </w:t>
            </w: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marného uplynutí náhradní lhůty, uvedené ve výzvě k doplnění vyúčtování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532" w:rsidRDefault="00CE2532" w:rsidP="00583C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CE2532" w:rsidTr="00583C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32" w:rsidRDefault="00CE2532" w:rsidP="00583C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32" w:rsidRDefault="00CE2532" w:rsidP="00583C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E2532" w:rsidTr="00583CC8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532" w:rsidRDefault="00CE2532" w:rsidP="00583C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2532" w:rsidRDefault="00CE2532" w:rsidP="00583C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CE2532" w:rsidTr="00583CC8">
        <w:trPr>
          <w:trHeight w:val="300"/>
        </w:trPr>
        <w:tc>
          <w:tcPr>
            <w:tcW w:w="6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2532" w:rsidRDefault="00CE2532" w:rsidP="00583CC8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F41BB">
              <w:rPr>
                <w:rFonts w:ascii="Arial" w:eastAsia="Calibri" w:hAnsi="Arial" w:cs="Arial"/>
                <w:sz w:val="24"/>
                <w:szCs w:val="24"/>
                <w:lang w:eastAsia="cs-CZ"/>
              </w:rPr>
              <w:t>Jiné formální porušení podmínek smlouvy, pokud nemělo vliv na splnění účelu, za kterým byla dotace poskytnuta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2532" w:rsidRDefault="00CE2532" w:rsidP="00583CC8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CE2532" w:rsidRDefault="00CE2532" w:rsidP="00CE253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CE2532" w:rsidRPr="008B0B51" w:rsidRDefault="009E00C5" w:rsidP="00CE2532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20771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je příjemce dle této smlouvy povinen vrátit dotaci nebo její část, vrátí příjemce dotaci nebo její 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>část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 roce, kdy obdržel dotaci (2021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) na účet poskytovatele č. </w:t>
      </w:r>
      <w:r w:rsidRPr="00D06187">
        <w:rPr>
          <w:rFonts w:ascii="Arial" w:hAnsi="Arial" w:cs="Arial"/>
          <w:sz w:val="24"/>
          <w:szCs w:val="24"/>
        </w:rPr>
        <w:t>27-4228330207/0100.</w:t>
      </w:r>
      <w:r w:rsidRPr="00D0618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6187">
        <w:rPr>
          <w:rFonts w:ascii="Arial" w:hAnsi="Arial" w:cs="Arial"/>
          <w:sz w:val="24"/>
          <w:szCs w:val="24"/>
        </w:rPr>
        <w:t>V případě, že je vratka r</w:t>
      </w:r>
      <w:r>
        <w:rPr>
          <w:rFonts w:ascii="Arial" w:hAnsi="Arial" w:cs="Arial"/>
          <w:sz w:val="24"/>
          <w:szCs w:val="24"/>
        </w:rPr>
        <w:t>ealizována následující rok (2022</w:t>
      </w:r>
      <w:r w:rsidRPr="00D06187">
        <w:rPr>
          <w:rFonts w:ascii="Arial" w:hAnsi="Arial" w:cs="Arial"/>
          <w:sz w:val="24"/>
          <w:szCs w:val="24"/>
        </w:rPr>
        <w:t>), pak se použije příjmový účet 27-4228320287/0100. Případný odvod či penále se hradí na účet poskytovatele č. 27-4228320287/0100  na základě vystavené faktury.</w:t>
      </w:r>
    </w:p>
    <w:p w:rsidR="00CE2532" w:rsidRDefault="00CE2532" w:rsidP="00CE2532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:rsidR="00CE2532" w:rsidRPr="00F90512" w:rsidRDefault="00CE2532" w:rsidP="00CE2532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uvádět logo poskytovatele na svých webových stránkách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nebo sociálních sítích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(jsou-li zřízeny) po </w:t>
      </w:r>
      <w:r w:rsidRPr="001112B0">
        <w:rPr>
          <w:rFonts w:ascii="Arial" w:eastAsia="Times New Roman" w:hAnsi="Arial" w:cs="Arial"/>
          <w:sz w:val="24"/>
          <w:szCs w:val="24"/>
          <w:lang w:eastAsia="cs-CZ"/>
        </w:rPr>
        <w:t xml:space="preserve">dobu </w:t>
      </w:r>
      <w:r w:rsidRPr="001112B0">
        <w:rPr>
          <w:rFonts w:ascii="Arial" w:hAnsi="Arial" w:cs="Arial"/>
          <w:sz w:val="24"/>
          <w:szCs w:val="24"/>
        </w:rPr>
        <w:t>minimálně jednoho roku od data poskytnutí dotace</w:t>
      </w:r>
      <w:r w:rsidRPr="001112B0">
        <w:rPr>
          <w:rFonts w:ascii="Arial" w:eastAsia="Times New Roman" w:hAnsi="Arial" w:cs="Arial"/>
          <w:sz w:val="24"/>
          <w:szCs w:val="24"/>
          <w:lang w:eastAsia="cs-CZ"/>
        </w:rPr>
        <w:t xml:space="preserve">, dále je příjemce povinen označit propagační materiály příjemce, vztahující se k účelu dotace, logem poskytovatele a umístit reklamní panel, nebo obdobné zařízení, s logem poskytovatele na viditelném, veřejně přístupném místě, ve kterém je prováděna podpořená činnost, </w:t>
      </w:r>
      <w:r w:rsidRPr="001112B0">
        <w:rPr>
          <w:rFonts w:ascii="Arial" w:hAnsi="Arial" w:cs="Arial"/>
          <w:sz w:val="24"/>
          <w:szCs w:val="24"/>
        </w:rPr>
        <w:t>po dobu minimálně jednoho roku od data poskytnutí dotace</w:t>
      </w:r>
      <w:r w:rsidR="00CE223D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.</w:t>
      </w:r>
    </w:p>
    <w:p w:rsidR="00CE2532" w:rsidRPr="00F90512" w:rsidRDefault="00CE2532" w:rsidP="00CE2532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U 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dotace na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činnost</w:t>
      </w:r>
      <w:r w:rsidRPr="00F90512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 převyšující </w:t>
      </w:r>
      <w:r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>12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0 000 Kč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/rok</w:t>
      </w:r>
      <w:r w:rsidRPr="00F90512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se také uvede:</w:t>
      </w:r>
    </w:p>
    <w:p w:rsidR="00CE2532" w:rsidRPr="00CE223D" w:rsidRDefault="00CE2532" w:rsidP="00CE223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pořídit fotodokumentaci o propagaci poskytovatele při </w:t>
      </w:r>
      <w:r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 xml:space="preserve"> podporované dle této smlouvy. Povinně pořízená fotodokumentace (</w:t>
      </w:r>
      <w:r w:rsidRPr="00CE223D">
        <w:rPr>
          <w:rFonts w:ascii="Arial" w:eastAsia="Times New Roman" w:hAnsi="Arial" w:cs="Arial"/>
          <w:sz w:val="24"/>
          <w:szCs w:val="24"/>
          <w:lang w:eastAsia="cs-CZ"/>
        </w:rPr>
        <w:t xml:space="preserve">minimálně jedna </w:t>
      </w:r>
      <w:r w:rsidRPr="00F90512">
        <w:rPr>
          <w:rFonts w:ascii="Arial" w:eastAsia="Times New Roman" w:hAnsi="Arial" w:cs="Arial"/>
          <w:sz w:val="24"/>
          <w:szCs w:val="24"/>
          <w:lang w:eastAsia="cs-CZ"/>
        </w:rPr>
        <w:t>fotografie dokladující propagaci poskytovatele na viditelném veřejně přístupném místě) musí být poskytovateli příjemcem předložena společně se závěrečnou zprávou.</w:t>
      </w:r>
    </w:p>
    <w:p w:rsidR="00CE2532" w:rsidRDefault="00CE2532" w:rsidP="00CE2532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 odst. 10 této smlouvy.</w:t>
      </w:r>
    </w:p>
    <w:p w:rsidR="00CE2532" w:rsidRPr="009869E4" w:rsidRDefault="00CE2532" w:rsidP="00CE2532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provádění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činnosti, na niž je poskytována dotace dle této smlouvy, zadavatelem veřejné zakázky dle příslušných ustanovení zákona o zadávání veřejných zakázek, je povinen při její realizaci postupovat dle tohoto zákona.</w:t>
      </w:r>
    </w:p>
    <w:p w:rsidR="00CE2532" w:rsidRPr="009869E4" w:rsidRDefault="00CE2532" w:rsidP="00CE2532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lastRenderedPageBreak/>
        <w:t xml:space="preserve">Příjemce prohlašuje, že ke dni podpisu této smlouvy u něj není dána žádná ze skutečností, pro kterou nelze poskytnout dotaci dle odst. </w:t>
      </w:r>
      <w:r w:rsidRPr="009869E4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>10.</w:t>
      </w:r>
      <w:r w:rsidRPr="00DA3FA1"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 nebo odst. </w:t>
      </w:r>
      <w:r>
        <w:rPr>
          <w:rFonts w:ascii="Arial" w:eastAsia="Times New Roman" w:hAnsi="Arial" w:cs="Arial"/>
          <w:bCs/>
          <w:iCs/>
          <w:color w:val="0000FF"/>
          <w:sz w:val="24"/>
          <w:szCs w:val="24"/>
          <w:lang w:eastAsia="cs-CZ"/>
        </w:rPr>
        <w:t xml:space="preserve">12.5 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(pokud v konkrétních Pravidlech došlo ke změně číslování ustanovení oproti vzorovým pravidlům, je nutné zde uvést odpovídající ustanovení konkrétních Pravidel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. </w:t>
      </w:r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Odkaz na odst. 12.5 se uvede v případě, že dotace bude poskytována v režimu de </w:t>
      </w:r>
      <w:proofErr w:type="spellStart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minimis</w:t>
      </w:r>
      <w:proofErr w:type="spellEnd"/>
      <w:r w:rsidRPr="00EB41A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, tj. pokud v čl. III budou uvedeny odstavce 2-5.</w:t>
      </w:r>
      <w:r w:rsidRPr="003E0167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)</w:t>
      </w:r>
      <w:r w:rsidRPr="003E0167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Pravidel.</w:t>
      </w:r>
    </w:p>
    <w:p w:rsidR="00CE2532" w:rsidRPr="009869E4" w:rsidRDefault="00CE2532" w:rsidP="00CE25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dále prohlašuje, že v době od podání žádosti o dotaci do dne podpisu této smlouvy u něj nedošlo k žádné změně předpokládané v odst. </w:t>
      </w:r>
      <w:proofErr w:type="gramStart"/>
      <w:r w:rsidRPr="00CE223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10.2 </w:t>
      </w:r>
      <w:r w:rsidRPr="00CE223D">
        <w:rPr>
          <w:rFonts w:ascii="Arial" w:eastAsia="Times New Roman" w:hAnsi="Arial" w:cs="Arial"/>
          <w:bCs/>
          <w:i/>
          <w:iCs/>
          <w:sz w:val="24"/>
          <w:szCs w:val="24"/>
          <w:lang w:eastAsia="cs-CZ"/>
        </w:rPr>
        <w:t xml:space="preserve"> </w:t>
      </w:r>
      <w:r w:rsidRPr="00CE223D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Pravidel</w:t>
      </w:r>
      <w:proofErr w:type="gram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, kterou ve lhůtě stanovené Pravidly neoznámil poskytovateli.</w:t>
      </w:r>
    </w:p>
    <w:p w:rsidR="00CE2532" w:rsidRDefault="00CE2532" w:rsidP="00CE2532">
      <w:pPr>
        <w:spacing w:after="120"/>
        <w:ind w:left="567" w:firstLine="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V případě nepravdivosti některého z těchto prohlášení se jedná o porušení rozpočtové kázně ve smyslu </w:t>
      </w:r>
      <w:proofErr w:type="spellStart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9869E4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</w:t>
      </w:r>
      <w:r w:rsidRPr="00381AF3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předpisů.</w:t>
      </w:r>
    </w:p>
    <w:p w:rsidR="00CE2532" w:rsidRPr="00CE223D" w:rsidRDefault="00CE2532" w:rsidP="00CE2532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bCs/>
          <w:iCs/>
          <w:sz w:val="24"/>
          <w:szCs w:val="24"/>
          <w:lang w:eastAsia="cs-CZ"/>
        </w:rPr>
      </w:pPr>
      <w:r w:rsidRPr="00CE223D">
        <w:rPr>
          <w:rFonts w:ascii="Arial" w:hAnsi="Arial" w:cs="Arial"/>
          <w:bCs/>
          <w:iCs/>
          <w:sz w:val="24"/>
          <w:szCs w:val="24"/>
        </w:rPr>
        <w:t>Příjemce poskytne na vyžádání poskytovateli maximální součinnost při organizaci oficiálních akcí Olomouckého kraje pořádaných v roce 2021 pro veřejnost</w:t>
      </w:r>
      <w:r w:rsidRPr="00CE223D">
        <w:rPr>
          <w:rFonts w:ascii="Arial" w:hAnsi="Arial" w:cs="Arial"/>
          <w:bCs/>
          <w:sz w:val="24"/>
          <w:szCs w:val="24"/>
        </w:rPr>
        <w:t>.</w:t>
      </w:r>
    </w:p>
    <w:p w:rsidR="00CE2532" w:rsidRPr="005E267D" w:rsidRDefault="00CE2532" w:rsidP="00CE2532">
      <w:pPr>
        <w:spacing w:before="480"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CE2532" w:rsidRPr="009869E4" w:rsidRDefault="00CE2532" w:rsidP="00CE253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5E267D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 159 a násl. zákona č. 500/2004 Sb., správní řád, ve znění pozdějších právních předpisů, a se zákonem č. 250/2000 Sb., o rozpočtových pravidlech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právních předpisů.</w:t>
      </w:r>
    </w:p>
    <w:p w:rsidR="00CE2532" w:rsidRPr="009869E4" w:rsidRDefault="00CE2532" w:rsidP="00CE2532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</w:t>
      </w:r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 kontrole dostatku volného limitu příjemce v centrálním registru podpor malého rozsahu (de </w:t>
      </w:r>
      <w:proofErr w:type="spellStart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002F9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) poskytovatelem </w:t>
      </w:r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poskytována v režimu de </w:t>
      </w:r>
      <w:proofErr w:type="spellStart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 V takovém případě se ve smlouvě uvedou následující odstavce 2-5:</w:t>
      </w:r>
    </w:p>
    <w:p w:rsidR="00CE2532" w:rsidRPr="009869E4" w:rsidRDefault="00CE2532" w:rsidP="00CE253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:rsidR="00CE2532" w:rsidRPr="009869E4" w:rsidRDefault="00CE2532" w:rsidP="00CE253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v příjemcem užívaném účetním období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ve kterém tato smlouva</w:t>
      </w:r>
      <w:r w:rsidRPr="005822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nabyde účinnosti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, a dvou bezprostředně předcházejících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 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vznikl spojením podniků, nabytím podniku nebo rozdělením (rozštěpením nebo odštěpením) podniku, a tyto poskytnuté informace se ke dni uzavření této smlouvy nezměnily.</w:t>
      </w:r>
    </w:p>
    <w:p w:rsidR="00CE2532" w:rsidRPr="009869E4" w:rsidRDefault="00CE2532" w:rsidP="00CE253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9869E4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:rsidR="00CE2532" w:rsidRPr="009869E4" w:rsidRDefault="00CE2532" w:rsidP="00CE2532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V případě rozdělení příjemce na dva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samostatné podniky</w:t>
      </w:r>
      <w:r w:rsidRPr="003E016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či více samostatn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ých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podnik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ů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v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příjemcem užívaném účetním 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období, ve kterém </w:t>
      </w:r>
      <w:r>
        <w:rPr>
          <w:rFonts w:ascii="Arial" w:eastAsia="Times New Roman" w:hAnsi="Arial" w:cs="Arial"/>
          <w:sz w:val="24"/>
          <w:szCs w:val="24"/>
          <w:lang w:eastAsia="cs-CZ"/>
        </w:rPr>
        <w:t>tato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smlouva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nabyde účinnosti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, a dvou </w:t>
      </w:r>
      <w:r>
        <w:rPr>
          <w:rFonts w:ascii="Arial" w:eastAsia="Times New Roman" w:hAnsi="Arial" w:cs="Arial"/>
          <w:sz w:val="24"/>
          <w:szCs w:val="24"/>
          <w:lang w:eastAsia="cs-CZ"/>
        </w:rPr>
        <w:t>bezprostředně nadcházejících</w:t>
      </w:r>
      <w:r w:rsidRPr="003E0167">
        <w:rPr>
          <w:rFonts w:ascii="Arial" w:eastAsia="Times New Roman" w:hAnsi="Arial" w:cs="Arial"/>
          <w:sz w:val="24"/>
          <w:szCs w:val="24"/>
          <w:lang w:eastAsia="cs-CZ"/>
        </w:rPr>
        <w:t xml:space="preserve"> účetních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obdobích, </w:t>
      </w: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 příjemce povinen neprodleně po rozdělení kontaktovat poskytovatele za účelem sdělení informace, jak podporu de </w:t>
      </w:r>
      <w:proofErr w:type="spellStart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CE2532" w:rsidRPr="009869E4" w:rsidRDefault="00CE2532" w:rsidP="00CE2532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smlouvách, které mají být uveřejněny v registru smluv, se uvede:</w:t>
      </w:r>
      <w:r w:rsidRPr="009869E4">
        <w:rPr>
          <w:rFonts w:ascii="Arial" w:hAnsi="Arial" w:cs="Arial"/>
          <w:sz w:val="24"/>
          <w:szCs w:val="24"/>
          <w:lang w:eastAsia="cs-CZ"/>
        </w:rPr>
        <w:t xml:space="preserve"> Smluvní strany jsou srozuměny s tím, že tato smlouva bude uveřejněna v registru smluv dle zákona č. 340/2015 Sb., o zvláštních podmínkách účinnosti některých smluv, uveřejňování těchto smluv a o registru smluv (zákon o registru smluv), ve znění pozdějších předpisů. Uveřejnění této smlouvy v registru smluv zajistí poskytovatel.</w:t>
      </w:r>
    </w:p>
    <w:p w:rsidR="00CE2532" w:rsidRPr="009869E4" w:rsidRDefault="00CE2532" w:rsidP="00CE2532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 smlouvách, které se povinně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z</w:t>
      </w: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 xml:space="preserve">veřejňují na úřední desce (dotace nad 50 000 Kč), se dále uvede: </w:t>
      </w:r>
      <w:r w:rsidRPr="009869E4">
        <w:rPr>
          <w:rFonts w:ascii="Arial" w:hAnsi="Arial" w:cs="Arial"/>
          <w:sz w:val="24"/>
          <w:szCs w:val="24"/>
          <w:lang w:eastAsia="cs-CZ"/>
        </w:rPr>
        <w:t>Příjemce bere na vědomí, že tato smlouva bude také zveřejněna postupem dle § 10d zákona č. 250/2000 Sb., o rozpočtových pravidlech územních rozpočtů, ve znění pozdějších právních předpisů.</w:t>
      </w:r>
    </w:p>
    <w:p w:rsidR="00CE2532" w:rsidRPr="009869E4" w:rsidRDefault="00CE2532" w:rsidP="00CE2532">
      <w:pPr>
        <w:numPr>
          <w:ilvl w:val="0"/>
          <w:numId w:val="4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:rsidR="00CE2532" w:rsidRPr="009869E4" w:rsidRDefault="00CE2532" w:rsidP="00CE25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  <w:lang w:eastAsia="cs-CZ"/>
        </w:rPr>
        <w:t>Ve smlouvách ze zákona povinně uveřejňovaných v registru smluv je třeba toto ustanovení formulovat takto:</w:t>
      </w:r>
      <w:r w:rsidRPr="009869E4">
        <w:rPr>
          <w:rFonts w:ascii="Arial" w:hAnsi="Arial" w:cs="Arial"/>
          <w:i/>
          <w:iCs/>
          <w:color w:val="0000FF"/>
          <w:sz w:val="24"/>
          <w:szCs w:val="24"/>
          <w:lang w:eastAsia="cs-CZ"/>
        </w:rPr>
        <w:t xml:space="preserve"> </w:t>
      </w:r>
      <w:r w:rsidRPr="009869E4">
        <w:rPr>
          <w:rFonts w:ascii="Arial" w:hAnsi="Arial" w:cs="Arial"/>
          <w:sz w:val="24"/>
          <w:szCs w:val="24"/>
          <w:lang w:eastAsia="cs-CZ"/>
        </w:rPr>
        <w:t>Tato smlouva nabývá účinnosti dnem jejího uveřejnění v registru smluv</w:t>
      </w:r>
      <w:r w:rsidRPr="009869E4">
        <w:rPr>
          <w:rFonts w:ascii="Arial" w:hAnsi="Arial" w:cs="Arial"/>
          <w:color w:val="1F497D"/>
          <w:sz w:val="24"/>
          <w:szCs w:val="24"/>
          <w:lang w:eastAsia="cs-CZ"/>
        </w:rPr>
        <w:t>.</w:t>
      </w:r>
    </w:p>
    <w:p w:rsidR="00CE2532" w:rsidRDefault="00CE2532" w:rsidP="00CE253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pokud podal žádost o dotaci elektronicky e-mailem formou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skenu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žádosti ve formátu PDF, tj. způsobem uvedeným v bodu 8.3.1 písm. f) Pravidel, tato smlouva zaniká marným uplynutím lhůty pro předložení 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originál</w:t>
      </w:r>
      <w:r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 xml:space="preserve"> žádosti </w:t>
      </w:r>
      <w:r>
        <w:rPr>
          <w:rFonts w:ascii="Arial" w:eastAsia="Times New Roman" w:hAnsi="Arial" w:cs="Arial"/>
          <w:sz w:val="24"/>
          <w:szCs w:val="24"/>
          <w:lang w:eastAsia="cs-CZ"/>
        </w:rPr>
        <w:t>o dotaci stanovené v předmětném bodu 8.3.1 písm. f) Pravidel</w:t>
      </w:r>
      <w:r w:rsidRPr="00AE3637"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Tento odst. 8 se ve smlouvě neuvede, bude-li příjemcem veřejnoprávní podepisující. Pokud </w:t>
      </w:r>
      <w:r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v konkrétních Pravidlech do</w:t>
      </w:r>
      <w:r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>jde</w:t>
      </w:r>
      <w:r w:rsidRPr="003631BA">
        <w:rPr>
          <w:rFonts w:ascii="Arial" w:eastAsia="Times New Roman" w:hAnsi="Arial" w:cs="Arial"/>
          <w:bCs/>
          <w:i/>
          <w:iCs/>
          <w:color w:val="0000FF"/>
          <w:sz w:val="24"/>
          <w:szCs w:val="24"/>
          <w:lang w:eastAsia="cs-CZ"/>
        </w:rPr>
        <w:t xml:space="preserve"> ke změně číslování ustanovení oproti vzorovým pravidlům, je nutné zde uvést odpovídající ustanovení konkrétních Pravidel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.</w:t>
      </w:r>
      <w:r w:rsidRPr="00DE009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Totéž obdobně platí i pro čl. I odst. 3 této smlouvy.</w:t>
      </w:r>
    </w:p>
    <w:p w:rsidR="00CE2532" w:rsidRPr="009869E4" w:rsidRDefault="00CE2532" w:rsidP="00CE253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CE2532" w:rsidRPr="009869E4" w:rsidRDefault="00CE2532" w:rsidP="00CE253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CE2532" w:rsidRPr="009869E4" w:rsidRDefault="00CE2532" w:rsidP="00CE253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osobní údaje poskytnuté Olomouckému kraji v souvislosti s poskytnutím dotace dle této smlouvy budou zpracovávány v souladu s nařízením EU o ochraně osobních údajů (GDPR). Bližší informace o způsobech zpracování a právech příjemce při zpracování osobních údajů jsou zveřejněny na webových stránkách Olomouckého kraje </w:t>
      </w:r>
      <w:hyperlink r:id="rId8" w:history="1">
        <w:r w:rsidRPr="009869E4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www.olkraj.cz</w:t>
        </w:r>
      </w:hyperlink>
      <w:r w:rsidRPr="009869E4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E2532" w:rsidRPr="009869E4" w:rsidRDefault="00CE2532" w:rsidP="00CE253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Rady/Zastupitelstva Olomouckého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kraje č ......... ze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 dne .........</w:t>
      </w:r>
    </w:p>
    <w:p w:rsidR="00CE2532" w:rsidRPr="009869E4" w:rsidRDefault="00CE2532" w:rsidP="00CE2532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</w:t>
      </w:r>
      <w:proofErr w:type="gramStart"/>
      <w:r w:rsidRPr="009869E4">
        <w:rPr>
          <w:rFonts w:ascii="Arial" w:eastAsia="Times New Roman" w:hAnsi="Arial" w:cs="Arial"/>
          <w:sz w:val="24"/>
          <w:szCs w:val="24"/>
          <w:lang w:eastAsia="cs-CZ"/>
        </w:rPr>
        <w:t>ve ......... vyhotoveních</w:t>
      </w:r>
      <w:proofErr w:type="gramEnd"/>
      <w:r w:rsidRPr="009869E4">
        <w:rPr>
          <w:rFonts w:ascii="Arial" w:eastAsia="Times New Roman" w:hAnsi="Arial" w:cs="Arial"/>
          <w:sz w:val="24"/>
          <w:szCs w:val="24"/>
          <w:lang w:eastAsia="cs-CZ"/>
        </w:rPr>
        <w:t>, z nichž každá smluvní strana obdrží ......... vyhotovení.</w:t>
      </w:r>
      <w:r w:rsidRPr="00A90DD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Toto ustanovení se vypustí, bude-li smlouva uzavírána elektronicky (viz bod 8.3.1 písm. b) Pravidel).</w:t>
      </w:r>
    </w:p>
    <w:p w:rsidR="00CE2532" w:rsidRDefault="00CE2532" w:rsidP="00CE2532">
      <w:pPr>
        <w:tabs>
          <w:tab w:val="left" w:pos="4536"/>
        </w:tabs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 Olomouci </w:t>
      </w: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dne .......................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V ................................ dne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 xml:space="preserve">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E2532" w:rsidTr="00583CC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532" w:rsidRDefault="00CE2532" w:rsidP="00583C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CE2532" w:rsidRDefault="00CE2532" w:rsidP="00583C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2532" w:rsidRDefault="00CE2532" w:rsidP="00583CC8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CE2532" w:rsidTr="00583CC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E2532" w:rsidRDefault="00CE2532" w:rsidP="00583CC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  <w:p w:rsidR="00CE2532" w:rsidRDefault="00CE2532" w:rsidP="00583CC8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CE2532" w:rsidRPr="00994216" w:rsidRDefault="00CE2532" w:rsidP="00583CC8">
            <w:pPr>
              <w:ind w:left="0" w:firstLine="0"/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E2532" w:rsidRDefault="00CE2532" w:rsidP="00583CC8">
            <w:pPr>
              <w:spacing w:before="840"/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………………………………</w:t>
            </w:r>
          </w:p>
        </w:tc>
      </w:tr>
    </w:tbl>
    <w:p w:rsidR="00CE2532" w:rsidRDefault="00CE2532" w:rsidP="00CE253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CE2532" w:rsidRPr="009869E4" w:rsidRDefault="00CE2532" w:rsidP="00CE2532">
      <w:pPr>
        <w:spacing w:before="240" w:after="720"/>
        <w:ind w:left="0" w:firstLine="0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lastRenderedPageBreak/>
        <w:t>Vzorové ustanovení čl</w:t>
      </w:r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t>. II odst. 2 – 5 smluv o poskytnutí</w:t>
      </w:r>
      <w:r w:rsidRPr="009869E4">
        <w:rPr>
          <w:rFonts w:ascii="Arial" w:eastAsia="Times New Roman" w:hAnsi="Arial" w:cs="Arial"/>
          <w:b/>
          <w:sz w:val="28"/>
          <w:szCs w:val="28"/>
          <w:lang w:eastAsia="cs-CZ"/>
        </w:rPr>
        <w:br/>
        <w:t xml:space="preserve">programové 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dotace</w:t>
      </w:r>
      <w:r w:rsidRPr="007F6D48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na celoroční činnost </w:t>
      </w:r>
      <w:r w:rsidRPr="009869E4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nepřevyšující 35 tisíc Kč</w:t>
      </w:r>
    </w:p>
    <w:p w:rsidR="00CE223D" w:rsidRPr="00CE223D" w:rsidRDefault="00CE2532" w:rsidP="00CE223D">
      <w:pPr>
        <w:numPr>
          <w:ilvl w:val="0"/>
          <w:numId w:val="7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869E4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Pr="00CE223D">
        <w:rPr>
          <w:rFonts w:ascii="Arial" w:eastAsia="Times New Roman" w:hAnsi="Arial" w:cs="Arial"/>
          <w:sz w:val="24"/>
          <w:szCs w:val="24"/>
          <w:lang w:eastAsia="cs-CZ"/>
        </w:rPr>
        <w:t>24. 1. 2022</w:t>
      </w:r>
      <w:r w:rsidR="00CE223D" w:rsidRPr="00CE223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CE2532" w:rsidRPr="00CE223D" w:rsidRDefault="00CE2532" w:rsidP="00CE223D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E223D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podmínkami použití dotace dle čl. II odst. 1 této smlouvy v období od 1. 1. 2021 do nabytí účinnosti této smlouvy.</w:t>
      </w:r>
    </w:p>
    <w:p w:rsidR="00CE2532" w:rsidRDefault="00CE2532" w:rsidP="00CE2532">
      <w:pPr>
        <w:numPr>
          <w:ilvl w:val="0"/>
          <w:numId w:val="7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CE2532" w:rsidRPr="00F21245" w:rsidRDefault="00CE2532" w:rsidP="00F21245">
      <w:pPr>
        <w:numPr>
          <w:ilvl w:val="0"/>
          <w:numId w:val="7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</w:t>
      </w:r>
      <w:r w:rsidRPr="00CE223D">
        <w:rPr>
          <w:rFonts w:ascii="Arial" w:eastAsia="Times New Roman" w:hAnsi="Arial" w:cs="Arial"/>
          <w:sz w:val="24"/>
          <w:szCs w:val="24"/>
          <w:lang w:eastAsia="cs-CZ"/>
        </w:rPr>
        <w:t xml:space="preserve">do 31. 1. 2022 předložit </w:t>
      </w:r>
      <w:r>
        <w:rPr>
          <w:rFonts w:ascii="Arial" w:eastAsia="Times New Roman" w:hAnsi="Arial" w:cs="Arial"/>
          <w:sz w:val="24"/>
          <w:szCs w:val="24"/>
          <w:lang w:eastAsia="cs-CZ"/>
        </w:rPr>
        <w:t>poskytovateli vyúčtování poskytnuté dotace (dále jen „vyúčtování“).</w:t>
      </w:r>
    </w:p>
    <w:p w:rsidR="00CE2532" w:rsidRDefault="00CE2532" w:rsidP="00CE2532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CE2532" w:rsidRPr="007B688A" w:rsidRDefault="00CE2532" w:rsidP="00CE2532">
      <w:pPr>
        <w:spacing w:after="120"/>
        <w:ind w:left="1287" w:hanging="72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cs-CZ"/>
        </w:rPr>
        <w:t>4.1</w:t>
      </w:r>
      <w:proofErr w:type="gramEnd"/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</w:t>
      </w:r>
      <w:r w:rsidRPr="00FA45EC">
        <w:rPr>
          <w:rFonts w:ascii="Arial" w:eastAsia="Times New Roman" w:hAnsi="Arial" w:cs="Arial"/>
          <w:sz w:val="24"/>
          <w:szCs w:val="24"/>
          <w:lang w:eastAsia="cs-CZ"/>
        </w:rPr>
        <w:t xml:space="preserve">ve vzoru </w:t>
      </w:r>
      <w:r w:rsidRPr="00FA45E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Vyúčtování dotace na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činnost</w:t>
      </w:r>
      <w:r w:rsidRPr="00FA45EC">
        <w:rPr>
          <w:rFonts w:ascii="Arial" w:eastAsia="Times New Roman" w:hAnsi="Arial" w:cs="Arial"/>
          <w:sz w:val="24"/>
          <w:szCs w:val="24"/>
          <w:lang w:eastAsia="cs-CZ"/>
        </w:rPr>
        <w:t>, který tvoří přílohu Pravidel.</w:t>
      </w:r>
    </w:p>
    <w:p w:rsidR="00CE2532" w:rsidRDefault="00CE2532" w:rsidP="00CE2532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</w:p>
    <w:p w:rsidR="00CE2532" w:rsidRDefault="00CE2532" w:rsidP="00CE2532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Závěrečná zpráva musí obsahovat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21245">
        <w:rPr>
          <w:rFonts w:ascii="Arial" w:hAnsi="Arial" w:cs="Arial"/>
          <w:sz w:val="24"/>
          <w:szCs w:val="24"/>
        </w:rPr>
        <w:t xml:space="preserve">označení příjemce, označení činnosti a </w:t>
      </w:r>
      <w:r w:rsidRPr="00F21245">
        <w:rPr>
          <w:rFonts w:ascii="Arial" w:hAnsi="Arial" w:cs="Arial"/>
          <w:iCs/>
          <w:sz w:val="24"/>
          <w:szCs w:val="24"/>
        </w:rPr>
        <w:t>stručné zhodnocení činnosti příjemce</w:t>
      </w:r>
      <w:r w:rsidRPr="00F2124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CE2532" w:rsidRPr="00C862B3" w:rsidRDefault="00CE2532" w:rsidP="00CE2532">
      <w:pPr>
        <w:numPr>
          <w:ilvl w:val="0"/>
          <w:numId w:val="7"/>
        </w:numPr>
        <w:tabs>
          <w:tab w:val="left" w:pos="540"/>
        </w:tabs>
        <w:spacing w:after="120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dotace nebyla použita v celé výši v termínu/lhůtě uvedené v čl. II odst. 2 této smlouvy,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 22 zákona č. 250/2000 Sb., o rozpočtových pravidlech územních rozpočtů, ve znění pozdějších předpisů.</w:t>
      </w:r>
    </w:p>
    <w:p w:rsidR="00DE6F8A" w:rsidRDefault="00DE6F8A"/>
    <w:sectPr w:rsidR="00DE6F8A" w:rsidSect="000144B1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8" w:footer="708" w:gutter="0"/>
      <w:pgNumType w:start="6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BF" w:rsidRDefault="007743BF">
      <w:r>
        <w:separator/>
      </w:r>
    </w:p>
  </w:endnote>
  <w:endnote w:type="continuationSeparator" w:id="0">
    <w:p w:rsidR="007743BF" w:rsidRDefault="0077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379868"/>
      <w:docPartObj>
        <w:docPartGallery w:val="Page Numbers (Bottom of Page)"/>
        <w:docPartUnique/>
      </w:docPartObj>
    </w:sdtPr>
    <w:sdtEndPr/>
    <w:sdtContent>
      <w:p w:rsidR="006E0209" w:rsidRPr="00256C15" w:rsidRDefault="00F25DE1" w:rsidP="006E0209">
        <w:pPr>
          <w:pStyle w:val="Zpat"/>
          <w:pBdr>
            <w:top w:val="single" w:sz="4" w:space="1" w:color="auto"/>
          </w:pBdr>
          <w:ind w:left="0" w:firstLine="0"/>
          <w:jc w:val="left"/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Zastupitelstvo Olomouckého kraje 21</w:t>
        </w:r>
        <w:r w:rsidR="006E020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.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9</w:t>
        </w:r>
        <w:r w:rsidR="006E020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2020</w:t>
        </w:r>
        <w:r w:rsidR="006E020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6E020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ab/>
        </w:r>
        <w:r w:rsidR="006E0209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Strana </w:t>
        </w:r>
        <w:r w:rsidR="000144B1" w:rsidRPr="00DD6C00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begin"/>
        </w:r>
        <w:r w:rsidR="000144B1" w:rsidRPr="00DD6C00">
          <w:rPr>
            <w:rStyle w:val="slostrnky"/>
            <w:rFonts w:ascii="Arial" w:hAnsi="Arial" w:cs="Arial"/>
            <w:i/>
            <w:iCs/>
            <w:sz w:val="20"/>
            <w:szCs w:val="20"/>
          </w:rPr>
          <w:instrText xml:space="preserve"> PAGE </w:instrText>
        </w:r>
        <w:r w:rsidR="000144B1" w:rsidRPr="00DD6C00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separate"/>
        </w:r>
        <w:r>
          <w:rPr>
            <w:rStyle w:val="slostrnky"/>
            <w:rFonts w:ascii="Arial" w:hAnsi="Arial" w:cs="Arial"/>
            <w:i/>
            <w:iCs/>
            <w:noProof/>
            <w:sz w:val="20"/>
            <w:szCs w:val="20"/>
          </w:rPr>
          <w:t>71</w:t>
        </w:r>
        <w:r w:rsidR="000144B1" w:rsidRPr="00DD6C00">
          <w:rPr>
            <w:rStyle w:val="slostrnky"/>
            <w:rFonts w:ascii="Arial" w:hAnsi="Arial" w:cs="Arial"/>
            <w:i/>
            <w:iCs/>
            <w:sz w:val="20"/>
            <w:szCs w:val="20"/>
          </w:rPr>
          <w:fldChar w:fldCharType="end"/>
        </w:r>
        <w:r w:rsidR="000144B1" w:rsidRPr="00DD6C00">
          <w:rPr>
            <w:rStyle w:val="slostrnky"/>
            <w:rFonts w:ascii="Arial" w:hAnsi="Arial" w:cs="Arial"/>
            <w:i/>
            <w:iCs/>
            <w:sz w:val="20"/>
            <w:szCs w:val="20"/>
          </w:rPr>
          <w:t xml:space="preserve"> </w:t>
        </w:r>
        <w:r w:rsidR="006E020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(celkem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83</w:t>
        </w:r>
        <w:r w:rsidR="006E0209" w:rsidRPr="00256C15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)</w:t>
        </w:r>
      </w:p>
      <w:p w:rsidR="006E0209" w:rsidRPr="007F3908" w:rsidRDefault="00F25DE1" w:rsidP="006E0209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17</w:t>
        </w:r>
        <w:r w:rsidR="006E0209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. - Program na podporu sportovní činnosti v OK v roce 2021 - vyhlášení</w:t>
        </w:r>
      </w:p>
      <w:p w:rsidR="006E0209" w:rsidRPr="00256C15" w:rsidRDefault="006E0209" w:rsidP="006E0209">
        <w:pPr>
          <w:pStyle w:val="Zpat"/>
          <w:pBdr>
            <w:top w:val="single" w:sz="4" w:space="1" w:color="auto"/>
          </w:pBd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</w:pP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Příloha č. 5</w:t>
        </w:r>
        <w:r w:rsidRPr="00BF2C13"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 xml:space="preserve"> – </w:t>
        </w:r>
        <w:r>
          <w:rPr>
            <w:rFonts w:ascii="Arial" w:eastAsia="Times New Roman" w:hAnsi="Arial" w:cs="Arial"/>
            <w:i/>
            <w:iCs/>
            <w:sz w:val="20"/>
            <w:szCs w:val="20"/>
            <w:lang w:eastAsia="cs-CZ"/>
          </w:rPr>
          <w:t>Vzor veřejnoprávní smlouvy v titulu 1</w:t>
        </w:r>
      </w:p>
      <w:p w:rsidR="00113060" w:rsidRDefault="007743BF" w:rsidP="006E0209">
        <w:pPr>
          <w:pStyle w:val="Zpat"/>
        </w:pPr>
      </w:p>
    </w:sdtContent>
  </w:sdt>
  <w:p w:rsidR="005B6E80" w:rsidRPr="00113060" w:rsidRDefault="007743BF" w:rsidP="001130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142168"/>
      <w:docPartObj>
        <w:docPartGallery w:val="Page Numbers (Bottom of Page)"/>
        <w:docPartUnique/>
      </w:docPartObj>
    </w:sdtPr>
    <w:sdtEndPr/>
    <w:sdtContent>
      <w:p w:rsidR="005B6E80" w:rsidRDefault="000224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75C6" w:rsidRPr="00CA24A0" w:rsidRDefault="007743BF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BF" w:rsidRDefault="007743BF">
      <w:r>
        <w:separator/>
      </w:r>
    </w:p>
  </w:footnote>
  <w:footnote w:type="continuationSeparator" w:id="0">
    <w:p w:rsidR="007743BF" w:rsidRDefault="0077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49E" w:rsidRPr="006E0209" w:rsidRDefault="006E0209" w:rsidP="006E0209">
    <w:pPr>
      <w:pStyle w:val="Zhlav"/>
      <w:jc w:val="center"/>
      <w:rPr>
        <w:rFonts w:ascii="Arial" w:hAnsi="Arial" w:cs="Arial"/>
        <w:i/>
        <w:sz w:val="24"/>
        <w:szCs w:val="24"/>
      </w:rPr>
    </w:pPr>
    <w:r w:rsidRPr="006E0209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5</w:t>
    </w:r>
    <w:r w:rsidRPr="006E0209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6E0209">
      <w:rPr>
        <w:rFonts w:ascii="Arial" w:hAnsi="Arial" w:cs="Arial"/>
        <w:bCs/>
        <w:i/>
        <w:sz w:val="24"/>
        <w:szCs w:val="24"/>
      </w:rPr>
      <w:t>Vzor veřejnoprávní smlouvy v titulu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 w15:restartNumberingAfterBreak="0">
    <w:nsid w:val="75731366"/>
    <w:multiLevelType w:val="multilevel"/>
    <w:tmpl w:val="871CC02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32"/>
    <w:rsid w:val="000144B1"/>
    <w:rsid w:val="0002241E"/>
    <w:rsid w:val="000A4D35"/>
    <w:rsid w:val="001112B0"/>
    <w:rsid w:val="00220568"/>
    <w:rsid w:val="003A27FB"/>
    <w:rsid w:val="003D32C3"/>
    <w:rsid w:val="00471642"/>
    <w:rsid w:val="0049094C"/>
    <w:rsid w:val="004926EF"/>
    <w:rsid w:val="004B6718"/>
    <w:rsid w:val="00524098"/>
    <w:rsid w:val="00567ED6"/>
    <w:rsid w:val="005E5349"/>
    <w:rsid w:val="005F7AD0"/>
    <w:rsid w:val="00606BE5"/>
    <w:rsid w:val="006E0209"/>
    <w:rsid w:val="007743BF"/>
    <w:rsid w:val="009E00C5"/>
    <w:rsid w:val="00B07C02"/>
    <w:rsid w:val="00B602B9"/>
    <w:rsid w:val="00BA4181"/>
    <w:rsid w:val="00C54047"/>
    <w:rsid w:val="00CE223D"/>
    <w:rsid w:val="00CE2532"/>
    <w:rsid w:val="00DE6F8A"/>
    <w:rsid w:val="00F21245"/>
    <w:rsid w:val="00F2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D4FA"/>
  <w15:chartTrackingRefBased/>
  <w15:docId w15:val="{A99BCBB5-A34F-4058-8354-507CA1CC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532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25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E253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2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2532"/>
  </w:style>
  <w:style w:type="paragraph" w:styleId="Zpat">
    <w:name w:val="footer"/>
    <w:basedOn w:val="Normln"/>
    <w:link w:val="ZpatChar"/>
    <w:unhideWhenUsed/>
    <w:rsid w:val="00CE25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E2532"/>
  </w:style>
  <w:style w:type="character" w:styleId="slostrnky">
    <w:name w:val="page number"/>
    <w:basedOn w:val="Standardnpsmoodstavce"/>
    <w:rsid w:val="0001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18F30-4841-4C26-AAD6-A7529998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3259</Words>
  <Characters>19229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Kulatá Marie</dc:creator>
  <cp:keywords/>
  <dc:description/>
  <cp:lastModifiedBy>Kulatá Marie</cp:lastModifiedBy>
  <cp:revision>4</cp:revision>
  <dcterms:created xsi:type="dcterms:W3CDTF">2020-08-27T11:07:00Z</dcterms:created>
  <dcterms:modified xsi:type="dcterms:W3CDTF">2020-09-03T06:11:00Z</dcterms:modified>
</cp:coreProperties>
</file>