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Předkládám</w:t>
      </w:r>
      <w:r w:rsidR="00F47F8D">
        <w:rPr>
          <w:rFonts w:ascii="Arial" w:hAnsi="Arial" w:cs="Arial"/>
          <w:sz w:val="24"/>
          <w:szCs w:val="24"/>
        </w:rPr>
        <w:t>e</w:t>
      </w:r>
      <w:r w:rsidRPr="0030128D">
        <w:rPr>
          <w:rFonts w:ascii="Arial" w:hAnsi="Arial" w:cs="Arial"/>
          <w:sz w:val="24"/>
          <w:szCs w:val="24"/>
        </w:rPr>
        <w:t xml:space="preserve"> </w:t>
      </w:r>
      <w:r w:rsidR="00080954">
        <w:rPr>
          <w:rFonts w:ascii="Arial" w:hAnsi="Arial" w:cs="Arial"/>
          <w:sz w:val="24"/>
          <w:szCs w:val="24"/>
        </w:rPr>
        <w:t>Zastupitelstvu</w:t>
      </w:r>
      <w:r w:rsidRPr="0030128D">
        <w:rPr>
          <w:rFonts w:ascii="Arial" w:hAnsi="Arial" w:cs="Arial"/>
          <w:sz w:val="24"/>
          <w:szCs w:val="24"/>
        </w:rPr>
        <w:t xml:space="preserve"> Olomouckého kraje materiál </w:t>
      </w:r>
      <w:r w:rsidR="00F47F8D">
        <w:rPr>
          <w:rFonts w:ascii="Arial" w:hAnsi="Arial" w:cs="Arial"/>
          <w:sz w:val="24"/>
          <w:szCs w:val="24"/>
        </w:rPr>
        <w:t>společně se smlouvou o revolvingovém úvěru pro Olomoucký kraj k</w:t>
      </w:r>
      <w:r w:rsidR="00080954">
        <w:rPr>
          <w:rFonts w:ascii="Arial" w:hAnsi="Arial" w:cs="Arial"/>
          <w:sz w:val="24"/>
          <w:szCs w:val="24"/>
        </w:rPr>
        <w:t>e schválení.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Poptávka na revolvingový úvěr byla zpracována z důvodu situace v České Republice s rozšířením </w:t>
      </w:r>
      <w:r w:rsidRPr="0030128D">
        <w:rPr>
          <w:rFonts w:ascii="Arial" w:hAnsi="Arial" w:cs="Arial"/>
          <w:bCs/>
          <w:sz w:val="24"/>
          <w:szCs w:val="24"/>
        </w:rPr>
        <w:t xml:space="preserve">pandemie COVID-19 a dopadem na ekonomickou situaci Olomouckého kraje. Je nutné řešit propad daňových příjmů, které se v tuto chvíli projevují nedostatkem finančních prostředků na bankovních účtech Olomouckého kraje. Dle propočtu z poslední predikce Ministerstva financí vyplývá roční propad daňových příjmů ve výši cca </w:t>
      </w:r>
      <w:r w:rsidRPr="0030128D">
        <w:rPr>
          <w:rFonts w:ascii="Arial" w:hAnsi="Arial" w:cs="Arial"/>
          <w:bCs/>
          <w:sz w:val="24"/>
          <w:szCs w:val="24"/>
        </w:rPr>
        <w:br/>
        <w:t xml:space="preserve">897 mil. Kč. S ohledem na tuto skutečnost dosud nedošlo k úpravě rozpočtu Olomouckého kraje – snížení daňových příjmů. </w:t>
      </w:r>
      <w:r w:rsidRPr="0030128D">
        <w:rPr>
          <w:rFonts w:ascii="Arial" w:hAnsi="Arial" w:cs="Arial"/>
          <w:bCs/>
          <w:sz w:val="24"/>
          <w:szCs w:val="24"/>
          <w:u w:val="single"/>
        </w:rPr>
        <w:t xml:space="preserve">Uzavřením smlouvy o revolvingovém úvěru bude provedena </w:t>
      </w:r>
      <w:bookmarkStart w:id="0" w:name="_GoBack"/>
      <w:bookmarkEnd w:id="0"/>
      <w:r w:rsidRPr="0030128D">
        <w:rPr>
          <w:rFonts w:ascii="Arial" w:hAnsi="Arial" w:cs="Arial"/>
          <w:bCs/>
          <w:sz w:val="24"/>
          <w:szCs w:val="24"/>
          <w:u w:val="single"/>
        </w:rPr>
        <w:t xml:space="preserve">kompenzace propadu daňových příjmů (čerpání úvěru bude zapojeno do rozpočtu </w:t>
      </w:r>
      <w:r w:rsidR="003F3703">
        <w:rPr>
          <w:rFonts w:ascii="Arial" w:hAnsi="Arial" w:cs="Arial"/>
          <w:bCs/>
          <w:sz w:val="24"/>
          <w:szCs w:val="24"/>
          <w:u w:val="single"/>
        </w:rPr>
        <w:t xml:space="preserve">převážně </w:t>
      </w:r>
      <w:r w:rsidRPr="0030128D">
        <w:rPr>
          <w:rFonts w:ascii="Arial" w:hAnsi="Arial" w:cs="Arial"/>
          <w:bCs/>
          <w:sz w:val="24"/>
          <w:szCs w:val="24"/>
          <w:u w:val="single"/>
        </w:rPr>
        <w:t>proti snížení daňových příjmů Olomouckého kraje nad rámec připravovaných úprav rozpočtu na ZOK 21. 9. 2020).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Parametry poptávky úvěrového rámce byly stanoveny v následujícím rozsahu: 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Poskytnutí úvěrového rámce – revolvingového úvěru na dobu celkem 3</w:t>
      </w:r>
      <w:r w:rsidRPr="003012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128D">
        <w:rPr>
          <w:rFonts w:ascii="Arial" w:hAnsi="Arial" w:cs="Arial"/>
          <w:sz w:val="24"/>
          <w:szCs w:val="24"/>
        </w:rPr>
        <w:t xml:space="preserve">let v maximální výši </w:t>
      </w:r>
      <w:r w:rsidRPr="0030128D">
        <w:rPr>
          <w:rFonts w:ascii="Arial" w:hAnsi="Arial" w:cs="Arial"/>
          <w:b/>
          <w:sz w:val="24"/>
          <w:szCs w:val="24"/>
        </w:rPr>
        <w:t>500 mil. Kč</w:t>
      </w:r>
      <w:r w:rsidRPr="0030128D">
        <w:rPr>
          <w:rFonts w:ascii="Arial" w:hAnsi="Arial" w:cs="Arial"/>
          <w:sz w:val="24"/>
          <w:szCs w:val="24"/>
        </w:rPr>
        <w:t xml:space="preserve">. Úvěrové prostředky budou Olomouckým krajem využity </w:t>
      </w:r>
      <w:r w:rsidRPr="0030128D">
        <w:rPr>
          <w:rFonts w:ascii="Arial" w:hAnsi="Arial" w:cs="Arial"/>
          <w:b/>
          <w:sz w:val="24"/>
          <w:szCs w:val="24"/>
        </w:rPr>
        <w:t>na časový nesoulad mezi příjmy a výdaji</w:t>
      </w:r>
      <w:r w:rsidRPr="0030128D">
        <w:rPr>
          <w:rFonts w:ascii="Arial" w:hAnsi="Arial" w:cs="Arial"/>
          <w:sz w:val="24"/>
          <w:szCs w:val="24"/>
        </w:rPr>
        <w:t>. Čerpání od 1. 10. 2020 do 31. 12. 2022, s možností průběžného splácení a opětovného čerpání do výše uvedeného rámce.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  <w:r w:rsidRPr="0030128D">
        <w:rPr>
          <w:rFonts w:ascii="Arial" w:hAnsi="Arial" w:cs="Arial"/>
          <w:b/>
          <w:sz w:val="24"/>
          <w:szCs w:val="24"/>
        </w:rPr>
        <w:t>Specifikace poptávaného úvěrového rámce – revolvingového úvěru:</w:t>
      </w: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</w:p>
    <w:p w:rsidR="0030128D" w:rsidRPr="0030128D" w:rsidRDefault="0030128D" w:rsidP="0030128D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Doba zahájení čerpání úvěrového rámce – předpokládaná doba zahájení čerpání úvěrového rámce je od 1. 10. 2020 a ukončení k 31. 12. 2022. Skutečná doba zahájení čerpání úvěrového rámce a výše čerpání úvěrového rámce bude závislá na potřebách a rozhodnutích Olomouckého kraje.</w:t>
      </w:r>
    </w:p>
    <w:p w:rsidR="0030128D" w:rsidRPr="0030128D" w:rsidRDefault="0030128D" w:rsidP="0030128D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Olomoucký kraj požaduje úvěrový rámec na časový nesoulad mezi příjmy a výdaji do výše 500 mil. Kč.</w:t>
      </w:r>
    </w:p>
    <w:p w:rsidR="0030128D" w:rsidRPr="0030128D" w:rsidRDefault="0030128D" w:rsidP="0030128D">
      <w:pPr>
        <w:pStyle w:val="Odstavecseseznamem"/>
        <w:numPr>
          <w:ilvl w:val="0"/>
          <w:numId w:val="5"/>
        </w:numPr>
        <w:shd w:val="clear" w:color="auto" w:fill="FFFFFF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Olomoucký kraj je oprávněn provést kdykoliv bez sankcí mimořádnou splátku úvěrového rámce v jakékoliv výši, a to do konce doby splatnosti úvěrového rámce, tj. 31. 12. 2022.</w:t>
      </w:r>
    </w:p>
    <w:p w:rsidR="0030128D" w:rsidRPr="0030128D" w:rsidRDefault="0030128D" w:rsidP="0030128D">
      <w:pPr>
        <w:pStyle w:val="Odstavecseseznamem"/>
        <w:numPr>
          <w:ilvl w:val="0"/>
          <w:numId w:val="5"/>
        </w:numPr>
        <w:shd w:val="clear" w:color="auto" w:fill="FFFFFF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Datum konečné splatnosti úvěrového rámce na časový nesoulad mezi příjmy </w:t>
      </w:r>
      <w:r w:rsidRPr="0030128D">
        <w:rPr>
          <w:rFonts w:ascii="Arial" w:hAnsi="Arial" w:cs="Arial"/>
          <w:sz w:val="24"/>
          <w:szCs w:val="24"/>
        </w:rPr>
        <w:br/>
        <w:t>a výdaji je 31. 12. 2022.</w:t>
      </w:r>
    </w:p>
    <w:p w:rsidR="0030128D" w:rsidRPr="0030128D" w:rsidRDefault="0030128D" w:rsidP="0030128D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Splácení úroků bude probíhat pravidelně pololetně vždy k poslednímu dni měsíce </w:t>
      </w:r>
      <w:r w:rsidRPr="0030128D">
        <w:rPr>
          <w:rFonts w:ascii="Arial" w:hAnsi="Arial" w:cs="Arial"/>
          <w:sz w:val="24"/>
          <w:szCs w:val="24"/>
        </w:rPr>
        <w:br/>
        <w:t>a to od měsíce, ve kterém bylo uskutečněno první čerpání úvěrového rámce. Úroky budou vypočteny ze skutečně vyčerpané částky úvěrového rámce podle skutečného počtu dnů a roku o 365 dnech.</w:t>
      </w:r>
    </w:p>
    <w:p w:rsidR="0030128D" w:rsidRPr="0030128D" w:rsidRDefault="0030128D" w:rsidP="0030128D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Úročení úvěrového rámce na základě úrokové sazby odvozené od sazby: </w:t>
      </w:r>
      <w:r w:rsidRPr="0030128D">
        <w:rPr>
          <w:rFonts w:ascii="Arial" w:hAnsi="Arial" w:cs="Arial"/>
          <w:sz w:val="24"/>
          <w:szCs w:val="24"/>
        </w:rPr>
        <w:br/>
        <w:t>6 M PRIBOR +/- marže banky</w:t>
      </w: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  <w:r w:rsidRPr="0030128D">
        <w:rPr>
          <w:rFonts w:ascii="Arial" w:hAnsi="Arial" w:cs="Arial"/>
          <w:b/>
          <w:sz w:val="24"/>
          <w:szCs w:val="24"/>
        </w:rPr>
        <w:t>Další požadavky spojené s poskytnutím úvěrového rámce – revolvingového úvěru:</w:t>
      </w: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</w:p>
    <w:p w:rsidR="0030128D" w:rsidRPr="0030128D" w:rsidRDefault="0030128D" w:rsidP="0030128D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Čerpání úvěrového rámce bude prováděno: </w:t>
      </w:r>
    </w:p>
    <w:p w:rsidR="0030128D" w:rsidRPr="0030128D" w:rsidRDefault="0030128D" w:rsidP="0030128D">
      <w:pPr>
        <w:pStyle w:val="Odstavecseseznamem"/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na základě vyplněné žádosti Olomouckého kraje převodem příslušné částky na jeho účet bez podmínek (bez bližší specifikace a příloh) </w:t>
      </w:r>
    </w:p>
    <w:p w:rsidR="0030128D" w:rsidRPr="0030128D" w:rsidRDefault="0030128D" w:rsidP="0030128D">
      <w:pPr>
        <w:pStyle w:val="Odstavecseseznamem"/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čerpání finančních prostředků na bankovní účet do výše úvěrového rámce (debetní čerpání bez bližší specifikace)</w:t>
      </w:r>
    </w:p>
    <w:p w:rsidR="0030128D" w:rsidRPr="0030128D" w:rsidRDefault="0030128D" w:rsidP="0030128D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lastRenderedPageBreak/>
        <w:t>Za nedočerpání úvěrového rámce nesmí být stanoveny žádné sankční poplatky</w:t>
      </w:r>
    </w:p>
    <w:p w:rsidR="0030128D" w:rsidRPr="0030128D" w:rsidRDefault="0030128D" w:rsidP="0030128D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Úvěrový rámec bude poskytnut bez jakýchkoliv dalších poplatků, včetně poplatků za rezervaci zdrojů</w:t>
      </w:r>
    </w:p>
    <w:p w:rsidR="0030128D" w:rsidRPr="0030128D" w:rsidRDefault="0030128D" w:rsidP="0030128D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Předčasné splacení úvěrového rámce bez sankcí, tzn., že Olomoucký kraj bude mít možnost splácet úvěrový rámec kdykoliv.</w:t>
      </w:r>
    </w:p>
    <w:p w:rsidR="0030128D" w:rsidRPr="0030128D" w:rsidRDefault="0030128D" w:rsidP="0030128D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Případné změny úvěrové smlouvy budou provedeny bezplatně, po dohodě obou stran.</w:t>
      </w:r>
    </w:p>
    <w:p w:rsidR="0030128D" w:rsidRPr="0030128D" w:rsidRDefault="0030128D" w:rsidP="0030128D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Banka nebude požadovat zajištění úvěrového rámce.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Nabídky banky byly doručeny v požadovaném termínu, dne </w:t>
      </w:r>
      <w:r w:rsidRPr="0030128D">
        <w:rPr>
          <w:rFonts w:ascii="Arial" w:hAnsi="Arial" w:cs="Arial"/>
          <w:b/>
          <w:sz w:val="24"/>
          <w:szCs w:val="24"/>
        </w:rPr>
        <w:t xml:space="preserve"> 28. 8. 2020</w:t>
      </w:r>
      <w:r w:rsidRPr="0030128D">
        <w:rPr>
          <w:rFonts w:ascii="Arial" w:hAnsi="Arial" w:cs="Arial"/>
          <w:sz w:val="24"/>
          <w:szCs w:val="24"/>
        </w:rPr>
        <w:t xml:space="preserve"> </w:t>
      </w:r>
      <w:r w:rsidRPr="0030128D">
        <w:rPr>
          <w:rFonts w:ascii="Arial" w:hAnsi="Arial" w:cs="Arial"/>
          <w:b/>
          <w:sz w:val="24"/>
          <w:szCs w:val="24"/>
        </w:rPr>
        <w:t>včetně návrhu smlouvy</w:t>
      </w:r>
      <w:r w:rsidRPr="0030128D">
        <w:rPr>
          <w:rFonts w:ascii="Arial" w:hAnsi="Arial" w:cs="Arial"/>
          <w:sz w:val="24"/>
          <w:szCs w:val="24"/>
        </w:rPr>
        <w:t xml:space="preserve">,  zpracované v písemné  nebo elektronické podobě v českém jazyce, předané na ekonomický odbor Krajského úřadu Olomouckého kraje k rukám nebo do emailové schránky vedoucí ekonomického odboru Mgr. Olgy Fidrové, MBA. 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  <w:r w:rsidRPr="0030128D">
        <w:rPr>
          <w:rFonts w:ascii="Arial" w:hAnsi="Arial" w:cs="Arial"/>
          <w:b/>
          <w:sz w:val="24"/>
          <w:szCs w:val="24"/>
        </w:rPr>
        <w:t xml:space="preserve">Oslovené banky (celkem 6 bank): </w:t>
      </w:r>
    </w:p>
    <w:p w:rsidR="0030128D" w:rsidRPr="0030128D" w:rsidRDefault="0030128D" w:rsidP="0030128D">
      <w:pPr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Komerční banka, a.s.</w:t>
      </w:r>
    </w:p>
    <w:p w:rsidR="0030128D" w:rsidRPr="0030128D" w:rsidRDefault="0030128D" w:rsidP="0030128D">
      <w:pPr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PPF banka a.s.</w:t>
      </w:r>
    </w:p>
    <w:p w:rsidR="0030128D" w:rsidRPr="0030128D" w:rsidRDefault="0030128D" w:rsidP="0030128D">
      <w:pPr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>Česká spořitelna, a.s.</w:t>
      </w:r>
    </w:p>
    <w:p w:rsidR="0030128D" w:rsidRPr="0030128D" w:rsidRDefault="0030128D" w:rsidP="0030128D">
      <w:pPr>
        <w:rPr>
          <w:rFonts w:ascii="Arial" w:hAnsi="Arial" w:cs="Arial"/>
          <w:color w:val="333333"/>
          <w:sz w:val="24"/>
          <w:szCs w:val="24"/>
        </w:rPr>
      </w:pPr>
      <w:r w:rsidRPr="0030128D">
        <w:rPr>
          <w:rFonts w:ascii="Arial" w:hAnsi="Arial" w:cs="Arial"/>
          <w:color w:val="333333"/>
          <w:sz w:val="24"/>
          <w:szCs w:val="24"/>
        </w:rPr>
        <w:t>Banka CREDITAS a.s.</w:t>
      </w:r>
    </w:p>
    <w:p w:rsidR="0030128D" w:rsidRPr="0030128D" w:rsidRDefault="0030128D" w:rsidP="0030128D">
      <w:p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30128D">
        <w:rPr>
          <w:rStyle w:val="Siln"/>
          <w:rFonts w:ascii="Arial" w:hAnsi="Arial" w:cs="Arial"/>
          <w:b w:val="0"/>
          <w:sz w:val="24"/>
          <w:szCs w:val="24"/>
        </w:rPr>
        <w:t>Československá obchodní banka, a. s.</w:t>
      </w: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  <w:r w:rsidRPr="0030128D">
        <w:rPr>
          <w:rStyle w:val="Siln"/>
          <w:rFonts w:ascii="Arial" w:hAnsi="Arial" w:cs="Arial"/>
          <w:b w:val="0"/>
          <w:sz w:val="24"/>
          <w:szCs w:val="24"/>
        </w:rPr>
        <w:t>UniCredit Bank Czech Republic and Slovakia, a.s.</w:t>
      </w: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  <w:r w:rsidRPr="0030128D">
        <w:rPr>
          <w:rFonts w:ascii="Arial" w:hAnsi="Arial" w:cs="Arial"/>
          <w:b/>
          <w:sz w:val="24"/>
          <w:szCs w:val="24"/>
        </w:rPr>
        <w:t xml:space="preserve">Z oslovených bank předložily nabídky (celkem 4 banky): 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Komerční banka, a.s., 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PPF banka a.s., 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Fonts w:ascii="Arial" w:hAnsi="Arial" w:cs="Arial"/>
          <w:sz w:val="24"/>
          <w:szCs w:val="24"/>
        </w:rPr>
        <w:t xml:space="preserve">Česká spořitelna, a.s. a </w:t>
      </w:r>
    </w:p>
    <w:p w:rsidR="0030128D" w:rsidRPr="0030128D" w:rsidRDefault="0030128D" w:rsidP="0030128D">
      <w:pPr>
        <w:jc w:val="both"/>
        <w:rPr>
          <w:rFonts w:ascii="Arial" w:hAnsi="Arial" w:cs="Arial"/>
          <w:sz w:val="24"/>
          <w:szCs w:val="24"/>
        </w:rPr>
      </w:pPr>
      <w:r w:rsidRPr="0030128D">
        <w:rPr>
          <w:rStyle w:val="Siln"/>
          <w:rFonts w:ascii="Arial" w:hAnsi="Arial" w:cs="Arial"/>
          <w:b w:val="0"/>
          <w:sz w:val="24"/>
          <w:szCs w:val="24"/>
        </w:rPr>
        <w:t>UniCredit Bank Czech Republic and Slovakia, a.s.</w:t>
      </w:r>
    </w:p>
    <w:p w:rsidR="0030128D" w:rsidRPr="0030128D" w:rsidRDefault="0030128D" w:rsidP="0030128D">
      <w:pPr>
        <w:rPr>
          <w:rFonts w:ascii="Arial" w:hAnsi="Arial" w:cs="Arial"/>
          <w:b/>
          <w:sz w:val="24"/>
          <w:szCs w:val="24"/>
        </w:rPr>
      </w:pPr>
    </w:p>
    <w:p w:rsidR="0030128D" w:rsidRPr="0030128D" w:rsidRDefault="0030128D" w:rsidP="0030128D">
      <w:pPr>
        <w:jc w:val="both"/>
        <w:rPr>
          <w:rFonts w:ascii="Arial" w:hAnsi="Arial" w:cs="Arial"/>
          <w:b/>
          <w:sz w:val="24"/>
          <w:szCs w:val="24"/>
        </w:rPr>
      </w:pPr>
    </w:p>
    <w:p w:rsidR="0030128D" w:rsidRPr="00F47F8D" w:rsidRDefault="00F47F8D" w:rsidP="0030128D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F47F8D">
        <w:rPr>
          <w:rFonts w:ascii="Arial" w:hAnsi="Arial" w:cs="Arial"/>
          <w:b/>
        </w:rPr>
        <w:t>Porada vedení Olomouckého kraje na svém jednání dne 7. 9. 2020</w:t>
      </w:r>
      <w:r w:rsidR="00080954">
        <w:rPr>
          <w:rFonts w:ascii="Arial" w:hAnsi="Arial" w:cs="Arial"/>
          <w:b/>
        </w:rPr>
        <w:t xml:space="preserve"> a Rada Olomouckého kraje na svém jednání dne 14. 9. 2020</w:t>
      </w:r>
      <w:r w:rsidRPr="00F47F8D">
        <w:rPr>
          <w:rFonts w:ascii="Arial" w:hAnsi="Arial" w:cs="Arial"/>
          <w:b/>
        </w:rPr>
        <w:t xml:space="preserve"> n</w:t>
      </w:r>
      <w:r w:rsidR="0030128D" w:rsidRPr="00F47F8D">
        <w:rPr>
          <w:rFonts w:ascii="Arial" w:hAnsi="Arial" w:cs="Arial"/>
          <w:b/>
        </w:rPr>
        <w:t xml:space="preserve">a základě </w:t>
      </w:r>
      <w:r w:rsidR="00E16A93">
        <w:rPr>
          <w:rFonts w:ascii="Arial" w:hAnsi="Arial" w:cs="Arial"/>
          <w:b/>
        </w:rPr>
        <w:t>vyhodnocených</w:t>
      </w:r>
      <w:r w:rsidR="0030128D" w:rsidRPr="00F47F8D">
        <w:rPr>
          <w:rFonts w:ascii="Arial" w:hAnsi="Arial" w:cs="Arial"/>
          <w:b/>
        </w:rPr>
        <w:t xml:space="preserve"> skutečností a s přihlédnutím k tomu, že platební styk Olomouckého kraje je převážně realizován u Komerční banky, a.s. (hlavní banka Olomouckého kraje), také z důvodu, že není nutné zřizovat nový bankovní účet, internetové bankovnictví a nebyly požadovány další žádné specifické podmínky (podmínka platebního styku, podmínka obratu v %), </w:t>
      </w:r>
      <w:r w:rsidR="00080954">
        <w:rPr>
          <w:rFonts w:ascii="Arial" w:hAnsi="Arial" w:cs="Arial"/>
          <w:b/>
        </w:rPr>
        <w:t>navrhuje Zastupitelstvu</w:t>
      </w:r>
      <w:r w:rsidRPr="00F47F8D">
        <w:rPr>
          <w:rFonts w:ascii="Arial" w:hAnsi="Arial" w:cs="Arial"/>
          <w:b/>
        </w:rPr>
        <w:t xml:space="preserve"> </w:t>
      </w:r>
      <w:r w:rsidR="0030128D" w:rsidRPr="00F47F8D">
        <w:rPr>
          <w:rFonts w:ascii="Arial" w:hAnsi="Arial" w:cs="Arial"/>
          <w:b/>
        </w:rPr>
        <w:t>Olomouckého kraje</w:t>
      </w:r>
      <w:r w:rsidR="00080954">
        <w:rPr>
          <w:rFonts w:ascii="Arial" w:hAnsi="Arial" w:cs="Arial"/>
          <w:b/>
        </w:rPr>
        <w:t xml:space="preserve"> </w:t>
      </w:r>
      <w:r w:rsidR="0030128D" w:rsidRPr="00F47F8D">
        <w:rPr>
          <w:rFonts w:ascii="Arial" w:hAnsi="Arial" w:cs="Arial"/>
          <w:b/>
        </w:rPr>
        <w:t>schválit nabídku na uzavření smlouvy o revolvingové</w:t>
      </w:r>
      <w:r w:rsidR="003C7B36">
        <w:rPr>
          <w:rFonts w:ascii="Arial" w:hAnsi="Arial" w:cs="Arial"/>
          <w:b/>
        </w:rPr>
        <w:t xml:space="preserve">m úvěru s Komerční bankou, a.s. </w:t>
      </w:r>
    </w:p>
    <w:p w:rsidR="00080954" w:rsidRDefault="00080954" w:rsidP="00080954">
      <w:pPr>
        <w:jc w:val="both"/>
        <w:rPr>
          <w:rFonts w:ascii="Arial" w:hAnsi="Arial" w:cs="Arial"/>
        </w:rPr>
      </w:pPr>
    </w:p>
    <w:p w:rsidR="00080954" w:rsidRPr="00080954" w:rsidRDefault="00080954" w:rsidP="00080954">
      <w:pPr>
        <w:jc w:val="both"/>
        <w:rPr>
          <w:rFonts w:ascii="Arial" w:hAnsi="Arial" w:cs="Arial"/>
          <w:b/>
          <w:sz w:val="24"/>
          <w:szCs w:val="24"/>
        </w:rPr>
      </w:pPr>
      <w:r w:rsidRPr="00080954">
        <w:rPr>
          <w:rFonts w:ascii="Arial" w:hAnsi="Arial" w:cs="Arial"/>
          <w:b/>
          <w:sz w:val="24"/>
          <w:szCs w:val="24"/>
        </w:rPr>
        <w:t>Na základě výše uvedeného předkladatel a zpracovatel doporučují Zastupitelstvu Olomouckého kraje, na základě §</w:t>
      </w:r>
      <w:r w:rsidR="003F3703">
        <w:rPr>
          <w:rFonts w:ascii="Arial" w:hAnsi="Arial" w:cs="Arial"/>
          <w:b/>
          <w:sz w:val="24"/>
          <w:szCs w:val="24"/>
        </w:rPr>
        <w:t xml:space="preserve"> </w:t>
      </w:r>
      <w:r w:rsidRPr="00080954">
        <w:rPr>
          <w:rFonts w:ascii="Arial" w:hAnsi="Arial" w:cs="Arial"/>
          <w:b/>
          <w:sz w:val="24"/>
          <w:szCs w:val="24"/>
        </w:rPr>
        <w:t>36, písmena i) zákona 129/2000 Sb. o krajích, schválit uzavření Smlouvy o revolvingovém úvěru, pověřit hejtmana Ladislava Oklešťka k podepsání sml</w:t>
      </w:r>
      <w:r>
        <w:rPr>
          <w:rFonts w:ascii="Arial" w:hAnsi="Arial" w:cs="Arial"/>
          <w:b/>
          <w:sz w:val="24"/>
          <w:szCs w:val="24"/>
        </w:rPr>
        <w:t>ouvy</w:t>
      </w:r>
      <w:r w:rsidRPr="00080954">
        <w:rPr>
          <w:rFonts w:ascii="Arial" w:hAnsi="Arial" w:cs="Arial"/>
          <w:b/>
          <w:sz w:val="24"/>
          <w:szCs w:val="24"/>
        </w:rPr>
        <w:t xml:space="preserve"> a zmocnit Radu Olomouckého kraje ke schvalování dílčích čerpání a splácení úvěr</w:t>
      </w:r>
      <w:r>
        <w:rPr>
          <w:rFonts w:ascii="Arial" w:hAnsi="Arial" w:cs="Arial"/>
          <w:b/>
          <w:sz w:val="24"/>
          <w:szCs w:val="24"/>
        </w:rPr>
        <w:t>u.</w:t>
      </w:r>
    </w:p>
    <w:p w:rsidR="007A0E75" w:rsidRDefault="007A0E75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080954" w:rsidRDefault="0008095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A0E75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smlouvy o revolvingovém úvěru</w:t>
      </w:r>
      <w:r w:rsidR="0079026C"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3</w:t>
      </w:r>
      <w:r w:rsidR="0079026C"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7</w:t>
      </w:r>
      <w:r w:rsidR="0079026C" w:rsidRPr="0079026C">
        <w:rPr>
          <w:rFonts w:ascii="Arial" w:hAnsi="Arial" w:cs="Arial"/>
          <w:sz w:val="24"/>
          <w:szCs w:val="24"/>
        </w:rPr>
        <w:t>)</w:t>
      </w:r>
    </w:p>
    <w:p w:rsidR="00EC70CB" w:rsidRDefault="00EC70CB" w:rsidP="0079026C">
      <w:pPr>
        <w:pStyle w:val="Zkladntextodsazen"/>
        <w:ind w:left="900" w:hanging="900"/>
        <w:jc w:val="both"/>
        <w:rPr>
          <w:rFonts w:ascii="Arial" w:hAnsi="Arial" w:cs="Arial"/>
        </w:rPr>
      </w:pPr>
    </w:p>
    <w:sectPr w:rsidR="00EC70C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D065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190E67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6440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C151B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7A0E75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37AD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69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30128D">
      <w:rPr>
        <w:rFonts w:ascii="Arial" w:hAnsi="Arial" w:cs="Arial"/>
        <w:i/>
      </w:rPr>
      <w:t>Smlouva o revolvingovém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4A9"/>
    <w:multiLevelType w:val="hybridMultilevel"/>
    <w:tmpl w:val="9EBAD2FC"/>
    <w:lvl w:ilvl="0" w:tplc="8C10EB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823"/>
    <w:multiLevelType w:val="hybridMultilevel"/>
    <w:tmpl w:val="CF220596"/>
    <w:lvl w:ilvl="0" w:tplc="AC34D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3571B"/>
    <w:multiLevelType w:val="hybridMultilevel"/>
    <w:tmpl w:val="293AE794"/>
    <w:lvl w:ilvl="0" w:tplc="B15248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2687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0954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0F58DD"/>
    <w:rsid w:val="00102FF7"/>
    <w:rsid w:val="0010347D"/>
    <w:rsid w:val="00112905"/>
    <w:rsid w:val="00120308"/>
    <w:rsid w:val="00130188"/>
    <w:rsid w:val="00131917"/>
    <w:rsid w:val="001335DE"/>
    <w:rsid w:val="001353F1"/>
    <w:rsid w:val="00137ADD"/>
    <w:rsid w:val="00174143"/>
    <w:rsid w:val="0017456F"/>
    <w:rsid w:val="00181B04"/>
    <w:rsid w:val="00182C9F"/>
    <w:rsid w:val="00185AC4"/>
    <w:rsid w:val="00190E67"/>
    <w:rsid w:val="001960A0"/>
    <w:rsid w:val="00196757"/>
    <w:rsid w:val="001A46D5"/>
    <w:rsid w:val="001B13D5"/>
    <w:rsid w:val="001C008E"/>
    <w:rsid w:val="001C04EE"/>
    <w:rsid w:val="001C151B"/>
    <w:rsid w:val="001C25E4"/>
    <w:rsid w:val="001C2F5D"/>
    <w:rsid w:val="001D1184"/>
    <w:rsid w:val="001D6B80"/>
    <w:rsid w:val="001D6D1C"/>
    <w:rsid w:val="001E3298"/>
    <w:rsid w:val="001E4BA8"/>
    <w:rsid w:val="001E62E4"/>
    <w:rsid w:val="001F4EBC"/>
    <w:rsid w:val="001F4F56"/>
    <w:rsid w:val="001F5C04"/>
    <w:rsid w:val="001F6271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67229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4"/>
    <w:rsid w:val="002E536C"/>
    <w:rsid w:val="002E5B9A"/>
    <w:rsid w:val="00300F6A"/>
    <w:rsid w:val="0030128D"/>
    <w:rsid w:val="00311BB6"/>
    <w:rsid w:val="00314053"/>
    <w:rsid w:val="00314F25"/>
    <w:rsid w:val="00316AF1"/>
    <w:rsid w:val="003229E9"/>
    <w:rsid w:val="00323756"/>
    <w:rsid w:val="00325F0C"/>
    <w:rsid w:val="00337820"/>
    <w:rsid w:val="003448D1"/>
    <w:rsid w:val="00351DA2"/>
    <w:rsid w:val="003533D6"/>
    <w:rsid w:val="00354AED"/>
    <w:rsid w:val="00357B9C"/>
    <w:rsid w:val="0036349A"/>
    <w:rsid w:val="0036574B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C6B94"/>
    <w:rsid w:val="003C7B36"/>
    <w:rsid w:val="003D1400"/>
    <w:rsid w:val="003D384A"/>
    <w:rsid w:val="003E0E6B"/>
    <w:rsid w:val="003E1068"/>
    <w:rsid w:val="003E262A"/>
    <w:rsid w:val="003F3703"/>
    <w:rsid w:val="003F4C8B"/>
    <w:rsid w:val="00406F4D"/>
    <w:rsid w:val="004222FF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473A0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5DB"/>
    <w:rsid w:val="00483DCF"/>
    <w:rsid w:val="00490E6A"/>
    <w:rsid w:val="0049144F"/>
    <w:rsid w:val="004934E9"/>
    <w:rsid w:val="00493709"/>
    <w:rsid w:val="004A0D61"/>
    <w:rsid w:val="004A3D4E"/>
    <w:rsid w:val="004B4A6B"/>
    <w:rsid w:val="004D2A97"/>
    <w:rsid w:val="004D7C87"/>
    <w:rsid w:val="004E21DE"/>
    <w:rsid w:val="004E6980"/>
    <w:rsid w:val="004E7406"/>
    <w:rsid w:val="004E7C5D"/>
    <w:rsid w:val="004F2948"/>
    <w:rsid w:val="00501497"/>
    <w:rsid w:val="00505139"/>
    <w:rsid w:val="005147CA"/>
    <w:rsid w:val="00527862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01A0"/>
    <w:rsid w:val="005A279D"/>
    <w:rsid w:val="005A3D51"/>
    <w:rsid w:val="005B0350"/>
    <w:rsid w:val="005B1B43"/>
    <w:rsid w:val="005B5166"/>
    <w:rsid w:val="005B76A6"/>
    <w:rsid w:val="005C722C"/>
    <w:rsid w:val="005E0DDC"/>
    <w:rsid w:val="005F360B"/>
    <w:rsid w:val="005F3672"/>
    <w:rsid w:val="005F4C03"/>
    <w:rsid w:val="005F64A2"/>
    <w:rsid w:val="00600ADB"/>
    <w:rsid w:val="006054D8"/>
    <w:rsid w:val="00611C2C"/>
    <w:rsid w:val="00626636"/>
    <w:rsid w:val="00640C92"/>
    <w:rsid w:val="00643252"/>
    <w:rsid w:val="0064450B"/>
    <w:rsid w:val="00645052"/>
    <w:rsid w:val="00665DF9"/>
    <w:rsid w:val="00671C4D"/>
    <w:rsid w:val="00672282"/>
    <w:rsid w:val="00675288"/>
    <w:rsid w:val="00684C54"/>
    <w:rsid w:val="006858FD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54AD0"/>
    <w:rsid w:val="00764097"/>
    <w:rsid w:val="00767B37"/>
    <w:rsid w:val="0077106F"/>
    <w:rsid w:val="00771BEB"/>
    <w:rsid w:val="0077538C"/>
    <w:rsid w:val="00785728"/>
    <w:rsid w:val="00786DF0"/>
    <w:rsid w:val="0079026C"/>
    <w:rsid w:val="0079576C"/>
    <w:rsid w:val="007A0E75"/>
    <w:rsid w:val="007A1520"/>
    <w:rsid w:val="007A3265"/>
    <w:rsid w:val="007A4156"/>
    <w:rsid w:val="007B019D"/>
    <w:rsid w:val="007B2C63"/>
    <w:rsid w:val="007B351D"/>
    <w:rsid w:val="007B4466"/>
    <w:rsid w:val="007B5069"/>
    <w:rsid w:val="007B52E5"/>
    <w:rsid w:val="007C5ECC"/>
    <w:rsid w:val="007C6E3A"/>
    <w:rsid w:val="007C75F5"/>
    <w:rsid w:val="007D0657"/>
    <w:rsid w:val="007D5DD8"/>
    <w:rsid w:val="007E18DA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1BB"/>
    <w:rsid w:val="0083086B"/>
    <w:rsid w:val="008339F4"/>
    <w:rsid w:val="008468B5"/>
    <w:rsid w:val="00851526"/>
    <w:rsid w:val="0085368A"/>
    <w:rsid w:val="0085727E"/>
    <w:rsid w:val="008574EB"/>
    <w:rsid w:val="00861C46"/>
    <w:rsid w:val="00864BC7"/>
    <w:rsid w:val="00871879"/>
    <w:rsid w:val="00875350"/>
    <w:rsid w:val="008765C9"/>
    <w:rsid w:val="008774A8"/>
    <w:rsid w:val="0088147C"/>
    <w:rsid w:val="008824A5"/>
    <w:rsid w:val="00883EBF"/>
    <w:rsid w:val="0088528E"/>
    <w:rsid w:val="00890D5C"/>
    <w:rsid w:val="0089274C"/>
    <w:rsid w:val="00893CC3"/>
    <w:rsid w:val="008A08D4"/>
    <w:rsid w:val="008A3AEC"/>
    <w:rsid w:val="008B4F7D"/>
    <w:rsid w:val="008B7481"/>
    <w:rsid w:val="008D1249"/>
    <w:rsid w:val="008E030D"/>
    <w:rsid w:val="008E0A6D"/>
    <w:rsid w:val="008E411B"/>
    <w:rsid w:val="008E4141"/>
    <w:rsid w:val="008F41CE"/>
    <w:rsid w:val="009001B4"/>
    <w:rsid w:val="00911FF1"/>
    <w:rsid w:val="0092039D"/>
    <w:rsid w:val="0092092E"/>
    <w:rsid w:val="009212FD"/>
    <w:rsid w:val="00921C26"/>
    <w:rsid w:val="00925E6A"/>
    <w:rsid w:val="00933EE0"/>
    <w:rsid w:val="00941A73"/>
    <w:rsid w:val="00950298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436B"/>
    <w:rsid w:val="009E5479"/>
    <w:rsid w:val="009E7A8D"/>
    <w:rsid w:val="009F0DDC"/>
    <w:rsid w:val="009F4D0E"/>
    <w:rsid w:val="009F5199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56104"/>
    <w:rsid w:val="00A6440B"/>
    <w:rsid w:val="00A6523D"/>
    <w:rsid w:val="00A70F9F"/>
    <w:rsid w:val="00A81067"/>
    <w:rsid w:val="00A818B7"/>
    <w:rsid w:val="00A865CC"/>
    <w:rsid w:val="00A86994"/>
    <w:rsid w:val="00A93C74"/>
    <w:rsid w:val="00A93F8A"/>
    <w:rsid w:val="00A942AA"/>
    <w:rsid w:val="00A971AD"/>
    <w:rsid w:val="00AA33A6"/>
    <w:rsid w:val="00AB42A6"/>
    <w:rsid w:val="00AB73F4"/>
    <w:rsid w:val="00AC1C56"/>
    <w:rsid w:val="00AC3A85"/>
    <w:rsid w:val="00AC4BAD"/>
    <w:rsid w:val="00AC5B6E"/>
    <w:rsid w:val="00AC667A"/>
    <w:rsid w:val="00AD05E6"/>
    <w:rsid w:val="00AE0435"/>
    <w:rsid w:val="00AE5A7C"/>
    <w:rsid w:val="00AF43C6"/>
    <w:rsid w:val="00B06FC1"/>
    <w:rsid w:val="00B251B3"/>
    <w:rsid w:val="00B27BC4"/>
    <w:rsid w:val="00B31D39"/>
    <w:rsid w:val="00B43716"/>
    <w:rsid w:val="00B46742"/>
    <w:rsid w:val="00B61E54"/>
    <w:rsid w:val="00B6205A"/>
    <w:rsid w:val="00B6324F"/>
    <w:rsid w:val="00B646AA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03132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45E28"/>
    <w:rsid w:val="00C63920"/>
    <w:rsid w:val="00C651E6"/>
    <w:rsid w:val="00C71381"/>
    <w:rsid w:val="00C72FD9"/>
    <w:rsid w:val="00C74A64"/>
    <w:rsid w:val="00C81167"/>
    <w:rsid w:val="00C811D4"/>
    <w:rsid w:val="00C837DD"/>
    <w:rsid w:val="00C85F6F"/>
    <w:rsid w:val="00C94656"/>
    <w:rsid w:val="00C95A59"/>
    <w:rsid w:val="00C96325"/>
    <w:rsid w:val="00CA13C0"/>
    <w:rsid w:val="00CA5F18"/>
    <w:rsid w:val="00CA7DDC"/>
    <w:rsid w:val="00CB1589"/>
    <w:rsid w:val="00CC7193"/>
    <w:rsid w:val="00CD05C3"/>
    <w:rsid w:val="00CD282E"/>
    <w:rsid w:val="00CE037F"/>
    <w:rsid w:val="00CE03B3"/>
    <w:rsid w:val="00CE2AD9"/>
    <w:rsid w:val="00CE66BF"/>
    <w:rsid w:val="00CE6AC7"/>
    <w:rsid w:val="00CF53E5"/>
    <w:rsid w:val="00D02B9C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5C9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2494"/>
    <w:rsid w:val="00DA44D5"/>
    <w:rsid w:val="00DC51C6"/>
    <w:rsid w:val="00DC63DE"/>
    <w:rsid w:val="00DD7518"/>
    <w:rsid w:val="00DE0169"/>
    <w:rsid w:val="00DE4A24"/>
    <w:rsid w:val="00DE608F"/>
    <w:rsid w:val="00DE79D7"/>
    <w:rsid w:val="00DF085E"/>
    <w:rsid w:val="00E146F1"/>
    <w:rsid w:val="00E16A93"/>
    <w:rsid w:val="00E16B50"/>
    <w:rsid w:val="00E20E1B"/>
    <w:rsid w:val="00E25931"/>
    <w:rsid w:val="00E354DD"/>
    <w:rsid w:val="00E36BED"/>
    <w:rsid w:val="00E37581"/>
    <w:rsid w:val="00E53D37"/>
    <w:rsid w:val="00E61292"/>
    <w:rsid w:val="00E62F61"/>
    <w:rsid w:val="00E65E6F"/>
    <w:rsid w:val="00E6612E"/>
    <w:rsid w:val="00E723B6"/>
    <w:rsid w:val="00E737D6"/>
    <w:rsid w:val="00E756B9"/>
    <w:rsid w:val="00E871C5"/>
    <w:rsid w:val="00E951F3"/>
    <w:rsid w:val="00EB7DC2"/>
    <w:rsid w:val="00EC40F9"/>
    <w:rsid w:val="00EC70CB"/>
    <w:rsid w:val="00ED1D70"/>
    <w:rsid w:val="00ED313C"/>
    <w:rsid w:val="00EE4678"/>
    <w:rsid w:val="00EE58D9"/>
    <w:rsid w:val="00F01F20"/>
    <w:rsid w:val="00F10D9E"/>
    <w:rsid w:val="00F12258"/>
    <w:rsid w:val="00F1791B"/>
    <w:rsid w:val="00F211FC"/>
    <w:rsid w:val="00F22EC6"/>
    <w:rsid w:val="00F24184"/>
    <w:rsid w:val="00F30D8F"/>
    <w:rsid w:val="00F33909"/>
    <w:rsid w:val="00F34418"/>
    <w:rsid w:val="00F45D67"/>
    <w:rsid w:val="00F47F8D"/>
    <w:rsid w:val="00F616BF"/>
    <w:rsid w:val="00F74379"/>
    <w:rsid w:val="00F770C5"/>
    <w:rsid w:val="00F81B67"/>
    <w:rsid w:val="00F82A2C"/>
    <w:rsid w:val="00FA3255"/>
    <w:rsid w:val="00FA54FC"/>
    <w:rsid w:val="00FB2E2C"/>
    <w:rsid w:val="00FB5A52"/>
    <w:rsid w:val="00FB663B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olomouckkraj">
    <w:name w:val="Hlavička olomoucký kraj"/>
    <w:basedOn w:val="Normln"/>
    <w:rsid w:val="0030128D"/>
    <w:pPr>
      <w:widowControl w:val="0"/>
      <w:jc w:val="both"/>
    </w:pPr>
    <w:rPr>
      <w:rFonts w:ascii="Arial" w:hAnsi="Arial"/>
      <w:b/>
      <w:noProof/>
    </w:rPr>
  </w:style>
  <w:style w:type="character" w:styleId="Siln">
    <w:name w:val="Strong"/>
    <w:uiPriority w:val="22"/>
    <w:qFormat/>
    <w:rsid w:val="00301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Vítková Petra</cp:lastModifiedBy>
  <cp:revision>339</cp:revision>
  <cp:lastPrinted>2020-09-14T09:31:00Z</cp:lastPrinted>
  <dcterms:created xsi:type="dcterms:W3CDTF">2018-05-02T08:34:00Z</dcterms:created>
  <dcterms:modified xsi:type="dcterms:W3CDTF">2020-09-14T09:31:00Z</dcterms:modified>
</cp:coreProperties>
</file>