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FBE" w:rsidRDefault="006630C3" w:rsidP="004D12CF">
      <w:pPr>
        <w:pStyle w:val="Vlevo1cm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Důvodová zpráva:</w:t>
      </w:r>
    </w:p>
    <w:p w:rsidR="006630C3" w:rsidRPr="006630C3" w:rsidRDefault="006E05BE" w:rsidP="004D12CF">
      <w:pPr>
        <w:pStyle w:val="Vlevo1cm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ÚVOD</w:t>
      </w:r>
    </w:p>
    <w:p w:rsidR="00EF7896" w:rsidRPr="003075E5" w:rsidRDefault="00EF7896" w:rsidP="003075E5">
      <w:pPr>
        <w:jc w:val="both"/>
        <w:rPr>
          <w:rFonts w:ascii="Arial" w:hAnsi="Arial" w:cs="Arial"/>
          <w:sz w:val="24"/>
        </w:rPr>
      </w:pPr>
      <w:r w:rsidRPr="0056647B">
        <w:rPr>
          <w:rFonts w:ascii="Arial" w:hAnsi="Arial" w:cs="Arial"/>
          <w:bCs/>
          <w:sz w:val="24"/>
        </w:rPr>
        <w:t>Rada Olomouckého kraje na svém jednání dne 31. 5. 2021 pod č. UR/</w:t>
      </w:r>
      <w:r w:rsidR="00A90C44">
        <w:rPr>
          <w:rFonts w:ascii="Arial" w:hAnsi="Arial" w:cs="Arial"/>
          <w:bCs/>
          <w:sz w:val="24"/>
        </w:rPr>
        <w:t>22</w:t>
      </w:r>
      <w:r w:rsidRPr="0056647B">
        <w:rPr>
          <w:rFonts w:ascii="Arial" w:hAnsi="Arial" w:cs="Arial"/>
          <w:bCs/>
          <w:sz w:val="24"/>
        </w:rPr>
        <w:t>/</w:t>
      </w:r>
      <w:r w:rsidR="00A90C44">
        <w:rPr>
          <w:rFonts w:ascii="Arial" w:hAnsi="Arial" w:cs="Arial"/>
          <w:bCs/>
          <w:sz w:val="24"/>
        </w:rPr>
        <w:t>71</w:t>
      </w:r>
      <w:r w:rsidRPr="0056647B">
        <w:rPr>
          <w:rFonts w:ascii="Arial" w:hAnsi="Arial" w:cs="Arial"/>
          <w:bCs/>
          <w:sz w:val="24"/>
        </w:rPr>
        <w:t>/2021</w:t>
      </w:r>
      <w:r>
        <w:rPr>
          <w:rFonts w:ascii="Arial" w:hAnsi="Arial" w:cs="Arial"/>
          <w:bCs/>
          <w:sz w:val="24"/>
        </w:rPr>
        <w:t xml:space="preserve"> </w:t>
      </w:r>
      <w:r w:rsidRPr="00EF7896">
        <w:rPr>
          <w:rFonts w:ascii="Arial" w:hAnsi="Arial" w:cs="Arial"/>
          <w:bCs/>
          <w:sz w:val="24"/>
        </w:rPr>
        <w:t xml:space="preserve">doporučila ZOK </w:t>
      </w:r>
      <w:r>
        <w:rPr>
          <w:rFonts w:ascii="Arial" w:hAnsi="Arial" w:cs="Arial"/>
          <w:bCs/>
          <w:sz w:val="24"/>
        </w:rPr>
        <w:t xml:space="preserve">rozhodnout </w:t>
      </w:r>
      <w:r w:rsidRPr="003075E5">
        <w:rPr>
          <w:rFonts w:ascii="Arial" w:hAnsi="Arial" w:cs="Arial"/>
          <w:bCs/>
          <w:sz w:val="24"/>
        </w:rPr>
        <w:t xml:space="preserve">o </w:t>
      </w:r>
      <w:r w:rsidRPr="003075E5">
        <w:rPr>
          <w:rFonts w:ascii="Arial" w:hAnsi="Arial" w:cs="Arial"/>
          <w:sz w:val="24"/>
        </w:rPr>
        <w:t xml:space="preserve">nepořizování samostatné aktualizace ZÚR OK, která by </w:t>
      </w:r>
      <w:r w:rsidRPr="003075E5">
        <w:rPr>
          <w:rFonts w:ascii="Arial" w:hAnsi="Arial" w:cs="Arial"/>
          <w:iCs/>
          <w:sz w:val="24"/>
        </w:rPr>
        <w:t>nahradila soudem zrušenou Strategickou plochu Olomouc</w:t>
      </w:r>
      <w:r w:rsidRPr="003075E5">
        <w:rPr>
          <w:rFonts w:ascii="Arial" w:hAnsi="Arial" w:cs="Arial"/>
          <w:sz w:val="24"/>
        </w:rPr>
        <w:t xml:space="preserve"> jinou adekvátní strategickou plochou</w:t>
      </w:r>
      <w:r w:rsidR="00A722E7">
        <w:rPr>
          <w:rFonts w:ascii="Arial" w:hAnsi="Arial" w:cs="Arial"/>
          <w:sz w:val="24"/>
        </w:rPr>
        <w:t xml:space="preserve">, s tím že </w:t>
      </w:r>
      <w:r w:rsidRPr="003075E5">
        <w:rPr>
          <w:rFonts w:ascii="Arial" w:hAnsi="Arial" w:cs="Arial"/>
          <w:sz w:val="24"/>
        </w:rPr>
        <w:t>vymezení Strategické plochy Přerov a Strategické plochy Zábřeh je pro potřeby Olomouckého kraje dostatečné</w:t>
      </w:r>
      <w:r w:rsidRPr="000677B9">
        <w:rPr>
          <w:rFonts w:ascii="Arial" w:hAnsi="Arial" w:cs="Arial"/>
          <w:sz w:val="24"/>
        </w:rPr>
        <w:t>.</w:t>
      </w:r>
    </w:p>
    <w:p w:rsidR="00EF7896" w:rsidRDefault="00EF7896" w:rsidP="00EF7896">
      <w:pPr>
        <w:kinsoku w:val="0"/>
        <w:overflowPunct w:val="0"/>
        <w:jc w:val="both"/>
        <w:textAlignment w:val="baseline"/>
        <w:rPr>
          <w:rFonts w:ascii="Arial" w:hAnsi="Arial" w:cs="Arial"/>
          <w:bCs/>
          <w:sz w:val="24"/>
        </w:rPr>
      </w:pPr>
    </w:p>
    <w:p w:rsidR="00A43973" w:rsidRDefault="00455565" w:rsidP="00455565">
      <w:pPr>
        <w:kinsoku w:val="0"/>
        <w:overflowPunct w:val="0"/>
        <w:jc w:val="both"/>
        <w:textAlignment w:val="baseline"/>
        <w:rPr>
          <w:rFonts w:ascii="Arial" w:hAnsi="Arial" w:cs="Arial"/>
          <w:i/>
          <w:iCs/>
          <w:sz w:val="24"/>
        </w:rPr>
      </w:pPr>
      <w:r w:rsidRPr="00455565">
        <w:rPr>
          <w:rFonts w:ascii="Arial" w:hAnsi="Arial" w:cs="Arial"/>
          <w:sz w:val="24"/>
        </w:rPr>
        <w:t xml:space="preserve">Zastupitelstvo Olomouckého kraje na svém zasedání dne 23. 9. 2019 vydalo usnesením č. UZ/17/60/2019 Aktualizaci č. 2a Zásad územního rozvoje Olomouckého kraje (dále jen Akt. č. 2a ZÚR OK). </w:t>
      </w:r>
      <w:r w:rsidR="002F4243">
        <w:rPr>
          <w:rFonts w:ascii="Arial" w:hAnsi="Arial" w:cs="Arial"/>
          <w:sz w:val="24"/>
        </w:rPr>
        <w:t>Součástí řešení bylo i vymezení Strategické plochy Olomouc a Strategické plochy Zábřeh</w:t>
      </w:r>
      <w:r w:rsidR="007835FE">
        <w:rPr>
          <w:rFonts w:ascii="Arial" w:hAnsi="Arial" w:cs="Arial"/>
          <w:sz w:val="24"/>
        </w:rPr>
        <w:t>,</w:t>
      </w:r>
      <w:r w:rsidR="002F4243" w:rsidRPr="009824D9">
        <w:rPr>
          <w:rFonts w:ascii="Arial" w:hAnsi="Arial" w:cs="Arial"/>
          <w:color w:val="FFC000"/>
          <w:sz w:val="24"/>
        </w:rPr>
        <w:t xml:space="preserve"> </w:t>
      </w:r>
      <w:r w:rsidR="002F4243" w:rsidRPr="007835FE">
        <w:rPr>
          <w:rFonts w:ascii="Arial" w:hAnsi="Arial" w:cs="Arial"/>
          <w:sz w:val="24"/>
        </w:rPr>
        <w:t>když Strategická plocha Přerov byla vymezena v Akt. č. 2b Z</w:t>
      </w:r>
      <w:r w:rsidR="00E1574E" w:rsidRPr="007835FE">
        <w:rPr>
          <w:rFonts w:ascii="Arial" w:hAnsi="Arial" w:cs="Arial"/>
          <w:sz w:val="24"/>
        </w:rPr>
        <w:t>ÚR OK, vy</w:t>
      </w:r>
      <w:r w:rsidR="002F4243" w:rsidRPr="007835FE">
        <w:rPr>
          <w:rFonts w:ascii="Arial" w:hAnsi="Arial" w:cs="Arial"/>
          <w:sz w:val="24"/>
        </w:rPr>
        <w:t xml:space="preserve">dané </w:t>
      </w:r>
      <w:r w:rsidR="00E1574E" w:rsidRPr="007835FE">
        <w:rPr>
          <w:rFonts w:ascii="Arial" w:hAnsi="Arial" w:cs="Arial"/>
          <w:sz w:val="24"/>
        </w:rPr>
        <w:t xml:space="preserve"> </w:t>
      </w:r>
      <w:r w:rsidR="002F4243" w:rsidRPr="007835FE">
        <w:rPr>
          <w:rFonts w:ascii="Arial" w:hAnsi="Arial" w:cs="Arial"/>
          <w:sz w:val="24"/>
        </w:rPr>
        <w:t xml:space="preserve">ZOK dne </w:t>
      </w:r>
      <w:r w:rsidR="007835FE">
        <w:rPr>
          <w:rFonts w:ascii="Arial" w:hAnsi="Arial" w:cs="Arial"/>
          <w:sz w:val="24"/>
        </w:rPr>
        <w:t>24. 4. 2017</w:t>
      </w:r>
      <w:r w:rsidR="002F4243" w:rsidRPr="007835FE">
        <w:rPr>
          <w:rFonts w:ascii="Arial" w:hAnsi="Arial" w:cs="Arial"/>
          <w:sz w:val="24"/>
        </w:rPr>
        <w:t>.</w:t>
      </w:r>
      <w:r w:rsidR="00A43973" w:rsidRPr="007835FE">
        <w:rPr>
          <w:rFonts w:ascii="Arial" w:hAnsi="Arial" w:cs="Arial"/>
          <w:sz w:val="24"/>
        </w:rPr>
        <w:t xml:space="preserve"> </w:t>
      </w:r>
      <w:r w:rsidR="00A43973" w:rsidRPr="00A43973">
        <w:rPr>
          <w:rFonts w:ascii="Arial" w:hAnsi="Arial" w:cs="Arial"/>
          <w:sz w:val="24"/>
        </w:rPr>
        <w:t xml:space="preserve">Rozsudkem Krajského soudu v Ostravě </w:t>
      </w:r>
      <w:r w:rsidR="000D3F92">
        <w:rPr>
          <w:rFonts w:ascii="Arial" w:hAnsi="Arial" w:cs="Arial"/>
          <w:sz w:val="24"/>
        </w:rPr>
        <w:t>– pobočk</w:t>
      </w:r>
      <w:r w:rsidR="00757910">
        <w:rPr>
          <w:rFonts w:ascii="Arial" w:hAnsi="Arial" w:cs="Arial"/>
          <w:sz w:val="24"/>
        </w:rPr>
        <w:t>y</w:t>
      </w:r>
      <w:r w:rsidR="000D3F92">
        <w:rPr>
          <w:rFonts w:ascii="Arial" w:hAnsi="Arial" w:cs="Arial"/>
          <w:sz w:val="24"/>
        </w:rPr>
        <w:t xml:space="preserve"> v Olomouci </w:t>
      </w:r>
      <w:r w:rsidR="000D3F92" w:rsidRPr="00B4584B">
        <w:rPr>
          <w:rFonts w:ascii="Arial" w:eastAsiaTheme="minorHAnsi" w:hAnsi="Arial" w:cs="Arial"/>
          <w:sz w:val="24"/>
          <w:lang w:eastAsia="en-US"/>
        </w:rPr>
        <w:t>č. j. 73 A 5/2020-163</w:t>
      </w:r>
      <w:r w:rsidR="000D3F92">
        <w:rPr>
          <w:rFonts w:ascii="Arial" w:hAnsi="Arial" w:cs="Arial"/>
          <w:sz w:val="24"/>
        </w:rPr>
        <w:t xml:space="preserve"> </w:t>
      </w:r>
      <w:r w:rsidR="00A43973">
        <w:rPr>
          <w:rFonts w:ascii="Arial" w:hAnsi="Arial" w:cs="Arial"/>
          <w:sz w:val="24"/>
        </w:rPr>
        <w:t xml:space="preserve">ze dne 9. 2. 2021 </w:t>
      </w:r>
      <w:r w:rsidR="00A43973" w:rsidRPr="00A43973">
        <w:rPr>
          <w:rFonts w:ascii="Arial" w:hAnsi="Arial" w:cs="Arial"/>
          <w:sz w:val="24"/>
        </w:rPr>
        <w:t xml:space="preserve">byla Strategická plocha Olomouc zrušena. </w:t>
      </w:r>
      <w:r w:rsidR="006E6B07">
        <w:rPr>
          <w:rFonts w:ascii="Arial" w:hAnsi="Arial" w:cs="Arial"/>
          <w:sz w:val="24"/>
        </w:rPr>
        <w:t>Protože v § 42 odst. 6) stavebního zákona</w:t>
      </w:r>
      <w:r w:rsidR="00745609">
        <w:rPr>
          <w:rFonts w:ascii="Arial" w:hAnsi="Arial" w:cs="Arial"/>
          <w:sz w:val="24"/>
        </w:rPr>
        <w:t xml:space="preserve"> je </w:t>
      </w:r>
      <w:r w:rsidR="00275A07" w:rsidRPr="00273211">
        <w:rPr>
          <w:rFonts w:ascii="Arial" w:hAnsi="Arial" w:cs="Arial"/>
          <w:sz w:val="24"/>
        </w:rPr>
        <w:t>k řešení důs</w:t>
      </w:r>
      <w:r w:rsidR="00275A07">
        <w:rPr>
          <w:rFonts w:ascii="Arial" w:hAnsi="Arial" w:cs="Arial"/>
          <w:sz w:val="24"/>
        </w:rPr>
        <w:t xml:space="preserve">ledků zrušení </w:t>
      </w:r>
      <w:r w:rsidR="00275A07" w:rsidRPr="00273211">
        <w:rPr>
          <w:rFonts w:ascii="Arial" w:hAnsi="Arial" w:cs="Arial"/>
          <w:sz w:val="24"/>
        </w:rPr>
        <w:t xml:space="preserve">části </w:t>
      </w:r>
      <w:r w:rsidR="00275A07">
        <w:rPr>
          <w:rFonts w:ascii="Arial" w:hAnsi="Arial" w:cs="Arial"/>
          <w:sz w:val="24"/>
        </w:rPr>
        <w:t>ZÚR stanoveno</w:t>
      </w:r>
      <w:r w:rsidR="00745609">
        <w:rPr>
          <w:rFonts w:ascii="Arial" w:hAnsi="Arial" w:cs="Arial"/>
          <w:sz w:val="24"/>
        </w:rPr>
        <w:t>: „</w:t>
      </w:r>
      <w:r w:rsidR="00745609" w:rsidRPr="0011413A">
        <w:rPr>
          <w:rFonts w:ascii="Arial" w:hAnsi="Arial" w:cs="Arial"/>
          <w:i/>
          <w:iCs/>
          <w:sz w:val="24"/>
        </w:rPr>
        <w:t>Dojde-li ke zrušen</w:t>
      </w:r>
      <w:r w:rsidR="00CD2840">
        <w:rPr>
          <w:rFonts w:ascii="Arial" w:hAnsi="Arial" w:cs="Arial"/>
          <w:i/>
          <w:iCs/>
          <w:sz w:val="24"/>
        </w:rPr>
        <w:t xml:space="preserve">í části zásad územního rozvoje …, </w:t>
      </w:r>
      <w:r w:rsidR="00745609" w:rsidRPr="0011413A">
        <w:rPr>
          <w:rFonts w:ascii="Arial" w:hAnsi="Arial" w:cs="Arial"/>
          <w:i/>
          <w:iCs/>
          <w:sz w:val="24"/>
        </w:rPr>
        <w:t>zastupitelstvo kraje bezodkladně rozhodne o aktualizaci zásad územního rozvoje a jejím obsahu</w:t>
      </w:r>
      <w:r w:rsidR="000D3F92">
        <w:rPr>
          <w:rFonts w:ascii="Arial" w:hAnsi="Arial" w:cs="Arial"/>
          <w:i/>
          <w:iCs/>
          <w:sz w:val="24"/>
        </w:rPr>
        <w:t>. …</w:t>
      </w:r>
      <w:r w:rsidR="00745609" w:rsidRPr="0011413A">
        <w:rPr>
          <w:rFonts w:ascii="Arial" w:hAnsi="Arial" w:cs="Arial"/>
          <w:i/>
          <w:iCs/>
          <w:sz w:val="24"/>
        </w:rPr>
        <w:t>“</w:t>
      </w:r>
      <w:r w:rsidR="0031352B">
        <w:rPr>
          <w:rFonts w:ascii="Arial" w:hAnsi="Arial" w:cs="Arial"/>
          <w:i/>
          <w:iCs/>
          <w:sz w:val="24"/>
        </w:rPr>
        <w:t>,</w:t>
      </w:r>
      <w:r w:rsidR="003E1B76">
        <w:rPr>
          <w:rFonts w:ascii="Arial" w:hAnsi="Arial" w:cs="Arial"/>
          <w:i/>
          <w:iCs/>
          <w:sz w:val="24"/>
        </w:rPr>
        <w:t xml:space="preserve"> </w:t>
      </w:r>
      <w:r w:rsidR="00273211">
        <w:rPr>
          <w:rFonts w:ascii="Arial" w:hAnsi="Arial" w:cs="Arial"/>
          <w:sz w:val="24"/>
        </w:rPr>
        <w:t>p</w:t>
      </w:r>
      <w:r w:rsidR="00273211" w:rsidRPr="00155576">
        <w:rPr>
          <w:rFonts w:ascii="Arial" w:hAnsi="Arial" w:cs="Arial"/>
          <w:sz w:val="24"/>
        </w:rPr>
        <w:t>ředkládá</w:t>
      </w:r>
      <w:r w:rsidR="00273211" w:rsidRPr="0031352B">
        <w:rPr>
          <w:rFonts w:ascii="Arial" w:hAnsi="Arial" w:cs="Arial"/>
          <w:color w:val="ED7D31" w:themeColor="accent2"/>
          <w:sz w:val="24"/>
        </w:rPr>
        <w:t xml:space="preserve"> </w:t>
      </w:r>
      <w:r w:rsidR="00273211" w:rsidRPr="00273211">
        <w:rPr>
          <w:rFonts w:ascii="Arial" w:hAnsi="Arial" w:cs="Arial"/>
          <w:sz w:val="24"/>
        </w:rPr>
        <w:t xml:space="preserve">OSR </w:t>
      </w:r>
      <w:r w:rsidR="00745609" w:rsidRPr="00273211">
        <w:rPr>
          <w:rFonts w:ascii="Arial" w:hAnsi="Arial" w:cs="Arial"/>
          <w:sz w:val="24"/>
        </w:rPr>
        <w:t>ZOK prostřednictvím ROK</w:t>
      </w:r>
      <w:r w:rsidR="00273211" w:rsidRPr="00273211">
        <w:rPr>
          <w:rFonts w:ascii="Arial" w:hAnsi="Arial" w:cs="Arial"/>
          <w:sz w:val="24"/>
        </w:rPr>
        <w:t xml:space="preserve"> k rozhodnutí,</w:t>
      </w:r>
      <w:r w:rsidR="0095233E" w:rsidRPr="00273211">
        <w:rPr>
          <w:rFonts w:ascii="Arial" w:hAnsi="Arial" w:cs="Arial"/>
          <w:sz w:val="24"/>
        </w:rPr>
        <w:t xml:space="preserve"> zda je potřeba prověřit </w:t>
      </w:r>
      <w:r w:rsidR="000D3F92">
        <w:rPr>
          <w:rFonts w:ascii="Arial" w:hAnsi="Arial" w:cs="Arial"/>
          <w:sz w:val="24"/>
        </w:rPr>
        <w:t> </w:t>
      </w:r>
      <w:r w:rsidR="0095233E" w:rsidRPr="00273211">
        <w:rPr>
          <w:rFonts w:ascii="Arial" w:hAnsi="Arial" w:cs="Arial"/>
          <w:sz w:val="24"/>
        </w:rPr>
        <w:t>aktualizac</w:t>
      </w:r>
      <w:r w:rsidR="000D3F92">
        <w:rPr>
          <w:rFonts w:ascii="Arial" w:hAnsi="Arial" w:cs="Arial"/>
          <w:sz w:val="24"/>
        </w:rPr>
        <w:t>í ZÚR OK</w:t>
      </w:r>
      <w:r w:rsidR="0095233E" w:rsidRPr="00273211">
        <w:rPr>
          <w:rFonts w:ascii="Arial" w:hAnsi="Arial" w:cs="Arial"/>
          <w:sz w:val="24"/>
        </w:rPr>
        <w:t xml:space="preserve"> danou problematiku a případně navrhnout jinou adekvátní plochu </w:t>
      </w:r>
      <w:r w:rsidR="0095233E" w:rsidRPr="00273211">
        <w:rPr>
          <w:rFonts w:ascii="Arial" w:hAnsi="Arial" w:cs="Arial"/>
          <w:iCs/>
          <w:sz w:val="24"/>
        </w:rPr>
        <w:t>jako náhradu za zrušenou Strategickou plochu Olomouc,</w:t>
      </w:r>
      <w:r w:rsidR="0031352B" w:rsidRPr="00273211">
        <w:rPr>
          <w:rFonts w:ascii="Arial" w:hAnsi="Arial" w:cs="Arial"/>
          <w:sz w:val="24"/>
        </w:rPr>
        <w:t xml:space="preserve"> nebo </w:t>
      </w:r>
      <w:r w:rsidR="006F0C4A">
        <w:rPr>
          <w:rFonts w:ascii="Arial" w:hAnsi="Arial" w:cs="Arial"/>
          <w:sz w:val="24"/>
        </w:rPr>
        <w:t>jsou pro Olomoucký kraj dostačující strategické plochy v Přerově a Zábřehu</w:t>
      </w:r>
      <w:r w:rsidR="006F0C4A" w:rsidRPr="00273211">
        <w:rPr>
          <w:rFonts w:ascii="Arial" w:hAnsi="Arial" w:cs="Arial"/>
          <w:sz w:val="24"/>
        </w:rPr>
        <w:t xml:space="preserve"> </w:t>
      </w:r>
      <w:r w:rsidR="006F0C4A">
        <w:rPr>
          <w:rFonts w:ascii="Arial" w:hAnsi="Arial" w:cs="Arial"/>
          <w:sz w:val="24"/>
        </w:rPr>
        <w:t xml:space="preserve">a </w:t>
      </w:r>
      <w:r w:rsidR="00F778CB">
        <w:rPr>
          <w:rFonts w:ascii="Arial" w:hAnsi="Arial" w:cs="Arial"/>
          <w:sz w:val="24"/>
        </w:rPr>
        <w:t>aktualizaci není třeba pořizovat</w:t>
      </w:r>
      <w:r w:rsidR="00680113">
        <w:rPr>
          <w:rFonts w:ascii="Arial" w:hAnsi="Arial" w:cs="Arial"/>
          <w:b/>
          <w:bCs/>
          <w:sz w:val="24"/>
        </w:rPr>
        <w:t>.</w:t>
      </w:r>
      <w:r w:rsidR="00745609" w:rsidRPr="00273211">
        <w:rPr>
          <w:rFonts w:ascii="Arial" w:hAnsi="Arial" w:cs="Arial"/>
          <w:sz w:val="24"/>
        </w:rPr>
        <w:t xml:space="preserve"> </w:t>
      </w:r>
    </w:p>
    <w:p w:rsidR="00A43973" w:rsidRDefault="00A43973" w:rsidP="00455565">
      <w:pPr>
        <w:kinsoku w:val="0"/>
        <w:overflowPunct w:val="0"/>
        <w:jc w:val="both"/>
        <w:textAlignment w:val="baseline"/>
        <w:rPr>
          <w:rFonts w:ascii="Arial" w:hAnsi="Arial" w:cs="Arial"/>
          <w:i/>
          <w:iCs/>
          <w:sz w:val="24"/>
        </w:rPr>
      </w:pPr>
    </w:p>
    <w:p w:rsidR="00A43973" w:rsidRPr="00A43973" w:rsidRDefault="00A03529" w:rsidP="00455565">
      <w:pPr>
        <w:kinsoku w:val="0"/>
        <w:overflowPunct w:val="0"/>
        <w:jc w:val="both"/>
        <w:textAlignment w:val="baseline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Důvody řešení </w:t>
      </w:r>
      <w:r w:rsidR="00275A07">
        <w:rPr>
          <w:rFonts w:ascii="Arial" w:hAnsi="Arial" w:cs="Arial"/>
          <w:b/>
          <w:sz w:val="24"/>
        </w:rPr>
        <w:t>strategických ploch</w:t>
      </w:r>
      <w:r w:rsidR="00561484">
        <w:rPr>
          <w:rFonts w:ascii="Arial" w:hAnsi="Arial" w:cs="Arial"/>
          <w:b/>
          <w:sz w:val="24"/>
        </w:rPr>
        <w:t xml:space="preserve"> v</w:t>
      </w:r>
      <w:r w:rsidR="00A43973" w:rsidRPr="00A43973">
        <w:rPr>
          <w:rFonts w:ascii="Arial" w:hAnsi="Arial" w:cs="Arial"/>
          <w:b/>
          <w:sz w:val="24"/>
        </w:rPr>
        <w:t xml:space="preserve"> ZÚR OK</w:t>
      </w:r>
    </w:p>
    <w:p w:rsidR="005C474D" w:rsidRDefault="00455565" w:rsidP="00D86C24">
      <w:pPr>
        <w:kinsoku w:val="0"/>
        <w:overflowPunct w:val="0"/>
        <w:jc w:val="both"/>
        <w:textAlignment w:val="baselin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Zásady územního rozvoje jsou povinným základním územně plánovacím dokumentem kraje</w:t>
      </w:r>
      <w:r w:rsidR="00CF3BE0">
        <w:rPr>
          <w:rFonts w:ascii="Arial" w:hAnsi="Arial" w:cs="Arial"/>
          <w:sz w:val="24"/>
        </w:rPr>
        <w:t>;</w:t>
      </w:r>
      <w:r w:rsidR="00B00BC0">
        <w:rPr>
          <w:rFonts w:ascii="Arial" w:hAnsi="Arial" w:cs="Arial"/>
          <w:sz w:val="24"/>
        </w:rPr>
        <w:t xml:space="preserve"> představují koncepční materiál, který vytváří předpoklady územního rozvoje v </w:t>
      </w:r>
      <w:r w:rsidR="00B00BC0" w:rsidRPr="00CA046B">
        <w:rPr>
          <w:rFonts w:ascii="Arial" w:hAnsi="Arial" w:cs="Arial"/>
          <w:sz w:val="24"/>
        </w:rPr>
        <w:t>dlouhodobém horizontu</w:t>
      </w:r>
      <w:r w:rsidR="00CA046B">
        <w:rPr>
          <w:rFonts w:ascii="Arial" w:hAnsi="Arial" w:cs="Arial"/>
          <w:sz w:val="24"/>
        </w:rPr>
        <w:t>.</w:t>
      </w:r>
      <w:r w:rsidR="00D21BBB">
        <w:rPr>
          <w:rFonts w:ascii="Arial" w:hAnsi="Arial" w:cs="Arial"/>
          <w:sz w:val="24"/>
        </w:rPr>
        <w:t xml:space="preserve"> </w:t>
      </w:r>
      <w:r w:rsidR="001132D8">
        <w:rPr>
          <w:rFonts w:ascii="Arial" w:hAnsi="Arial" w:cs="Arial"/>
          <w:sz w:val="24"/>
        </w:rPr>
        <w:t>Stanovují</w:t>
      </w:r>
      <w:r w:rsidR="00C509C3">
        <w:rPr>
          <w:rFonts w:ascii="Arial" w:hAnsi="Arial" w:cs="Arial"/>
          <w:sz w:val="24"/>
        </w:rPr>
        <w:t xml:space="preserve"> základní požadavky na účelné a hospodárné uspořádání </w:t>
      </w:r>
      <w:r w:rsidR="00F002DF">
        <w:rPr>
          <w:rFonts w:ascii="Arial" w:hAnsi="Arial" w:cs="Arial"/>
          <w:sz w:val="24"/>
        </w:rPr>
        <w:t>území</w:t>
      </w:r>
      <w:r w:rsidR="00C509C3">
        <w:rPr>
          <w:rFonts w:ascii="Arial" w:hAnsi="Arial" w:cs="Arial"/>
          <w:sz w:val="24"/>
        </w:rPr>
        <w:t xml:space="preserve"> s cílem vytváře</w:t>
      </w:r>
      <w:r w:rsidR="006E6B07">
        <w:rPr>
          <w:rFonts w:ascii="Arial" w:hAnsi="Arial" w:cs="Arial"/>
          <w:sz w:val="24"/>
        </w:rPr>
        <w:t>t předpoklady pro výstavbu a udržitelný rozvoj území</w:t>
      </w:r>
      <w:r w:rsidR="00C509C3">
        <w:rPr>
          <w:rFonts w:ascii="Arial" w:hAnsi="Arial" w:cs="Arial"/>
          <w:sz w:val="24"/>
        </w:rPr>
        <w:t xml:space="preserve"> spočívající ve vyváženém vztahu podmínek pro příznivé životní prostředí, pro hospodářský rozvoj a pro soudržnost společenství obyvatel území</w:t>
      </w:r>
      <w:r w:rsidR="00CA046B">
        <w:rPr>
          <w:rFonts w:ascii="Arial" w:hAnsi="Arial" w:cs="Arial"/>
          <w:sz w:val="24"/>
        </w:rPr>
        <w:t xml:space="preserve">. Takto na základě </w:t>
      </w:r>
      <w:r w:rsidR="006E6B07">
        <w:rPr>
          <w:rFonts w:ascii="Arial" w:hAnsi="Arial" w:cs="Arial"/>
          <w:sz w:val="24"/>
        </w:rPr>
        <w:t>vyhodnocení vlivů na</w:t>
      </w:r>
      <w:r w:rsidR="00CA046B">
        <w:rPr>
          <w:rFonts w:ascii="Arial" w:hAnsi="Arial" w:cs="Arial"/>
          <w:sz w:val="24"/>
        </w:rPr>
        <w:t xml:space="preserve"> </w:t>
      </w:r>
      <w:r w:rsidR="006F0C4A">
        <w:rPr>
          <w:rFonts w:ascii="Arial" w:hAnsi="Arial" w:cs="Arial"/>
          <w:sz w:val="24"/>
        </w:rPr>
        <w:t>udržitelný rozvoj území</w:t>
      </w:r>
      <w:r w:rsidR="006E6B07">
        <w:rPr>
          <w:rFonts w:ascii="Arial" w:hAnsi="Arial" w:cs="Arial"/>
          <w:sz w:val="24"/>
        </w:rPr>
        <w:t xml:space="preserve"> </w:t>
      </w:r>
      <w:r w:rsidR="00241313">
        <w:rPr>
          <w:rFonts w:ascii="Arial" w:hAnsi="Arial" w:cs="Arial"/>
          <w:sz w:val="24"/>
        </w:rPr>
        <w:t>zpracovaného</w:t>
      </w:r>
      <w:r w:rsidR="006F0C4A">
        <w:rPr>
          <w:rFonts w:ascii="Arial" w:hAnsi="Arial" w:cs="Arial"/>
          <w:sz w:val="24"/>
        </w:rPr>
        <w:t xml:space="preserve"> k Akt. č. 2a ZÚR OK</w:t>
      </w:r>
      <w:r w:rsidR="006E6B07">
        <w:rPr>
          <w:rFonts w:ascii="Arial" w:hAnsi="Arial" w:cs="Arial"/>
          <w:sz w:val="24"/>
        </w:rPr>
        <w:t xml:space="preserve"> a </w:t>
      </w:r>
      <w:r w:rsidR="00C10ADE">
        <w:rPr>
          <w:rFonts w:ascii="Arial" w:hAnsi="Arial" w:cs="Arial"/>
          <w:sz w:val="24"/>
        </w:rPr>
        <w:t>v souladu se závěry krajských i republikových strategických dokumentů, k</w:t>
      </w:r>
      <w:r w:rsidR="006F0C4A">
        <w:rPr>
          <w:rFonts w:ascii="Arial" w:hAnsi="Arial" w:cs="Arial"/>
          <w:sz w:val="24"/>
        </w:rPr>
        <w:t>teré</w:t>
      </w:r>
      <w:r w:rsidR="00680113">
        <w:rPr>
          <w:rFonts w:ascii="Arial" w:hAnsi="Arial" w:cs="Arial"/>
          <w:sz w:val="24"/>
        </w:rPr>
        <w:t xml:space="preserve"> Olomo</w:t>
      </w:r>
      <w:r w:rsidR="006F0C4A">
        <w:rPr>
          <w:rFonts w:ascii="Arial" w:hAnsi="Arial" w:cs="Arial"/>
          <w:sz w:val="24"/>
        </w:rPr>
        <w:t>u</w:t>
      </w:r>
      <w:r w:rsidR="00680113">
        <w:rPr>
          <w:rFonts w:ascii="Arial" w:hAnsi="Arial" w:cs="Arial"/>
          <w:sz w:val="24"/>
        </w:rPr>
        <w:t>cký kraj</w:t>
      </w:r>
      <w:r w:rsidR="00DC7139">
        <w:rPr>
          <w:rFonts w:ascii="Arial" w:hAnsi="Arial" w:cs="Arial"/>
          <w:sz w:val="24"/>
        </w:rPr>
        <w:t xml:space="preserve"> v ekonomické oblasti </w:t>
      </w:r>
      <w:r w:rsidR="006F0C4A">
        <w:rPr>
          <w:rFonts w:ascii="Arial" w:hAnsi="Arial" w:cs="Arial"/>
          <w:sz w:val="24"/>
        </w:rPr>
        <w:t>řadí k těm hůře hodnoceným krajům</w:t>
      </w:r>
      <w:r w:rsidR="00DC7139">
        <w:rPr>
          <w:rFonts w:ascii="Arial" w:hAnsi="Arial" w:cs="Arial"/>
          <w:sz w:val="24"/>
        </w:rPr>
        <w:t xml:space="preserve">, </w:t>
      </w:r>
      <w:r w:rsidR="006F0C4A">
        <w:rPr>
          <w:rFonts w:ascii="Arial" w:hAnsi="Arial" w:cs="Arial"/>
          <w:sz w:val="24"/>
        </w:rPr>
        <w:t xml:space="preserve">vymezila </w:t>
      </w:r>
      <w:r w:rsidR="00A47D2B">
        <w:rPr>
          <w:rFonts w:ascii="Arial" w:hAnsi="Arial" w:cs="Arial"/>
          <w:sz w:val="24"/>
        </w:rPr>
        <w:t>Akt. č. 2a ZÚR</w:t>
      </w:r>
      <w:r w:rsidR="00561484">
        <w:rPr>
          <w:rFonts w:ascii="Arial" w:hAnsi="Arial" w:cs="Arial"/>
          <w:sz w:val="24"/>
        </w:rPr>
        <w:t xml:space="preserve"> OK</w:t>
      </w:r>
      <w:r w:rsidR="00A47D2B">
        <w:rPr>
          <w:rFonts w:ascii="Arial" w:hAnsi="Arial" w:cs="Arial"/>
          <w:sz w:val="24"/>
        </w:rPr>
        <w:t xml:space="preserve"> </w:t>
      </w:r>
      <w:r w:rsidR="00CA046B">
        <w:rPr>
          <w:rFonts w:ascii="Arial" w:hAnsi="Arial" w:cs="Arial"/>
          <w:sz w:val="24"/>
        </w:rPr>
        <w:t>pro posíle</w:t>
      </w:r>
      <w:r w:rsidR="00F151AA">
        <w:rPr>
          <w:rFonts w:ascii="Arial" w:hAnsi="Arial" w:cs="Arial"/>
          <w:sz w:val="24"/>
        </w:rPr>
        <w:t>ní ekonomického pilíře kraje</w:t>
      </w:r>
      <w:r w:rsidR="00CA046B">
        <w:rPr>
          <w:rFonts w:ascii="Arial" w:hAnsi="Arial" w:cs="Arial"/>
          <w:sz w:val="24"/>
        </w:rPr>
        <w:t xml:space="preserve"> </w:t>
      </w:r>
      <w:r w:rsidR="00A47D2B">
        <w:rPr>
          <w:rFonts w:ascii="Arial" w:hAnsi="Arial" w:cs="Arial"/>
          <w:sz w:val="24"/>
        </w:rPr>
        <w:t>2</w:t>
      </w:r>
      <w:r w:rsidR="00F151AA" w:rsidRPr="00F151AA">
        <w:rPr>
          <w:rFonts w:ascii="Arial" w:hAnsi="Arial" w:cs="Arial"/>
          <w:sz w:val="24"/>
        </w:rPr>
        <w:t xml:space="preserve"> </w:t>
      </w:r>
      <w:r w:rsidR="00F151AA" w:rsidRPr="00F460B0">
        <w:rPr>
          <w:rFonts w:ascii="Arial" w:hAnsi="Arial" w:cs="Arial"/>
          <w:sz w:val="24"/>
        </w:rPr>
        <w:t xml:space="preserve">plochy </w:t>
      </w:r>
      <w:r w:rsidR="00B42F57">
        <w:rPr>
          <w:rFonts w:ascii="Arial" w:hAnsi="Arial" w:cs="Arial"/>
          <w:sz w:val="24"/>
        </w:rPr>
        <w:t xml:space="preserve">pro podnikatelské aktivity </w:t>
      </w:r>
      <w:r w:rsidR="00241313">
        <w:rPr>
          <w:rFonts w:ascii="Arial" w:hAnsi="Arial" w:cs="Arial"/>
          <w:sz w:val="24"/>
        </w:rPr>
        <w:t>nadmístního významu:</w:t>
      </w:r>
      <w:r w:rsidR="00F151AA" w:rsidRPr="00F460B0">
        <w:rPr>
          <w:rFonts w:ascii="Arial" w:hAnsi="Arial" w:cs="Arial"/>
          <w:sz w:val="24"/>
        </w:rPr>
        <w:t xml:space="preserve"> </w:t>
      </w:r>
      <w:r w:rsidR="00241313">
        <w:rPr>
          <w:rFonts w:ascii="Arial" w:hAnsi="Arial" w:cs="Arial"/>
          <w:sz w:val="24"/>
        </w:rPr>
        <w:t>S</w:t>
      </w:r>
      <w:r w:rsidR="00CE0934">
        <w:rPr>
          <w:rFonts w:ascii="Arial" w:hAnsi="Arial" w:cs="Arial"/>
          <w:sz w:val="24"/>
        </w:rPr>
        <w:t>trategickou plochu Zábřeh a</w:t>
      </w:r>
      <w:r w:rsidR="00241313">
        <w:rPr>
          <w:rFonts w:ascii="Arial" w:hAnsi="Arial" w:cs="Arial"/>
          <w:sz w:val="24"/>
        </w:rPr>
        <w:t xml:space="preserve"> Strategickou plochu</w:t>
      </w:r>
      <w:r w:rsidR="00A47D2B">
        <w:rPr>
          <w:rFonts w:ascii="Arial" w:hAnsi="Arial" w:cs="Arial"/>
          <w:sz w:val="24"/>
        </w:rPr>
        <w:t xml:space="preserve"> Olomouc. </w:t>
      </w:r>
      <w:r w:rsidR="00241313">
        <w:rPr>
          <w:rFonts w:ascii="Arial" w:hAnsi="Arial" w:cs="Arial"/>
          <w:sz w:val="24"/>
        </w:rPr>
        <w:t>Strategi</w:t>
      </w:r>
      <w:r w:rsidR="00A47D2B">
        <w:rPr>
          <w:rFonts w:ascii="Arial" w:hAnsi="Arial" w:cs="Arial"/>
          <w:sz w:val="24"/>
        </w:rPr>
        <w:t>cká plocha</w:t>
      </w:r>
      <w:r w:rsidR="00241313" w:rsidRPr="00F002DF">
        <w:rPr>
          <w:rFonts w:ascii="Arial" w:hAnsi="Arial" w:cs="Arial"/>
          <w:sz w:val="24"/>
        </w:rPr>
        <w:t xml:space="preserve"> Přerov </w:t>
      </w:r>
      <w:r w:rsidR="00A47D2B">
        <w:rPr>
          <w:rFonts w:ascii="Arial" w:hAnsi="Arial" w:cs="Arial"/>
          <w:sz w:val="24"/>
        </w:rPr>
        <w:t xml:space="preserve">byla již vymezena </w:t>
      </w:r>
      <w:r w:rsidR="00561484">
        <w:rPr>
          <w:rFonts w:ascii="Arial" w:hAnsi="Arial" w:cs="Arial"/>
          <w:sz w:val="24"/>
        </w:rPr>
        <w:t>v</w:t>
      </w:r>
      <w:r w:rsidR="00A47D2B">
        <w:rPr>
          <w:rFonts w:ascii="Arial" w:hAnsi="Arial" w:cs="Arial"/>
          <w:sz w:val="24"/>
        </w:rPr>
        <w:t xml:space="preserve"> </w:t>
      </w:r>
      <w:r w:rsidR="00A47D2B" w:rsidRPr="007835FE">
        <w:rPr>
          <w:rFonts w:ascii="Arial" w:hAnsi="Arial" w:cs="Arial"/>
          <w:sz w:val="24"/>
        </w:rPr>
        <w:t>Akt. č. 2b ZÚR OK</w:t>
      </w:r>
      <w:r w:rsidR="00A47D2B">
        <w:rPr>
          <w:rFonts w:ascii="Arial" w:hAnsi="Arial" w:cs="Arial"/>
          <w:sz w:val="24"/>
        </w:rPr>
        <w:t xml:space="preserve">. </w:t>
      </w:r>
      <w:r w:rsidR="002037F5">
        <w:rPr>
          <w:rFonts w:ascii="Arial" w:hAnsi="Arial" w:cs="Arial"/>
          <w:sz w:val="24"/>
        </w:rPr>
        <w:t>Navrhované s</w:t>
      </w:r>
      <w:r w:rsidR="00CE0934">
        <w:rPr>
          <w:rFonts w:ascii="Arial" w:hAnsi="Arial" w:cs="Arial"/>
          <w:sz w:val="24"/>
        </w:rPr>
        <w:t>trategické plochy jsou</w:t>
      </w:r>
      <w:r w:rsidR="002037F5">
        <w:rPr>
          <w:rFonts w:ascii="Arial" w:hAnsi="Arial" w:cs="Arial"/>
          <w:sz w:val="24"/>
        </w:rPr>
        <w:t xml:space="preserve"> </w:t>
      </w:r>
      <w:r w:rsidR="00F151AA" w:rsidRPr="00F460B0">
        <w:rPr>
          <w:rFonts w:ascii="Arial" w:hAnsi="Arial" w:cs="Arial"/>
          <w:sz w:val="24"/>
        </w:rPr>
        <w:t xml:space="preserve">z dlouhodobého pohledu </w:t>
      </w:r>
      <w:r w:rsidR="00B42F57">
        <w:rPr>
          <w:rFonts w:ascii="Arial" w:hAnsi="Arial" w:cs="Arial"/>
          <w:sz w:val="24"/>
        </w:rPr>
        <w:t xml:space="preserve">považovány </w:t>
      </w:r>
      <w:r w:rsidR="00F151AA" w:rsidRPr="00F460B0">
        <w:rPr>
          <w:rFonts w:ascii="Arial" w:hAnsi="Arial" w:cs="Arial"/>
          <w:sz w:val="24"/>
        </w:rPr>
        <w:t xml:space="preserve">za nezbytné a </w:t>
      </w:r>
      <w:r w:rsidR="00F151AA" w:rsidRPr="00F002DF">
        <w:rPr>
          <w:rFonts w:ascii="Arial" w:hAnsi="Arial" w:cs="Arial"/>
          <w:sz w:val="24"/>
        </w:rPr>
        <w:t xml:space="preserve">potřebné pro </w:t>
      </w:r>
      <w:r w:rsidR="00FC3C5F" w:rsidRPr="00B42F57">
        <w:rPr>
          <w:rFonts w:ascii="Arial" w:hAnsi="Arial" w:cs="Arial"/>
          <w:sz w:val="24"/>
        </w:rPr>
        <w:t>zajištění udržitelného rozvoje</w:t>
      </w:r>
      <w:r w:rsidR="00513A64">
        <w:rPr>
          <w:rFonts w:ascii="Arial" w:hAnsi="Arial" w:cs="Arial"/>
          <w:sz w:val="24"/>
        </w:rPr>
        <w:t xml:space="preserve"> </w:t>
      </w:r>
      <w:r w:rsidR="00FC3C5F">
        <w:rPr>
          <w:rFonts w:ascii="Arial" w:hAnsi="Arial" w:cs="Arial"/>
          <w:sz w:val="24"/>
        </w:rPr>
        <w:t>O</w:t>
      </w:r>
      <w:r w:rsidR="00680113">
        <w:rPr>
          <w:rFonts w:ascii="Arial" w:hAnsi="Arial" w:cs="Arial"/>
          <w:sz w:val="24"/>
        </w:rPr>
        <w:t>lomouckého kraje</w:t>
      </w:r>
      <w:r w:rsidR="00472E00">
        <w:rPr>
          <w:rFonts w:ascii="Arial" w:hAnsi="Arial" w:cs="Arial"/>
          <w:sz w:val="24"/>
        </w:rPr>
        <w:t>.</w:t>
      </w:r>
      <w:r w:rsidR="00FC3C5F">
        <w:rPr>
          <w:rFonts w:ascii="Arial" w:hAnsi="Arial" w:cs="Arial"/>
          <w:sz w:val="24"/>
        </w:rPr>
        <w:t xml:space="preserve"> Vymezení strategických ploch</w:t>
      </w:r>
      <w:r w:rsidR="00CA046B" w:rsidRPr="00F002DF">
        <w:rPr>
          <w:rFonts w:ascii="Arial" w:hAnsi="Arial" w:cs="Arial"/>
          <w:sz w:val="24"/>
        </w:rPr>
        <w:t xml:space="preserve"> </w:t>
      </w:r>
      <w:r w:rsidR="00CA046B" w:rsidRPr="00F002DF">
        <w:rPr>
          <w:rFonts w:ascii="Arial" w:hAnsi="Arial" w:cs="Arial"/>
          <w:bCs/>
          <w:sz w:val="24"/>
        </w:rPr>
        <w:t>znamen</w:t>
      </w:r>
      <w:r w:rsidR="00FC3C5F">
        <w:rPr>
          <w:rFonts w:ascii="Arial" w:hAnsi="Arial" w:cs="Arial"/>
          <w:bCs/>
          <w:sz w:val="24"/>
        </w:rPr>
        <w:t>á</w:t>
      </w:r>
      <w:r w:rsidR="00CA046B" w:rsidRPr="00F002DF">
        <w:rPr>
          <w:rFonts w:ascii="Arial" w:hAnsi="Arial" w:cs="Arial"/>
          <w:bCs/>
          <w:sz w:val="24"/>
        </w:rPr>
        <w:t xml:space="preserve"> územní </w:t>
      </w:r>
      <w:r w:rsidR="00CA046B" w:rsidRPr="007A1AC1">
        <w:rPr>
          <w:rFonts w:ascii="Arial" w:hAnsi="Arial" w:cs="Arial"/>
          <w:bCs/>
          <w:sz w:val="24"/>
        </w:rPr>
        <w:t>připravenost kraje</w:t>
      </w:r>
      <w:r w:rsidR="00477D58" w:rsidRPr="007A1AC1">
        <w:rPr>
          <w:rFonts w:ascii="Arial" w:hAnsi="Arial" w:cs="Arial"/>
          <w:bCs/>
          <w:sz w:val="24"/>
        </w:rPr>
        <w:t>, připravenost</w:t>
      </w:r>
      <w:r w:rsidR="00CA046B" w:rsidRPr="007A1AC1">
        <w:rPr>
          <w:rFonts w:ascii="Arial" w:hAnsi="Arial" w:cs="Arial"/>
          <w:bCs/>
          <w:sz w:val="24"/>
        </w:rPr>
        <w:t xml:space="preserve"> do budoucna na příchod konkrétního významného investora</w:t>
      </w:r>
      <w:r w:rsidR="00477D58" w:rsidRPr="007A1AC1">
        <w:rPr>
          <w:rFonts w:ascii="Arial" w:hAnsi="Arial" w:cs="Arial"/>
          <w:bCs/>
          <w:sz w:val="24"/>
        </w:rPr>
        <w:t>.</w:t>
      </w:r>
      <w:r w:rsidR="00CA046B" w:rsidRPr="007A1AC1">
        <w:rPr>
          <w:rFonts w:ascii="Arial" w:hAnsi="Arial" w:cs="Arial"/>
          <w:bCs/>
          <w:sz w:val="24"/>
        </w:rPr>
        <w:t xml:space="preserve"> </w:t>
      </w:r>
      <w:r w:rsidR="00561484">
        <w:rPr>
          <w:rFonts w:ascii="Arial" w:hAnsi="Arial" w:cs="Arial"/>
          <w:bCs/>
          <w:sz w:val="24"/>
        </w:rPr>
        <w:t>S</w:t>
      </w:r>
      <w:r w:rsidR="008E730B">
        <w:rPr>
          <w:rFonts w:ascii="Arial" w:hAnsi="Arial" w:cs="Arial"/>
          <w:bCs/>
          <w:sz w:val="24"/>
        </w:rPr>
        <w:t xml:space="preserve">trategická plocha </w:t>
      </w:r>
      <w:r w:rsidR="00307E73">
        <w:rPr>
          <w:rFonts w:ascii="Arial" w:hAnsi="Arial" w:cs="Arial"/>
          <w:bCs/>
          <w:sz w:val="24"/>
        </w:rPr>
        <w:t xml:space="preserve">krajského významu </w:t>
      </w:r>
      <w:r w:rsidR="008E6DDB">
        <w:rPr>
          <w:rFonts w:ascii="Arial" w:hAnsi="Arial" w:cs="Arial"/>
          <w:bCs/>
          <w:sz w:val="24"/>
        </w:rPr>
        <w:t xml:space="preserve">by měla </w:t>
      </w:r>
      <w:r w:rsidR="008E730B">
        <w:rPr>
          <w:rFonts w:ascii="Arial" w:hAnsi="Arial" w:cs="Arial"/>
          <w:bCs/>
          <w:sz w:val="24"/>
        </w:rPr>
        <w:t>splňovat určité parametry:</w:t>
      </w:r>
      <w:r w:rsidR="006A58BF" w:rsidRPr="007A1AC1">
        <w:rPr>
          <w:rFonts w:ascii="Arial" w:hAnsi="Arial" w:cs="Arial"/>
          <w:bCs/>
          <w:sz w:val="24"/>
        </w:rPr>
        <w:t xml:space="preserve"> </w:t>
      </w:r>
      <w:r w:rsidR="007A1AC1" w:rsidRPr="007A1AC1">
        <w:rPr>
          <w:rFonts w:ascii="Arial" w:hAnsi="Arial" w:cs="Arial"/>
          <w:sz w:val="24"/>
        </w:rPr>
        <w:t>adekvátní velikost</w:t>
      </w:r>
      <w:r w:rsidR="008B1242" w:rsidRPr="00683B8A">
        <w:rPr>
          <w:rFonts w:ascii="Arial" w:hAnsi="Arial" w:cs="Arial"/>
          <w:sz w:val="24"/>
        </w:rPr>
        <w:t xml:space="preserve"> (min. 20 ha</w:t>
      </w:r>
      <w:r w:rsidR="008B1242">
        <w:rPr>
          <w:rFonts w:ascii="Arial" w:hAnsi="Arial" w:cs="Arial"/>
          <w:sz w:val="24"/>
        </w:rPr>
        <w:t>)</w:t>
      </w:r>
      <w:r w:rsidR="007A1AC1" w:rsidRPr="007A1AC1">
        <w:rPr>
          <w:rFonts w:ascii="Arial" w:hAnsi="Arial" w:cs="Arial"/>
          <w:sz w:val="24"/>
        </w:rPr>
        <w:t xml:space="preserve">, </w:t>
      </w:r>
      <w:r w:rsidR="002037F5">
        <w:rPr>
          <w:rFonts w:ascii="Arial" w:hAnsi="Arial" w:cs="Arial"/>
          <w:sz w:val="24"/>
        </w:rPr>
        <w:t>geomorfologická vhodnost</w:t>
      </w:r>
      <w:r w:rsidR="00D22E98" w:rsidRPr="007A1AC1">
        <w:rPr>
          <w:rFonts w:ascii="Arial" w:hAnsi="Arial" w:cs="Arial"/>
          <w:sz w:val="24"/>
        </w:rPr>
        <w:t xml:space="preserve"> území</w:t>
      </w:r>
      <w:r w:rsidR="00D22E98">
        <w:rPr>
          <w:rFonts w:ascii="Arial" w:hAnsi="Arial" w:cs="Arial"/>
          <w:sz w:val="24"/>
        </w:rPr>
        <w:t>, urbanistická vhodnost – vazby a</w:t>
      </w:r>
      <w:r w:rsidR="007A1AC1" w:rsidRPr="007A1AC1">
        <w:rPr>
          <w:rFonts w:ascii="Arial" w:hAnsi="Arial" w:cs="Arial"/>
          <w:sz w:val="24"/>
        </w:rPr>
        <w:t xml:space="preserve"> limity v území, </w:t>
      </w:r>
      <w:r w:rsidR="006A58BF" w:rsidRPr="007A1AC1">
        <w:rPr>
          <w:rFonts w:ascii="Arial" w:hAnsi="Arial" w:cs="Arial"/>
          <w:sz w:val="24"/>
        </w:rPr>
        <w:t xml:space="preserve">návaznost na vyšší dopravní infrastrukturu, technickou infrastrukturu, </w:t>
      </w:r>
      <w:r w:rsidR="007A1AC1" w:rsidRPr="007A1AC1">
        <w:rPr>
          <w:rFonts w:ascii="Arial" w:hAnsi="Arial" w:cs="Arial"/>
          <w:sz w:val="24"/>
        </w:rPr>
        <w:t>návaznost na pracovní síly,</w:t>
      </w:r>
      <w:r w:rsidR="008E730B">
        <w:rPr>
          <w:rFonts w:ascii="Arial" w:hAnsi="Arial" w:cs="Arial"/>
          <w:sz w:val="24"/>
        </w:rPr>
        <w:t xml:space="preserve"> </w:t>
      </w:r>
      <w:r w:rsidR="008E730B">
        <w:rPr>
          <w:rFonts w:ascii="Arial" w:hAnsi="Arial" w:cs="Arial"/>
          <w:sz w:val="24"/>
        </w:rPr>
        <w:lastRenderedPageBreak/>
        <w:t xml:space="preserve">dostupnost </w:t>
      </w:r>
      <w:r w:rsidR="00D22E98">
        <w:rPr>
          <w:rFonts w:ascii="Arial" w:hAnsi="Arial" w:cs="Arial"/>
          <w:sz w:val="24"/>
        </w:rPr>
        <w:t xml:space="preserve">plochy </w:t>
      </w:r>
      <w:r w:rsidR="008E730B">
        <w:rPr>
          <w:rFonts w:ascii="Arial" w:hAnsi="Arial" w:cs="Arial"/>
          <w:sz w:val="24"/>
        </w:rPr>
        <w:t xml:space="preserve">apod. </w:t>
      </w:r>
      <w:r w:rsidR="00477D58" w:rsidRPr="007A1AC1">
        <w:rPr>
          <w:rFonts w:ascii="Arial" w:hAnsi="Arial" w:cs="Arial"/>
          <w:sz w:val="24"/>
        </w:rPr>
        <w:t>V</w:t>
      </w:r>
      <w:r w:rsidR="00CA046B" w:rsidRPr="007A1AC1">
        <w:rPr>
          <w:rFonts w:ascii="Arial" w:hAnsi="Arial" w:cs="Arial"/>
          <w:sz w:val="24"/>
        </w:rPr>
        <w:t>ymezení plochy v</w:t>
      </w:r>
      <w:r w:rsidR="00241313">
        <w:rPr>
          <w:rFonts w:ascii="Arial" w:hAnsi="Arial" w:cs="Arial"/>
          <w:sz w:val="24"/>
        </w:rPr>
        <w:t> územně plánovací dokumentaci</w:t>
      </w:r>
      <w:r w:rsidR="00CA046B" w:rsidRPr="007A1AC1">
        <w:rPr>
          <w:rFonts w:ascii="Arial" w:hAnsi="Arial" w:cs="Arial"/>
          <w:sz w:val="24"/>
        </w:rPr>
        <w:t xml:space="preserve"> (ZÚR či </w:t>
      </w:r>
      <w:r w:rsidR="00241313">
        <w:rPr>
          <w:rFonts w:ascii="Arial" w:hAnsi="Arial" w:cs="Arial"/>
          <w:sz w:val="24"/>
        </w:rPr>
        <w:t>územním plánu</w:t>
      </w:r>
      <w:r w:rsidR="00CA046B" w:rsidRPr="007A1AC1">
        <w:rPr>
          <w:rFonts w:ascii="Arial" w:hAnsi="Arial" w:cs="Arial"/>
          <w:sz w:val="24"/>
        </w:rPr>
        <w:t xml:space="preserve">) </w:t>
      </w:r>
      <w:r w:rsidR="00477D58" w:rsidRPr="007A1AC1">
        <w:rPr>
          <w:rFonts w:ascii="Arial" w:hAnsi="Arial" w:cs="Arial"/>
          <w:sz w:val="24"/>
        </w:rPr>
        <w:t xml:space="preserve">je </w:t>
      </w:r>
      <w:r w:rsidR="00CA046B" w:rsidRPr="007A1AC1">
        <w:rPr>
          <w:rFonts w:ascii="Arial" w:hAnsi="Arial" w:cs="Arial"/>
          <w:bCs/>
          <w:sz w:val="24"/>
        </w:rPr>
        <w:t>základní podmínkou</w:t>
      </w:r>
      <w:r w:rsidR="00CA046B" w:rsidRPr="007A1AC1">
        <w:rPr>
          <w:rFonts w:ascii="Arial" w:hAnsi="Arial" w:cs="Arial"/>
          <w:sz w:val="24"/>
        </w:rPr>
        <w:t xml:space="preserve"> možnost</w:t>
      </w:r>
      <w:r w:rsidR="00477D58" w:rsidRPr="007A1AC1">
        <w:rPr>
          <w:rFonts w:ascii="Arial" w:hAnsi="Arial" w:cs="Arial"/>
          <w:sz w:val="24"/>
        </w:rPr>
        <w:t>i</w:t>
      </w:r>
      <w:r w:rsidR="00CA046B" w:rsidRPr="007A1AC1">
        <w:rPr>
          <w:rFonts w:ascii="Arial" w:hAnsi="Arial" w:cs="Arial"/>
          <w:sz w:val="24"/>
        </w:rPr>
        <w:t xml:space="preserve"> realizace daného záměru v území</w:t>
      </w:r>
      <w:r w:rsidR="00241313">
        <w:rPr>
          <w:rFonts w:ascii="Arial" w:hAnsi="Arial" w:cs="Arial"/>
          <w:i/>
          <w:iCs/>
          <w:sz w:val="24"/>
        </w:rPr>
        <w:t xml:space="preserve"> (b</w:t>
      </w:r>
      <w:r w:rsidR="00CA046B" w:rsidRPr="007A1AC1">
        <w:rPr>
          <w:rFonts w:ascii="Arial" w:hAnsi="Arial" w:cs="Arial"/>
          <w:i/>
          <w:iCs/>
          <w:sz w:val="24"/>
        </w:rPr>
        <w:t xml:space="preserve">ez vymezení </w:t>
      </w:r>
      <w:r w:rsidR="00CA046B" w:rsidRPr="00241313">
        <w:rPr>
          <w:rFonts w:ascii="Arial" w:hAnsi="Arial" w:cs="Arial"/>
          <w:i/>
          <w:iCs/>
          <w:sz w:val="24"/>
        </w:rPr>
        <w:t>v </w:t>
      </w:r>
      <w:r w:rsidR="00241313" w:rsidRPr="00241313">
        <w:rPr>
          <w:rFonts w:ascii="Arial" w:hAnsi="Arial" w:cs="Arial"/>
          <w:i/>
          <w:sz w:val="24"/>
        </w:rPr>
        <w:t>územně plánovací dokumentaci</w:t>
      </w:r>
      <w:r w:rsidR="00CA046B" w:rsidRPr="007A1AC1">
        <w:rPr>
          <w:rFonts w:ascii="Arial" w:hAnsi="Arial" w:cs="Arial"/>
          <w:i/>
          <w:iCs/>
          <w:sz w:val="24"/>
        </w:rPr>
        <w:t xml:space="preserve"> nelze záměr realizovat</w:t>
      </w:r>
      <w:r w:rsidR="00241313">
        <w:rPr>
          <w:rFonts w:ascii="Arial" w:hAnsi="Arial" w:cs="Arial"/>
          <w:i/>
          <w:iCs/>
          <w:sz w:val="24"/>
        </w:rPr>
        <w:t>).</w:t>
      </w:r>
    </w:p>
    <w:p w:rsidR="009824D9" w:rsidRDefault="009824D9" w:rsidP="005C474D">
      <w:pPr>
        <w:kinsoku w:val="0"/>
        <w:overflowPunct w:val="0"/>
        <w:jc w:val="both"/>
        <w:textAlignment w:val="baseline"/>
        <w:rPr>
          <w:rFonts w:ascii="Arial" w:hAnsi="Arial" w:cs="Arial"/>
          <w:sz w:val="24"/>
        </w:rPr>
      </w:pPr>
    </w:p>
    <w:p w:rsidR="008C1B8C" w:rsidRPr="008C1B8C" w:rsidRDefault="008C1B8C" w:rsidP="005C474D">
      <w:pPr>
        <w:kinsoku w:val="0"/>
        <w:overflowPunct w:val="0"/>
        <w:jc w:val="both"/>
        <w:textAlignment w:val="baseline"/>
        <w:rPr>
          <w:rFonts w:ascii="Arial" w:hAnsi="Arial" w:cs="Arial"/>
          <w:b/>
          <w:sz w:val="24"/>
        </w:rPr>
      </w:pPr>
      <w:r w:rsidRPr="008C1B8C">
        <w:rPr>
          <w:rFonts w:ascii="Arial" w:hAnsi="Arial" w:cs="Arial"/>
          <w:b/>
          <w:sz w:val="24"/>
        </w:rPr>
        <w:t>Zrušení Strategické plochy Olomouc</w:t>
      </w:r>
      <w:r>
        <w:rPr>
          <w:rFonts w:ascii="Arial" w:hAnsi="Arial" w:cs="Arial"/>
          <w:b/>
          <w:sz w:val="24"/>
        </w:rPr>
        <w:t xml:space="preserve"> krajským soudem</w:t>
      </w:r>
    </w:p>
    <w:p w:rsidR="005C474D" w:rsidRDefault="00FC3C5F" w:rsidP="005C474D">
      <w:pPr>
        <w:kinsoku w:val="0"/>
        <w:overflowPunct w:val="0"/>
        <w:jc w:val="both"/>
        <w:textAlignment w:val="baseline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Rozsudkem Krajského soudu v Ostravě - pobočk</w:t>
      </w:r>
      <w:r w:rsidR="00757910">
        <w:rPr>
          <w:rFonts w:ascii="Arial" w:hAnsi="Arial" w:cs="Arial"/>
          <w:sz w:val="24"/>
        </w:rPr>
        <w:t>y</w:t>
      </w:r>
      <w:r>
        <w:rPr>
          <w:rFonts w:ascii="Arial" w:hAnsi="Arial" w:cs="Arial"/>
          <w:sz w:val="24"/>
        </w:rPr>
        <w:t xml:space="preserve"> v Olomouci č. j. 73 A 5/2020-163</w:t>
      </w:r>
      <w:r w:rsidR="009824D9">
        <w:rPr>
          <w:rFonts w:ascii="Arial" w:hAnsi="Arial" w:cs="Arial"/>
          <w:sz w:val="24"/>
        </w:rPr>
        <w:t xml:space="preserve"> </w:t>
      </w:r>
      <w:r w:rsidR="00FD409B">
        <w:rPr>
          <w:rFonts w:ascii="Arial" w:hAnsi="Arial" w:cs="Arial"/>
          <w:sz w:val="24"/>
        </w:rPr>
        <w:t>ze dne 9. 2. 2021</w:t>
      </w:r>
      <w:r w:rsidR="005828D2">
        <w:rPr>
          <w:rFonts w:ascii="Arial" w:hAnsi="Arial" w:cs="Arial"/>
          <w:sz w:val="24"/>
        </w:rPr>
        <w:t xml:space="preserve"> </w:t>
      </w:r>
      <w:r w:rsidR="00F403C5">
        <w:rPr>
          <w:rFonts w:ascii="Arial" w:hAnsi="Arial" w:cs="Arial"/>
          <w:sz w:val="24"/>
        </w:rPr>
        <w:t xml:space="preserve">byla zrušena část </w:t>
      </w:r>
      <w:r w:rsidR="005C39DA">
        <w:rPr>
          <w:rFonts w:ascii="Arial" w:hAnsi="Arial" w:cs="Arial"/>
          <w:sz w:val="24"/>
        </w:rPr>
        <w:t xml:space="preserve">Akt. č. 2a </w:t>
      </w:r>
      <w:r w:rsidR="00F403C5">
        <w:rPr>
          <w:rFonts w:ascii="Arial" w:hAnsi="Arial" w:cs="Arial"/>
          <w:sz w:val="24"/>
        </w:rPr>
        <w:t xml:space="preserve">ZÚR OK </w:t>
      </w:r>
      <w:r w:rsidR="00F403C5" w:rsidRPr="00EC10FF">
        <w:rPr>
          <w:rFonts w:ascii="Arial" w:hAnsi="Arial" w:cs="Arial"/>
          <w:sz w:val="24"/>
        </w:rPr>
        <w:t>v rozsahu vymezujícím Strategickou plochu Olomouc (</w:t>
      </w:r>
      <w:r w:rsidR="005C39DA">
        <w:rPr>
          <w:rFonts w:ascii="Arial" w:hAnsi="Arial" w:cs="Arial"/>
          <w:sz w:val="24"/>
        </w:rPr>
        <w:t xml:space="preserve">dále </w:t>
      </w:r>
      <w:r w:rsidR="001426FA">
        <w:rPr>
          <w:rFonts w:ascii="Arial" w:hAnsi="Arial" w:cs="Arial"/>
          <w:sz w:val="24"/>
        </w:rPr>
        <w:t xml:space="preserve">též </w:t>
      </w:r>
      <w:r w:rsidR="00F403C5" w:rsidRPr="00EC10FF">
        <w:rPr>
          <w:rFonts w:ascii="Arial" w:hAnsi="Arial" w:cs="Arial"/>
          <w:sz w:val="24"/>
        </w:rPr>
        <w:t xml:space="preserve">SPO). </w:t>
      </w:r>
      <w:r w:rsidR="005C474D">
        <w:rPr>
          <w:rFonts w:ascii="Arial" w:hAnsi="Arial" w:cs="Arial"/>
          <w:sz w:val="24"/>
        </w:rPr>
        <w:t>D</w:t>
      </w:r>
      <w:r w:rsidR="005C474D" w:rsidRPr="00EC10FF">
        <w:rPr>
          <w:rFonts w:ascii="Arial" w:hAnsi="Arial" w:cs="Arial"/>
          <w:sz w:val="24"/>
        </w:rPr>
        <w:t>ůvodem pro zrušení vymezení SPO</w:t>
      </w:r>
      <w:r w:rsidR="005C474D">
        <w:rPr>
          <w:rFonts w:ascii="Arial" w:hAnsi="Arial" w:cs="Arial"/>
          <w:sz w:val="24"/>
        </w:rPr>
        <w:t xml:space="preserve"> krajským soudem</w:t>
      </w:r>
      <w:r w:rsidR="005C474D" w:rsidRPr="00EC10FF">
        <w:rPr>
          <w:rFonts w:ascii="Arial" w:hAnsi="Arial" w:cs="Arial"/>
          <w:sz w:val="24"/>
        </w:rPr>
        <w:t xml:space="preserve"> bylo především</w:t>
      </w:r>
      <w:r w:rsidR="005C474D">
        <w:rPr>
          <w:rFonts w:ascii="Arial" w:hAnsi="Arial" w:cs="Arial"/>
          <w:sz w:val="24"/>
        </w:rPr>
        <w:t xml:space="preserve"> to, že podle názoru soudu nebylo v řízení prokázáno, že jiný veřejný zájem (veřejný zájem na vymezení SPO) </w:t>
      </w:r>
      <w:r w:rsidR="005C474D" w:rsidRPr="00906978">
        <w:rPr>
          <w:rFonts w:ascii="Arial" w:hAnsi="Arial" w:cs="Arial"/>
          <w:sz w:val="24"/>
          <w:u w:val="single"/>
        </w:rPr>
        <w:t>výrazně převažuje</w:t>
      </w:r>
      <w:r w:rsidR="005C474D">
        <w:rPr>
          <w:rFonts w:ascii="Arial" w:hAnsi="Arial" w:cs="Arial"/>
          <w:sz w:val="24"/>
        </w:rPr>
        <w:t xml:space="preserve"> nad veřejným zájmem na ochranu </w:t>
      </w:r>
      <w:r w:rsidR="005C474D" w:rsidRPr="00EC10FF">
        <w:rPr>
          <w:rFonts w:ascii="Arial" w:hAnsi="Arial" w:cs="Arial"/>
          <w:sz w:val="24"/>
        </w:rPr>
        <w:t>zemědělského půdního fondu</w:t>
      </w:r>
      <w:r w:rsidR="005C474D">
        <w:rPr>
          <w:rFonts w:ascii="Arial" w:hAnsi="Arial" w:cs="Arial"/>
          <w:sz w:val="24"/>
        </w:rPr>
        <w:t xml:space="preserve"> (dále ZPF)</w:t>
      </w:r>
      <w:r w:rsidR="005C474D" w:rsidRPr="00EC10FF">
        <w:rPr>
          <w:rFonts w:ascii="Arial" w:hAnsi="Arial" w:cs="Arial"/>
          <w:sz w:val="24"/>
        </w:rPr>
        <w:t>, jak požaduje § 4 odst. 3 zákona o ochraně ZPF</w:t>
      </w:r>
      <w:r w:rsidR="005C474D">
        <w:rPr>
          <w:rFonts w:ascii="Arial" w:hAnsi="Arial" w:cs="Arial"/>
          <w:sz w:val="24"/>
        </w:rPr>
        <w:t>. Ačkoli soud uznal, že v Akt. č. 2a ZÚR OK byl veřejný zájem na vymezení SPO ř</w:t>
      </w:r>
      <w:r w:rsidR="005C474D" w:rsidRPr="00666400">
        <w:rPr>
          <w:rFonts w:ascii="Arial" w:hAnsi="Arial" w:cs="Arial"/>
          <w:sz w:val="24"/>
        </w:rPr>
        <w:t xml:space="preserve">ádně </w:t>
      </w:r>
      <w:r w:rsidR="00757910">
        <w:rPr>
          <w:rFonts w:ascii="Arial" w:hAnsi="Arial" w:cs="Arial"/>
          <w:sz w:val="24"/>
        </w:rPr>
        <w:t>prokázán</w:t>
      </w:r>
      <w:r w:rsidR="005C474D" w:rsidRPr="00666400">
        <w:rPr>
          <w:rFonts w:ascii="Arial" w:hAnsi="Arial" w:cs="Arial"/>
          <w:sz w:val="24"/>
        </w:rPr>
        <w:t xml:space="preserve">, nebyl dle </w:t>
      </w:r>
      <w:r w:rsidR="005C474D" w:rsidRPr="00E10B63">
        <w:rPr>
          <w:rFonts w:ascii="Arial" w:hAnsi="Arial" w:cs="Arial"/>
          <w:sz w:val="24"/>
        </w:rPr>
        <w:t xml:space="preserve">výše uvedeného </w:t>
      </w:r>
      <w:r w:rsidR="00CC7A4C">
        <w:rPr>
          <w:rFonts w:ascii="Arial" w:hAnsi="Arial" w:cs="Arial"/>
          <w:sz w:val="24"/>
        </w:rPr>
        <w:t>ustanovení</w:t>
      </w:r>
      <w:r w:rsidR="005C474D" w:rsidRPr="00906978">
        <w:rPr>
          <w:rFonts w:ascii="Arial" w:hAnsi="Arial" w:cs="Arial"/>
          <w:sz w:val="24"/>
        </w:rPr>
        <w:t xml:space="preserve"> tento </w:t>
      </w:r>
      <w:r w:rsidR="005C474D">
        <w:rPr>
          <w:rFonts w:ascii="Arial" w:hAnsi="Arial" w:cs="Arial"/>
          <w:sz w:val="24"/>
        </w:rPr>
        <w:t xml:space="preserve">shledán jako </w:t>
      </w:r>
      <w:r w:rsidR="005C474D" w:rsidRPr="00906978">
        <w:rPr>
          <w:rFonts w:ascii="Arial" w:hAnsi="Arial" w:cs="Arial"/>
          <w:sz w:val="24"/>
          <w:u w:val="single"/>
        </w:rPr>
        <w:t>výrazně převažující</w:t>
      </w:r>
      <w:r w:rsidR="005C474D">
        <w:rPr>
          <w:rFonts w:ascii="Arial" w:hAnsi="Arial" w:cs="Arial"/>
          <w:sz w:val="24"/>
          <w:u w:val="single"/>
        </w:rPr>
        <w:t>.</w:t>
      </w:r>
      <w:r w:rsidR="005C474D" w:rsidRPr="007C40D3">
        <w:rPr>
          <w:rFonts w:ascii="Arial" w:hAnsi="Arial" w:cs="Arial"/>
          <w:i/>
          <w:sz w:val="24"/>
        </w:rPr>
        <w:t xml:space="preserve"> </w:t>
      </w:r>
      <w:r w:rsidR="00513A64" w:rsidRPr="00513A64">
        <w:rPr>
          <w:rFonts w:ascii="Arial" w:hAnsi="Arial" w:cs="Arial"/>
          <w:sz w:val="24"/>
        </w:rPr>
        <w:t>Základní problém byl tedy</w:t>
      </w:r>
      <w:r w:rsidR="00513A64">
        <w:rPr>
          <w:rFonts w:ascii="Arial" w:hAnsi="Arial" w:cs="Arial"/>
          <w:sz w:val="24"/>
        </w:rPr>
        <w:t xml:space="preserve"> </w:t>
      </w:r>
      <w:r w:rsidR="008B6733">
        <w:rPr>
          <w:rFonts w:ascii="Arial" w:hAnsi="Arial" w:cs="Arial"/>
          <w:sz w:val="24"/>
        </w:rPr>
        <w:t>v</w:t>
      </w:r>
      <w:r w:rsidR="002037F5">
        <w:rPr>
          <w:rFonts w:ascii="Arial" w:hAnsi="Arial" w:cs="Arial"/>
          <w:sz w:val="24"/>
        </w:rPr>
        <w:t xml:space="preserve"> konkrétním </w:t>
      </w:r>
      <w:r w:rsidR="008B6733">
        <w:rPr>
          <w:rFonts w:ascii="Arial" w:hAnsi="Arial" w:cs="Arial"/>
          <w:sz w:val="24"/>
        </w:rPr>
        <w:t>situování dané strategické plochy</w:t>
      </w:r>
      <w:r w:rsidR="002037F5">
        <w:rPr>
          <w:rFonts w:ascii="Arial" w:hAnsi="Arial" w:cs="Arial"/>
          <w:sz w:val="24"/>
        </w:rPr>
        <w:t xml:space="preserve"> ve vztahu k ZPF</w:t>
      </w:r>
      <w:r w:rsidR="008B6733">
        <w:rPr>
          <w:rFonts w:ascii="Arial" w:hAnsi="Arial" w:cs="Arial"/>
          <w:sz w:val="24"/>
        </w:rPr>
        <w:t>.</w:t>
      </w:r>
      <w:r w:rsidR="00513A64">
        <w:rPr>
          <w:rFonts w:ascii="Arial" w:hAnsi="Arial" w:cs="Arial"/>
          <w:i/>
          <w:sz w:val="24"/>
        </w:rPr>
        <w:t xml:space="preserve"> </w:t>
      </w:r>
    </w:p>
    <w:p w:rsidR="009824D9" w:rsidRPr="007C40D3" w:rsidRDefault="009824D9" w:rsidP="005C474D">
      <w:pPr>
        <w:kinsoku w:val="0"/>
        <w:overflowPunct w:val="0"/>
        <w:jc w:val="both"/>
        <w:textAlignment w:val="baseline"/>
        <w:rPr>
          <w:rFonts w:ascii="Arial" w:hAnsi="Arial" w:cs="Arial"/>
          <w:i/>
          <w:sz w:val="24"/>
        </w:rPr>
      </w:pPr>
    </w:p>
    <w:p w:rsidR="008C1B8C" w:rsidRPr="008C1B8C" w:rsidRDefault="00F30850" w:rsidP="0029600A">
      <w:pPr>
        <w:kinsoku w:val="0"/>
        <w:overflowPunct w:val="0"/>
        <w:jc w:val="both"/>
        <w:textAlignment w:val="baseline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Aktuální s</w:t>
      </w:r>
      <w:r w:rsidR="006F0C4A">
        <w:rPr>
          <w:rFonts w:ascii="Arial" w:hAnsi="Arial" w:cs="Arial"/>
          <w:b/>
          <w:sz w:val="24"/>
        </w:rPr>
        <w:t>trategické plochy</w:t>
      </w:r>
      <w:r w:rsidR="006F0C4A" w:rsidRPr="008C1B8C">
        <w:rPr>
          <w:rFonts w:ascii="Arial" w:hAnsi="Arial" w:cs="Arial"/>
          <w:b/>
          <w:sz w:val="24"/>
        </w:rPr>
        <w:t xml:space="preserve"> </w:t>
      </w:r>
      <w:r w:rsidR="006F0C4A">
        <w:rPr>
          <w:rFonts w:ascii="Arial" w:hAnsi="Arial" w:cs="Arial"/>
          <w:b/>
          <w:sz w:val="24"/>
        </w:rPr>
        <w:t xml:space="preserve">řešené </w:t>
      </w:r>
      <w:r w:rsidR="008C1B8C" w:rsidRPr="008C1B8C">
        <w:rPr>
          <w:rFonts w:ascii="Arial" w:hAnsi="Arial" w:cs="Arial"/>
          <w:b/>
          <w:sz w:val="24"/>
        </w:rPr>
        <w:t>v ZÚR OK</w:t>
      </w:r>
    </w:p>
    <w:p w:rsidR="0029600A" w:rsidRPr="00B93795" w:rsidRDefault="00680113" w:rsidP="0029600A">
      <w:pPr>
        <w:kinsoku w:val="0"/>
        <w:overflowPunct w:val="0"/>
        <w:jc w:val="both"/>
        <w:textAlignment w:val="baseline"/>
        <w:rPr>
          <w:rFonts w:ascii="Arial" w:hAnsi="Arial" w:cs="Arial"/>
          <w:sz w:val="24"/>
        </w:rPr>
      </w:pPr>
      <w:r w:rsidRPr="00B93795">
        <w:rPr>
          <w:rFonts w:ascii="Arial" w:hAnsi="Arial" w:cs="Arial"/>
          <w:sz w:val="24"/>
        </w:rPr>
        <w:t>Olomoucký kraj</w:t>
      </w:r>
      <w:r w:rsidR="002037F5" w:rsidRPr="00B93795">
        <w:rPr>
          <w:rFonts w:ascii="Arial" w:hAnsi="Arial" w:cs="Arial"/>
          <w:sz w:val="24"/>
        </w:rPr>
        <w:t xml:space="preserve"> má s</w:t>
      </w:r>
      <w:r w:rsidR="00477D58" w:rsidRPr="00B93795">
        <w:rPr>
          <w:rFonts w:ascii="Arial" w:hAnsi="Arial" w:cs="Arial"/>
          <w:sz w:val="24"/>
        </w:rPr>
        <w:t xml:space="preserve">oučasně </w:t>
      </w:r>
      <w:r w:rsidR="009824D9" w:rsidRPr="00B93795">
        <w:rPr>
          <w:rFonts w:ascii="Arial" w:hAnsi="Arial" w:cs="Arial"/>
          <w:sz w:val="24"/>
        </w:rPr>
        <w:t>v</w:t>
      </w:r>
      <w:r w:rsidR="00757910" w:rsidRPr="00B93795">
        <w:rPr>
          <w:rFonts w:ascii="Arial" w:hAnsi="Arial" w:cs="Arial"/>
          <w:sz w:val="24"/>
        </w:rPr>
        <w:t> </w:t>
      </w:r>
      <w:r w:rsidR="00D268CF" w:rsidRPr="00B93795">
        <w:rPr>
          <w:rFonts w:ascii="Arial" w:hAnsi="Arial" w:cs="Arial"/>
          <w:sz w:val="24"/>
        </w:rPr>
        <w:t>platn</w:t>
      </w:r>
      <w:r w:rsidR="00757910" w:rsidRPr="00B93795">
        <w:rPr>
          <w:rFonts w:ascii="Arial" w:hAnsi="Arial" w:cs="Arial"/>
          <w:sz w:val="24"/>
        </w:rPr>
        <w:t>ých</w:t>
      </w:r>
      <w:r w:rsidR="00D268CF" w:rsidRPr="00B93795">
        <w:rPr>
          <w:rFonts w:ascii="Arial" w:hAnsi="Arial" w:cs="Arial"/>
          <w:sz w:val="24"/>
        </w:rPr>
        <w:t xml:space="preserve"> </w:t>
      </w:r>
      <w:r w:rsidR="009824D9" w:rsidRPr="00B93795">
        <w:rPr>
          <w:rFonts w:ascii="Arial" w:hAnsi="Arial" w:cs="Arial"/>
          <w:sz w:val="24"/>
        </w:rPr>
        <w:t>ZÚR OK vymezen</w:t>
      </w:r>
      <w:r w:rsidR="00757910" w:rsidRPr="00B93795">
        <w:rPr>
          <w:rFonts w:ascii="Arial" w:hAnsi="Arial" w:cs="Arial"/>
          <w:sz w:val="24"/>
        </w:rPr>
        <w:t>y</w:t>
      </w:r>
      <w:r w:rsidR="0058213B" w:rsidRPr="00B93795">
        <w:rPr>
          <w:rFonts w:ascii="Arial" w:hAnsi="Arial" w:cs="Arial"/>
          <w:sz w:val="24"/>
        </w:rPr>
        <w:t xml:space="preserve"> </w:t>
      </w:r>
      <w:r w:rsidR="00757910" w:rsidRPr="00B93795">
        <w:rPr>
          <w:rFonts w:ascii="Arial" w:hAnsi="Arial" w:cs="Arial"/>
          <w:sz w:val="24"/>
        </w:rPr>
        <w:t>dvě s</w:t>
      </w:r>
      <w:r w:rsidR="0011413A" w:rsidRPr="00B93795">
        <w:rPr>
          <w:rFonts w:ascii="Arial" w:hAnsi="Arial" w:cs="Arial"/>
          <w:sz w:val="24"/>
        </w:rPr>
        <w:t>trategick</w:t>
      </w:r>
      <w:r w:rsidR="00757910" w:rsidRPr="00B93795">
        <w:rPr>
          <w:rFonts w:ascii="Arial" w:hAnsi="Arial" w:cs="Arial"/>
          <w:sz w:val="24"/>
        </w:rPr>
        <w:t>é</w:t>
      </w:r>
      <w:r w:rsidR="0011413A" w:rsidRPr="00B93795">
        <w:rPr>
          <w:rFonts w:ascii="Arial" w:hAnsi="Arial" w:cs="Arial"/>
          <w:sz w:val="24"/>
        </w:rPr>
        <w:t xml:space="preserve"> ploch</w:t>
      </w:r>
      <w:r w:rsidR="00757910" w:rsidRPr="00B93795">
        <w:rPr>
          <w:rFonts w:ascii="Arial" w:hAnsi="Arial" w:cs="Arial"/>
          <w:sz w:val="24"/>
        </w:rPr>
        <w:t>y:</w:t>
      </w:r>
      <w:r w:rsidR="00A03529" w:rsidRPr="00B93795">
        <w:rPr>
          <w:rFonts w:ascii="Arial" w:hAnsi="Arial" w:cs="Arial"/>
          <w:sz w:val="24"/>
        </w:rPr>
        <w:t xml:space="preserve"> </w:t>
      </w:r>
    </w:p>
    <w:p w:rsidR="0029600A" w:rsidRPr="00B93795" w:rsidRDefault="008B6733" w:rsidP="0029600A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93795">
        <w:rPr>
          <w:rFonts w:ascii="Arial" w:hAnsi="Arial" w:cs="Arial"/>
          <w:b/>
        </w:rPr>
        <w:t>Strategická plocha Zábřeh</w:t>
      </w:r>
      <w:r w:rsidRPr="00B93795">
        <w:rPr>
          <w:rFonts w:ascii="Arial" w:hAnsi="Arial" w:cs="Arial"/>
        </w:rPr>
        <w:t xml:space="preserve"> je vymezena </w:t>
      </w:r>
      <w:r w:rsidR="0029600A" w:rsidRPr="00B93795">
        <w:rPr>
          <w:rFonts w:ascii="Arial" w:eastAsiaTheme="minorHAnsi" w:hAnsi="Arial" w:cs="Arial"/>
          <w:lang w:eastAsia="en-US"/>
        </w:rPr>
        <w:t>v rozsahu cca 47 ha;</w:t>
      </w:r>
      <w:r w:rsidR="0029600A" w:rsidRPr="00B93795">
        <w:rPr>
          <w:rFonts w:ascii="Arial" w:hAnsi="Arial" w:cs="Arial"/>
        </w:rPr>
        <w:t xml:space="preserve"> </w:t>
      </w:r>
      <w:r w:rsidR="00CE1723" w:rsidRPr="00B93795">
        <w:rPr>
          <w:rFonts w:ascii="Arial" w:hAnsi="Arial" w:cs="Arial"/>
        </w:rPr>
        <w:t>„</w:t>
      </w:r>
      <w:r w:rsidR="0029600A" w:rsidRPr="00B93795">
        <w:rPr>
          <w:rFonts w:ascii="Arial" w:eastAsiaTheme="minorHAnsi" w:hAnsi="Arial" w:cs="Arial"/>
          <w:i/>
          <w:lang w:eastAsia="en-US"/>
        </w:rPr>
        <w:t>je určena zejména pro oblast výroby, zpracovatelského průmyslu, center strategických služeb, průmyslu vyspělých technologií. Přípustnou součástí ploch mohou být zejména veřejná, technická a dopravní infrastruktura, skladovací plochy, související komerční zařízení apod.</w:t>
      </w:r>
      <w:r w:rsidR="00CE1723" w:rsidRPr="00B93795">
        <w:rPr>
          <w:rFonts w:ascii="Arial" w:eastAsiaTheme="minorHAnsi" w:hAnsi="Arial" w:cs="Arial"/>
          <w:i/>
          <w:lang w:eastAsia="en-US"/>
        </w:rPr>
        <w:t>“</w:t>
      </w:r>
      <w:r w:rsidR="0029600A" w:rsidRPr="00B93795">
        <w:rPr>
          <w:rFonts w:ascii="Arial" w:eastAsiaTheme="minorHAnsi" w:hAnsi="Arial" w:cs="Arial"/>
          <w:i/>
          <w:lang w:eastAsia="en-US"/>
        </w:rPr>
        <w:t xml:space="preserve"> </w:t>
      </w:r>
      <w:r w:rsidR="0029600A" w:rsidRPr="00B93795">
        <w:rPr>
          <w:rFonts w:ascii="Arial" w:eastAsiaTheme="minorHAnsi" w:hAnsi="Arial" w:cs="Arial"/>
          <w:lang w:eastAsia="en-US"/>
        </w:rPr>
        <w:t>Podmínkou je stanoveno, že využití plochy se nebude rozšiřovat nad rámec stanovený v ÚP Zábřeh.</w:t>
      </w:r>
    </w:p>
    <w:p w:rsidR="0029600A" w:rsidRPr="00B93795" w:rsidRDefault="0029600A" w:rsidP="00CE172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93795">
        <w:rPr>
          <w:rFonts w:ascii="Arial" w:eastAsiaTheme="minorHAnsi" w:hAnsi="Arial" w:cs="Arial"/>
          <w:b/>
          <w:lang w:eastAsia="en-US"/>
        </w:rPr>
        <w:t>Strategická plocha Přerov</w:t>
      </w:r>
      <w:r w:rsidR="00CE1723" w:rsidRPr="00B93795">
        <w:rPr>
          <w:rFonts w:ascii="Arial" w:eastAsiaTheme="minorHAnsi" w:hAnsi="Arial" w:cs="Arial"/>
          <w:b/>
          <w:lang w:eastAsia="en-US"/>
        </w:rPr>
        <w:t>,</w:t>
      </w:r>
      <w:r w:rsidRPr="00B93795">
        <w:rPr>
          <w:rFonts w:ascii="Arial" w:eastAsiaTheme="minorHAnsi" w:hAnsi="Arial" w:cs="Arial"/>
          <w:b/>
          <w:lang w:eastAsia="en-US"/>
        </w:rPr>
        <w:t xml:space="preserve"> při zachování stávajícího vnitrostátního veřejného a mezinárodního</w:t>
      </w:r>
      <w:r w:rsidR="00CE1723" w:rsidRPr="00B93795">
        <w:rPr>
          <w:rFonts w:ascii="Arial" w:eastAsiaTheme="minorHAnsi" w:hAnsi="Arial" w:cs="Arial"/>
          <w:b/>
          <w:lang w:eastAsia="en-US"/>
        </w:rPr>
        <w:t xml:space="preserve"> </w:t>
      </w:r>
      <w:r w:rsidRPr="00B93795">
        <w:rPr>
          <w:rFonts w:ascii="Arial" w:eastAsiaTheme="minorHAnsi" w:hAnsi="Arial" w:cs="Arial"/>
          <w:b/>
          <w:lang w:eastAsia="en-US"/>
        </w:rPr>
        <w:t>neveřejného letiště</w:t>
      </w:r>
      <w:r w:rsidR="00CE1723" w:rsidRPr="00B93795">
        <w:rPr>
          <w:rFonts w:ascii="Arial" w:eastAsiaTheme="minorHAnsi" w:hAnsi="Arial" w:cs="Arial"/>
          <w:lang w:eastAsia="en-US"/>
        </w:rPr>
        <w:t xml:space="preserve"> „</w:t>
      </w:r>
      <w:r w:rsidR="00CE1723" w:rsidRPr="00B93795">
        <w:rPr>
          <w:rFonts w:ascii="Arial" w:eastAsiaTheme="minorHAnsi" w:hAnsi="Arial" w:cs="Arial"/>
          <w:i/>
          <w:lang w:eastAsia="en-US"/>
        </w:rPr>
        <w:t>je určena zejména pro oblast výroby, zpracovatelského průmyslu, center strategických služeb, průmyslu vyspělých technologií, technologických center a center vytvářející pracovní místa v oborech vědy a výzkumu. Přípustnou součástí ploch mohou být zejména veřejná, technická a dopravní infrastruktura, související skladovací plochy – jako doplňková funkce k funkci hlavní, komerční zařízení apod</w:t>
      </w:r>
      <w:r w:rsidR="00CE1723" w:rsidRPr="00B93795">
        <w:rPr>
          <w:rFonts w:ascii="Arial" w:eastAsiaTheme="minorHAnsi" w:hAnsi="Arial" w:cs="Arial"/>
          <w:lang w:eastAsia="en-US"/>
        </w:rPr>
        <w:t>.“</w:t>
      </w:r>
    </w:p>
    <w:p w:rsidR="001310CE" w:rsidRPr="00B93795" w:rsidRDefault="001310CE" w:rsidP="00CD2F5A">
      <w:pPr>
        <w:pStyle w:val="Odstavecseseznamem"/>
        <w:tabs>
          <w:tab w:val="left" w:pos="284"/>
        </w:tabs>
        <w:spacing w:before="120" w:line="240" w:lineRule="atLeast"/>
        <w:jc w:val="both"/>
        <w:rPr>
          <w:rFonts w:ascii="Arial" w:eastAsia="Arial" w:hAnsi="Arial" w:cs="Arial"/>
        </w:rPr>
      </w:pPr>
      <w:r w:rsidRPr="00B93795">
        <w:rPr>
          <w:rFonts w:ascii="Arial" w:eastAsia="Arial" w:hAnsi="Arial" w:cs="Arial"/>
        </w:rPr>
        <w:t xml:space="preserve">Strategická plocha Přerov </w:t>
      </w:r>
      <w:r w:rsidR="00014065" w:rsidRPr="00B93795">
        <w:rPr>
          <w:rFonts w:ascii="Arial" w:hAnsi="Arial" w:cs="Arial"/>
        </w:rPr>
        <w:t>o výměře 535 ha</w:t>
      </w:r>
      <w:r w:rsidR="00014065" w:rsidRPr="00B93795">
        <w:rPr>
          <w:rFonts w:ascii="Arial" w:eastAsia="Arial" w:hAnsi="Arial" w:cs="Arial"/>
        </w:rPr>
        <w:t xml:space="preserve"> </w:t>
      </w:r>
      <w:r w:rsidRPr="00B93795">
        <w:rPr>
          <w:rFonts w:ascii="Arial" w:eastAsia="Arial" w:hAnsi="Arial" w:cs="Arial"/>
        </w:rPr>
        <w:t>byla pře</w:t>
      </w:r>
      <w:r w:rsidR="002037F5" w:rsidRPr="00B93795">
        <w:rPr>
          <w:rFonts w:ascii="Arial" w:eastAsia="Arial" w:hAnsi="Arial" w:cs="Arial"/>
        </w:rPr>
        <w:t>dmětem řešení Akt. č. 2b ZÚR OK.</w:t>
      </w:r>
      <w:r w:rsidRPr="00B93795">
        <w:rPr>
          <w:rFonts w:ascii="Arial" w:eastAsia="Arial" w:hAnsi="Arial" w:cs="Arial"/>
        </w:rPr>
        <w:t xml:space="preserve"> Řešení této plochy vychází z usnesení vlády č. 310 z 11.</w:t>
      </w:r>
      <w:r w:rsidR="00CD2F5A" w:rsidRPr="00B93795">
        <w:rPr>
          <w:rFonts w:ascii="Arial" w:eastAsia="Arial" w:hAnsi="Arial" w:cs="Arial"/>
        </w:rPr>
        <w:t> </w:t>
      </w:r>
      <w:r w:rsidRPr="00B93795">
        <w:rPr>
          <w:rFonts w:ascii="Arial" w:eastAsia="Arial" w:hAnsi="Arial" w:cs="Arial"/>
        </w:rPr>
        <w:t>4. 2016. Dle důvodové zprávy materiálu do vlády se jedná o vym</w:t>
      </w:r>
      <w:r w:rsidR="002037F5" w:rsidRPr="00B93795">
        <w:rPr>
          <w:rFonts w:ascii="Arial" w:eastAsia="Arial" w:hAnsi="Arial" w:cs="Arial"/>
        </w:rPr>
        <w:t xml:space="preserve">ezení průmyslové zóny, </w:t>
      </w:r>
      <w:r w:rsidR="00C6123F" w:rsidRPr="00B93795">
        <w:rPr>
          <w:rFonts w:ascii="Arial" w:eastAsia="Arial" w:hAnsi="Arial" w:cs="Arial"/>
        </w:rPr>
        <w:t xml:space="preserve">jejíž </w:t>
      </w:r>
      <w:r w:rsidR="002037F5" w:rsidRPr="00B93795">
        <w:rPr>
          <w:rFonts w:ascii="Arial" w:eastAsia="Arial" w:hAnsi="Arial" w:cs="Arial"/>
        </w:rPr>
        <w:t>součástí</w:t>
      </w:r>
      <w:r w:rsidR="00C6123F" w:rsidRPr="00B93795">
        <w:rPr>
          <w:rFonts w:ascii="Arial" w:eastAsia="Arial" w:hAnsi="Arial" w:cs="Arial"/>
        </w:rPr>
        <w:t xml:space="preserve"> </w:t>
      </w:r>
      <w:r w:rsidRPr="00B93795">
        <w:rPr>
          <w:rFonts w:ascii="Arial" w:eastAsia="Arial" w:hAnsi="Arial" w:cs="Arial"/>
        </w:rPr>
        <w:t>zůstane fungující letiště. Strategickou plochu tak tvoří plocha letiště</w:t>
      </w:r>
      <w:r w:rsidR="00014065" w:rsidRPr="00B93795">
        <w:rPr>
          <w:rFonts w:ascii="Arial" w:eastAsia="Arial" w:hAnsi="Arial" w:cs="Arial"/>
        </w:rPr>
        <w:t xml:space="preserve"> (cca 188 ha)</w:t>
      </w:r>
      <w:r w:rsidRPr="00B93795">
        <w:rPr>
          <w:rFonts w:ascii="Arial" w:eastAsia="Arial" w:hAnsi="Arial" w:cs="Arial"/>
        </w:rPr>
        <w:t xml:space="preserve"> a dvě průmyslové zóny; v jižní části </w:t>
      </w:r>
      <w:r w:rsidR="00014065" w:rsidRPr="00B93795">
        <w:rPr>
          <w:rFonts w:ascii="Arial" w:eastAsia="Arial" w:hAnsi="Arial" w:cs="Arial"/>
        </w:rPr>
        <w:t xml:space="preserve">(cca 117 ha) </w:t>
      </w:r>
      <w:r w:rsidRPr="00B93795">
        <w:rPr>
          <w:rFonts w:ascii="Arial" w:eastAsia="Arial" w:hAnsi="Arial" w:cs="Arial"/>
        </w:rPr>
        <w:t>je požadována výroba související s letectvím či činnosti související s provozem letiště, jako s obecnou rozvojovou průmyslovou zónou je pak ve vládním materiálu uvažováno se severní částí plochy</w:t>
      </w:r>
      <w:r w:rsidR="00014065" w:rsidRPr="00B93795">
        <w:rPr>
          <w:rFonts w:ascii="Arial" w:eastAsia="Arial" w:hAnsi="Arial" w:cs="Arial"/>
        </w:rPr>
        <w:t xml:space="preserve"> (cca 220 ha)</w:t>
      </w:r>
      <w:r w:rsidR="00F85A40" w:rsidRPr="00B93795">
        <w:rPr>
          <w:rFonts w:ascii="Arial" w:eastAsia="Arial" w:hAnsi="Arial" w:cs="Arial"/>
        </w:rPr>
        <w:t>.</w:t>
      </w:r>
    </w:p>
    <w:p w:rsidR="00CE1723" w:rsidRPr="00884880" w:rsidRDefault="00CE1723" w:rsidP="00CE172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lang w:eastAsia="en-US"/>
        </w:rPr>
      </w:pPr>
    </w:p>
    <w:p w:rsidR="00A90C44" w:rsidRDefault="00A90C44" w:rsidP="00635B2E">
      <w:pPr>
        <w:kinsoku w:val="0"/>
        <w:overflowPunct w:val="0"/>
        <w:jc w:val="both"/>
        <w:textAlignment w:val="baseline"/>
        <w:rPr>
          <w:rFonts w:ascii="Arial" w:hAnsi="Arial" w:cs="Arial"/>
          <w:b/>
          <w:sz w:val="24"/>
        </w:rPr>
      </w:pPr>
    </w:p>
    <w:p w:rsidR="00A90C44" w:rsidRDefault="00A90C44" w:rsidP="00635B2E">
      <w:pPr>
        <w:kinsoku w:val="0"/>
        <w:overflowPunct w:val="0"/>
        <w:jc w:val="both"/>
        <w:textAlignment w:val="baseline"/>
        <w:rPr>
          <w:rFonts w:ascii="Arial" w:hAnsi="Arial" w:cs="Arial"/>
          <w:b/>
          <w:sz w:val="24"/>
        </w:rPr>
      </w:pPr>
    </w:p>
    <w:p w:rsidR="008C1B8C" w:rsidRPr="008C1B8C" w:rsidRDefault="008C1B8C" w:rsidP="00635B2E">
      <w:pPr>
        <w:kinsoku w:val="0"/>
        <w:overflowPunct w:val="0"/>
        <w:jc w:val="both"/>
        <w:textAlignment w:val="baseline"/>
        <w:rPr>
          <w:rFonts w:ascii="Arial" w:hAnsi="Arial" w:cs="Arial"/>
          <w:b/>
          <w:sz w:val="24"/>
        </w:rPr>
      </w:pPr>
      <w:r w:rsidRPr="008C1B8C">
        <w:rPr>
          <w:rFonts w:ascii="Arial" w:hAnsi="Arial" w:cs="Arial"/>
          <w:b/>
          <w:sz w:val="24"/>
        </w:rPr>
        <w:lastRenderedPageBreak/>
        <w:t>Další postup v soul</w:t>
      </w:r>
      <w:r w:rsidR="00680113">
        <w:rPr>
          <w:rFonts w:ascii="Arial" w:hAnsi="Arial" w:cs="Arial"/>
          <w:b/>
          <w:sz w:val="24"/>
        </w:rPr>
        <w:t>adu s požadavkem § 42 odst. 6 stavebního zákona</w:t>
      </w:r>
    </w:p>
    <w:p w:rsidR="00F85A40" w:rsidRDefault="00D3251B" w:rsidP="00635B2E">
      <w:pPr>
        <w:kinsoku w:val="0"/>
        <w:overflowPunct w:val="0"/>
        <w:jc w:val="both"/>
        <w:textAlignment w:val="baselin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 důvodu zrušení </w:t>
      </w:r>
      <w:r w:rsidRPr="00273211">
        <w:rPr>
          <w:rFonts w:ascii="Arial" w:hAnsi="Arial" w:cs="Arial"/>
          <w:sz w:val="24"/>
        </w:rPr>
        <w:t xml:space="preserve">části </w:t>
      </w:r>
      <w:r>
        <w:rPr>
          <w:rFonts w:ascii="Arial" w:hAnsi="Arial" w:cs="Arial"/>
          <w:sz w:val="24"/>
        </w:rPr>
        <w:t>ZÚR OK krajským</w:t>
      </w:r>
      <w:r w:rsidR="00E8155C">
        <w:rPr>
          <w:rFonts w:ascii="Arial" w:hAnsi="Arial" w:cs="Arial"/>
          <w:sz w:val="24"/>
        </w:rPr>
        <w:t xml:space="preserve"> soudem</w:t>
      </w:r>
      <w:r w:rsidR="007009A2">
        <w:rPr>
          <w:rFonts w:ascii="Arial" w:hAnsi="Arial" w:cs="Arial"/>
          <w:sz w:val="24"/>
        </w:rPr>
        <w:t xml:space="preserve"> </w:t>
      </w:r>
      <w:r w:rsidR="008C1B8C">
        <w:rPr>
          <w:rFonts w:ascii="Arial" w:hAnsi="Arial" w:cs="Arial"/>
          <w:sz w:val="24"/>
        </w:rPr>
        <w:t>je třeba</w:t>
      </w:r>
      <w:r w:rsidR="00A109EB">
        <w:rPr>
          <w:rFonts w:ascii="Arial" w:hAnsi="Arial" w:cs="Arial"/>
          <w:sz w:val="24"/>
        </w:rPr>
        <w:t>,</w:t>
      </w:r>
      <w:r w:rsidR="008C1B8C">
        <w:rPr>
          <w:rFonts w:ascii="Arial" w:hAnsi="Arial" w:cs="Arial"/>
          <w:sz w:val="24"/>
        </w:rPr>
        <w:t xml:space="preserve"> aby </w:t>
      </w:r>
      <w:r w:rsidR="007A383E">
        <w:rPr>
          <w:rFonts w:ascii="Arial" w:hAnsi="Arial" w:cs="Arial"/>
          <w:sz w:val="24"/>
        </w:rPr>
        <w:t>ZOK</w:t>
      </w:r>
      <w:r w:rsidR="00E8155C">
        <w:rPr>
          <w:rFonts w:ascii="Arial" w:hAnsi="Arial" w:cs="Arial"/>
          <w:sz w:val="24"/>
        </w:rPr>
        <w:t xml:space="preserve"> v sou</w:t>
      </w:r>
      <w:r w:rsidR="00D268CF">
        <w:rPr>
          <w:rFonts w:ascii="Arial" w:hAnsi="Arial" w:cs="Arial"/>
          <w:sz w:val="24"/>
        </w:rPr>
        <w:t xml:space="preserve">ladu s požadavkem § 42 odst. 6 stavebního zákona </w:t>
      </w:r>
      <w:r w:rsidR="00680113">
        <w:rPr>
          <w:rFonts w:ascii="Arial" w:hAnsi="Arial" w:cs="Arial"/>
          <w:sz w:val="24"/>
        </w:rPr>
        <w:t>řešilo</w:t>
      </w:r>
      <w:r w:rsidR="00680113" w:rsidRPr="00273211">
        <w:rPr>
          <w:rFonts w:ascii="Arial" w:hAnsi="Arial" w:cs="Arial"/>
          <w:sz w:val="24"/>
        </w:rPr>
        <w:t xml:space="preserve"> důs</w:t>
      </w:r>
      <w:r w:rsidR="00680113">
        <w:rPr>
          <w:rFonts w:ascii="Arial" w:hAnsi="Arial" w:cs="Arial"/>
          <w:sz w:val="24"/>
        </w:rPr>
        <w:t xml:space="preserve">ledky zrušení </w:t>
      </w:r>
      <w:r w:rsidR="00680113" w:rsidRPr="00273211">
        <w:rPr>
          <w:rFonts w:ascii="Arial" w:hAnsi="Arial" w:cs="Arial"/>
          <w:sz w:val="24"/>
        </w:rPr>
        <w:t xml:space="preserve">části </w:t>
      </w:r>
      <w:r w:rsidR="00680113">
        <w:rPr>
          <w:rFonts w:ascii="Arial" w:hAnsi="Arial" w:cs="Arial"/>
          <w:sz w:val="24"/>
        </w:rPr>
        <w:t xml:space="preserve">ZÚR OK a </w:t>
      </w:r>
      <w:r w:rsidR="00A109EB"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 xml:space="preserve">a základě výše uvedeného </w:t>
      </w:r>
      <w:r w:rsidR="008C1B8C">
        <w:rPr>
          <w:rFonts w:ascii="Arial" w:hAnsi="Arial" w:cs="Arial"/>
          <w:sz w:val="24"/>
        </w:rPr>
        <w:t>rozhodlo</w:t>
      </w:r>
      <w:r w:rsidR="00BC4744">
        <w:rPr>
          <w:rFonts w:ascii="Arial" w:hAnsi="Arial" w:cs="Arial"/>
          <w:sz w:val="24"/>
        </w:rPr>
        <w:t xml:space="preserve"> o dalším postupu</w:t>
      </w:r>
      <w:r w:rsidR="00561484">
        <w:rPr>
          <w:rFonts w:ascii="Arial" w:hAnsi="Arial" w:cs="Arial"/>
          <w:sz w:val="24"/>
        </w:rPr>
        <w:t>.</w:t>
      </w:r>
      <w:r w:rsidR="00934ABA">
        <w:rPr>
          <w:rFonts w:ascii="Arial" w:hAnsi="Arial" w:cs="Arial"/>
          <w:sz w:val="24"/>
        </w:rPr>
        <w:t xml:space="preserve"> </w:t>
      </w:r>
    </w:p>
    <w:p w:rsidR="005964E0" w:rsidRDefault="005964E0" w:rsidP="005964E0">
      <w:pPr>
        <w:pStyle w:val="Odstavecseseznamem"/>
        <w:kinsoku w:val="0"/>
        <w:overflowPunct w:val="0"/>
        <w:jc w:val="both"/>
        <w:textAlignment w:val="baseline"/>
        <w:rPr>
          <w:rFonts w:ascii="Arial" w:hAnsi="Arial" w:cs="Arial"/>
        </w:rPr>
      </w:pPr>
    </w:p>
    <w:p w:rsidR="00C3502C" w:rsidRPr="00A11607" w:rsidRDefault="00A11607" w:rsidP="00050102">
      <w:pPr>
        <w:jc w:val="both"/>
        <w:rPr>
          <w:rFonts w:ascii="Arial" w:hAnsi="Arial" w:cs="Arial"/>
          <w:bCs/>
          <w:sz w:val="24"/>
        </w:rPr>
      </w:pPr>
      <w:r w:rsidRPr="00A11607">
        <w:rPr>
          <w:rFonts w:ascii="Arial" w:hAnsi="Arial" w:cs="Arial"/>
          <w:bCs/>
          <w:sz w:val="24"/>
        </w:rPr>
        <w:t>Tento materiál</w:t>
      </w:r>
      <w:r w:rsidR="00294D2E" w:rsidRPr="00A11607">
        <w:rPr>
          <w:rFonts w:ascii="Arial" w:hAnsi="Arial" w:cs="Arial"/>
          <w:bCs/>
          <w:sz w:val="24"/>
        </w:rPr>
        <w:t xml:space="preserve"> bude d</w:t>
      </w:r>
      <w:r w:rsidR="00C3502C" w:rsidRPr="00A11607">
        <w:rPr>
          <w:rFonts w:ascii="Arial" w:hAnsi="Arial" w:cs="Arial"/>
          <w:bCs/>
          <w:sz w:val="24"/>
        </w:rPr>
        <w:t xml:space="preserve">ne 15. 6. 2021 projednán na </w:t>
      </w:r>
      <w:r>
        <w:rPr>
          <w:rFonts w:ascii="Arial" w:hAnsi="Arial" w:cs="Arial"/>
          <w:bCs/>
          <w:sz w:val="24"/>
        </w:rPr>
        <w:t>V</w:t>
      </w:r>
      <w:r w:rsidR="00C3502C" w:rsidRPr="00A11607">
        <w:rPr>
          <w:rFonts w:ascii="Arial" w:hAnsi="Arial" w:cs="Arial"/>
          <w:bCs/>
          <w:sz w:val="24"/>
        </w:rPr>
        <w:t>ýboru</w:t>
      </w:r>
      <w:r w:rsidRPr="00A11607">
        <w:rPr>
          <w:rFonts w:ascii="Arial" w:hAnsi="Arial" w:cs="Arial"/>
          <w:bCs/>
          <w:sz w:val="24"/>
        </w:rPr>
        <w:t xml:space="preserve"> pro regionální rozvoj</w:t>
      </w:r>
      <w:r w:rsidR="00C3502C" w:rsidRPr="00A11607">
        <w:rPr>
          <w:rFonts w:ascii="Arial" w:hAnsi="Arial" w:cs="Arial"/>
          <w:bCs/>
          <w:sz w:val="24"/>
        </w:rPr>
        <w:t xml:space="preserve">. </w:t>
      </w:r>
      <w:r w:rsidR="00294D2E" w:rsidRPr="00A11607">
        <w:rPr>
          <w:rFonts w:ascii="Arial" w:hAnsi="Arial" w:cs="Arial"/>
          <w:bCs/>
          <w:sz w:val="24"/>
        </w:rPr>
        <w:t>S výsledkem projednání bude ZOK seznámeno přímo na jednání ZOK.</w:t>
      </w:r>
    </w:p>
    <w:p w:rsidR="00294D2E" w:rsidRDefault="00294D2E" w:rsidP="00050102">
      <w:pPr>
        <w:jc w:val="both"/>
        <w:rPr>
          <w:rFonts w:ascii="Arial" w:hAnsi="Arial" w:cs="Arial"/>
          <w:b/>
          <w:bCs/>
          <w:sz w:val="24"/>
        </w:rPr>
      </w:pPr>
    </w:p>
    <w:p w:rsidR="00A11607" w:rsidRDefault="00A11607" w:rsidP="00050102">
      <w:pPr>
        <w:jc w:val="both"/>
        <w:rPr>
          <w:rFonts w:ascii="Arial" w:hAnsi="Arial" w:cs="Arial"/>
          <w:b/>
          <w:bCs/>
          <w:sz w:val="24"/>
        </w:rPr>
      </w:pPr>
    </w:p>
    <w:p w:rsidR="00050102" w:rsidRDefault="00C3502C" w:rsidP="00050102">
      <w:pPr>
        <w:jc w:val="both"/>
        <w:rPr>
          <w:rFonts w:ascii="Arial" w:hAnsi="Arial" w:cs="Arial"/>
          <w:b/>
          <w:bCs/>
          <w:sz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</w:rPr>
        <w:t xml:space="preserve">ROK doporučila </w:t>
      </w:r>
      <w:r w:rsidR="00EF7896">
        <w:rPr>
          <w:rFonts w:ascii="Arial" w:hAnsi="Arial" w:cs="Arial"/>
          <w:b/>
          <w:bCs/>
          <w:sz w:val="24"/>
        </w:rPr>
        <w:t>ZOK</w:t>
      </w:r>
      <w:r w:rsidR="00294D2E">
        <w:rPr>
          <w:rFonts w:ascii="Arial" w:hAnsi="Arial" w:cs="Arial"/>
          <w:b/>
          <w:bCs/>
          <w:sz w:val="24"/>
        </w:rPr>
        <w:t>,</w:t>
      </w:r>
      <w:r w:rsidR="005D1547">
        <w:rPr>
          <w:rFonts w:ascii="Arial" w:hAnsi="Arial" w:cs="Arial"/>
          <w:b/>
          <w:bCs/>
          <w:sz w:val="24"/>
        </w:rPr>
        <w:t xml:space="preserve"> </w:t>
      </w:r>
    </w:p>
    <w:p w:rsidR="005964E0" w:rsidRDefault="005964E0" w:rsidP="00050102">
      <w:pPr>
        <w:jc w:val="both"/>
        <w:rPr>
          <w:rFonts w:ascii="Arial" w:hAnsi="Arial" w:cs="Arial"/>
          <w:b/>
          <w:bCs/>
          <w:sz w:val="24"/>
        </w:rPr>
      </w:pPr>
    </w:p>
    <w:p w:rsidR="005964E0" w:rsidRDefault="00C3502C" w:rsidP="003075E5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 xml:space="preserve">aby </w:t>
      </w:r>
      <w:r w:rsidR="00FE4719">
        <w:rPr>
          <w:rFonts w:ascii="Arial" w:hAnsi="Arial" w:cs="Arial"/>
          <w:b/>
          <w:bCs/>
          <w:sz w:val="24"/>
        </w:rPr>
        <w:t>rozhod</w:t>
      </w:r>
      <w:r w:rsidR="00EF7896">
        <w:rPr>
          <w:rFonts w:ascii="Arial" w:hAnsi="Arial" w:cs="Arial"/>
          <w:b/>
          <w:bCs/>
          <w:sz w:val="24"/>
        </w:rPr>
        <w:t>lo</w:t>
      </w:r>
      <w:r w:rsidR="00FE4719">
        <w:rPr>
          <w:rFonts w:ascii="Arial" w:hAnsi="Arial" w:cs="Arial"/>
          <w:b/>
          <w:bCs/>
          <w:sz w:val="24"/>
        </w:rPr>
        <w:t xml:space="preserve"> o </w:t>
      </w:r>
      <w:r w:rsidR="00050102" w:rsidRPr="00E44041">
        <w:rPr>
          <w:rFonts w:ascii="Arial" w:hAnsi="Arial" w:cs="Arial"/>
          <w:b/>
          <w:sz w:val="24"/>
        </w:rPr>
        <w:t>nepořizov</w:t>
      </w:r>
      <w:r w:rsidR="00FE4719">
        <w:rPr>
          <w:rFonts w:ascii="Arial" w:hAnsi="Arial" w:cs="Arial"/>
          <w:b/>
          <w:sz w:val="24"/>
        </w:rPr>
        <w:t>ání</w:t>
      </w:r>
      <w:r w:rsidR="00050102" w:rsidRPr="00E44041">
        <w:rPr>
          <w:rFonts w:ascii="Arial" w:hAnsi="Arial" w:cs="Arial"/>
          <w:b/>
          <w:sz w:val="24"/>
        </w:rPr>
        <w:t xml:space="preserve"> samostatn</w:t>
      </w:r>
      <w:r w:rsidR="00FE4719">
        <w:rPr>
          <w:rFonts w:ascii="Arial" w:hAnsi="Arial" w:cs="Arial"/>
          <w:b/>
          <w:sz w:val="24"/>
        </w:rPr>
        <w:t>é</w:t>
      </w:r>
      <w:r w:rsidR="00050102" w:rsidRPr="00E44041">
        <w:rPr>
          <w:rFonts w:ascii="Arial" w:hAnsi="Arial" w:cs="Arial"/>
          <w:b/>
          <w:sz w:val="24"/>
        </w:rPr>
        <w:t xml:space="preserve"> aktualiza</w:t>
      </w:r>
      <w:r w:rsidR="00683B8A">
        <w:rPr>
          <w:rFonts w:ascii="Arial" w:hAnsi="Arial" w:cs="Arial"/>
          <w:b/>
          <w:sz w:val="24"/>
        </w:rPr>
        <w:t>c</w:t>
      </w:r>
      <w:r w:rsidR="00FE4719">
        <w:rPr>
          <w:rFonts w:ascii="Arial" w:hAnsi="Arial" w:cs="Arial"/>
          <w:b/>
          <w:sz w:val="24"/>
        </w:rPr>
        <w:t>e</w:t>
      </w:r>
      <w:r w:rsidR="00050102" w:rsidRPr="00E44041">
        <w:rPr>
          <w:rFonts w:ascii="Arial" w:hAnsi="Arial" w:cs="Arial"/>
          <w:b/>
          <w:sz w:val="24"/>
        </w:rPr>
        <w:t xml:space="preserve"> ZÚR OK, která by </w:t>
      </w:r>
      <w:r w:rsidR="003452ED" w:rsidRPr="00E44041">
        <w:rPr>
          <w:rFonts w:ascii="Arial" w:hAnsi="Arial" w:cs="Arial"/>
          <w:b/>
          <w:iCs/>
          <w:sz w:val="24"/>
        </w:rPr>
        <w:t>nahradila</w:t>
      </w:r>
      <w:r w:rsidR="00050102" w:rsidRPr="00E44041">
        <w:rPr>
          <w:rFonts w:ascii="Arial" w:hAnsi="Arial" w:cs="Arial"/>
          <w:b/>
          <w:iCs/>
          <w:sz w:val="24"/>
        </w:rPr>
        <w:t xml:space="preserve"> soudem</w:t>
      </w:r>
      <w:r w:rsidR="002761F3" w:rsidRPr="00E44041">
        <w:rPr>
          <w:rFonts w:ascii="Arial" w:hAnsi="Arial" w:cs="Arial"/>
          <w:b/>
          <w:iCs/>
          <w:sz w:val="24"/>
        </w:rPr>
        <w:t xml:space="preserve"> zrušenou Strategickou plochu</w:t>
      </w:r>
      <w:r w:rsidR="00050102" w:rsidRPr="00E44041">
        <w:rPr>
          <w:rFonts w:ascii="Arial" w:hAnsi="Arial" w:cs="Arial"/>
          <w:b/>
          <w:iCs/>
          <w:sz w:val="24"/>
        </w:rPr>
        <w:t xml:space="preserve"> Olomouc</w:t>
      </w:r>
      <w:r w:rsidR="00050102" w:rsidRPr="00E44041">
        <w:rPr>
          <w:rFonts w:ascii="Arial" w:hAnsi="Arial" w:cs="Arial"/>
          <w:b/>
          <w:sz w:val="24"/>
        </w:rPr>
        <w:t xml:space="preserve"> jinou adekvátní strategickou plochou; </w:t>
      </w:r>
      <w:r w:rsidR="002761F3" w:rsidRPr="00E44041">
        <w:rPr>
          <w:rFonts w:ascii="Arial" w:hAnsi="Arial" w:cs="Arial"/>
          <w:b/>
          <w:sz w:val="24"/>
        </w:rPr>
        <w:t>vymezení S</w:t>
      </w:r>
      <w:r w:rsidR="00050102" w:rsidRPr="00E44041">
        <w:rPr>
          <w:rFonts w:ascii="Arial" w:hAnsi="Arial" w:cs="Arial"/>
          <w:b/>
          <w:sz w:val="24"/>
        </w:rPr>
        <w:t xml:space="preserve">trategické plochy Přerov a Strategické plochy Zábřeh </w:t>
      </w:r>
      <w:r w:rsidR="00E97AAC" w:rsidRPr="00E44041">
        <w:rPr>
          <w:rFonts w:ascii="Arial" w:hAnsi="Arial" w:cs="Arial"/>
          <w:b/>
          <w:sz w:val="24"/>
        </w:rPr>
        <w:t>je</w:t>
      </w:r>
      <w:r w:rsidR="00050102" w:rsidRPr="00E44041">
        <w:rPr>
          <w:rFonts w:ascii="Arial" w:hAnsi="Arial" w:cs="Arial"/>
          <w:b/>
          <w:sz w:val="24"/>
        </w:rPr>
        <w:t xml:space="preserve"> </w:t>
      </w:r>
      <w:r w:rsidR="00BC4744">
        <w:rPr>
          <w:rFonts w:ascii="Arial" w:hAnsi="Arial" w:cs="Arial"/>
          <w:b/>
          <w:sz w:val="24"/>
        </w:rPr>
        <w:t>pro potřeby Olomouckého kraje</w:t>
      </w:r>
      <w:r w:rsidR="00E97AAC" w:rsidRPr="00E44041">
        <w:rPr>
          <w:rFonts w:ascii="Arial" w:hAnsi="Arial" w:cs="Arial"/>
          <w:b/>
          <w:sz w:val="24"/>
        </w:rPr>
        <w:t xml:space="preserve"> </w:t>
      </w:r>
      <w:r w:rsidR="00050102" w:rsidRPr="00E44041">
        <w:rPr>
          <w:rFonts w:ascii="Arial" w:hAnsi="Arial" w:cs="Arial"/>
          <w:b/>
          <w:sz w:val="24"/>
        </w:rPr>
        <w:t>dostatečné</w:t>
      </w:r>
      <w:r w:rsidR="00A11607">
        <w:rPr>
          <w:rFonts w:ascii="Arial" w:hAnsi="Arial" w:cs="Arial"/>
          <w:b/>
          <w:sz w:val="24"/>
        </w:rPr>
        <w:t>.</w:t>
      </w:r>
    </w:p>
    <w:p w:rsidR="00050102" w:rsidRPr="00E44041" w:rsidRDefault="00050102" w:rsidP="00AE4A88">
      <w:pPr>
        <w:ind w:left="708"/>
        <w:jc w:val="both"/>
        <w:rPr>
          <w:rFonts w:ascii="Arial" w:hAnsi="Arial" w:cs="Arial"/>
          <w:b/>
          <w:sz w:val="24"/>
        </w:rPr>
      </w:pPr>
      <w:r w:rsidRPr="00E44041">
        <w:rPr>
          <w:rFonts w:ascii="Arial" w:hAnsi="Arial" w:cs="Arial"/>
          <w:b/>
          <w:sz w:val="24"/>
        </w:rPr>
        <w:t xml:space="preserve"> </w:t>
      </w:r>
    </w:p>
    <w:p w:rsidR="005964E0" w:rsidRPr="00B4584B" w:rsidRDefault="005964E0" w:rsidP="005964E0">
      <w:pPr>
        <w:ind w:left="708"/>
        <w:jc w:val="both"/>
        <w:rPr>
          <w:rFonts w:ascii="Arial" w:hAnsi="Arial" w:cs="Arial"/>
          <w:b/>
          <w:bCs/>
          <w:sz w:val="24"/>
        </w:rPr>
      </w:pPr>
    </w:p>
    <w:sectPr w:rsidR="005964E0" w:rsidRPr="00B4584B" w:rsidSect="006376E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7" w:bottom="1418" w:left="1417" w:header="708" w:footer="24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F88" w:rsidRDefault="00FF7F88" w:rsidP="00AC0C90">
      <w:pPr>
        <w:spacing w:before="0" w:after="0"/>
      </w:pPr>
      <w:r>
        <w:separator/>
      </w:r>
    </w:p>
    <w:p w:rsidR="00FF7F88" w:rsidRDefault="00FF7F88"/>
    <w:p w:rsidR="00FF7F88" w:rsidRDefault="00FF7F88"/>
    <w:p w:rsidR="00FF7F88" w:rsidRDefault="00FF7F88"/>
  </w:endnote>
  <w:endnote w:type="continuationSeparator" w:id="0">
    <w:p w:rsidR="00FF7F88" w:rsidRDefault="00FF7F88" w:rsidP="00AC0C90">
      <w:pPr>
        <w:spacing w:before="0" w:after="0"/>
      </w:pPr>
      <w:r>
        <w:continuationSeparator/>
      </w:r>
    </w:p>
    <w:p w:rsidR="00FF7F88" w:rsidRDefault="00FF7F88"/>
    <w:p w:rsidR="00FF7F88" w:rsidRDefault="00FF7F88"/>
    <w:p w:rsidR="00FF7F88" w:rsidRDefault="00FF7F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B8A" w:rsidRDefault="00683B8A">
    <w:pPr>
      <w:pStyle w:val="Zpat"/>
    </w:pPr>
  </w:p>
  <w:p w:rsidR="007C6DAA" w:rsidRDefault="007C6DAA"/>
  <w:p w:rsidR="007C6DAA" w:rsidRDefault="007C6DA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8CA" w:rsidRPr="00BC18CA" w:rsidRDefault="00A90C44" w:rsidP="002E0BAE">
    <w:pPr>
      <w:pStyle w:val="Zpat"/>
      <w:pBdr>
        <w:top w:val="single" w:sz="4" w:space="1" w:color="auto"/>
      </w:pBdr>
    </w:pPr>
    <w:r>
      <w:rPr>
        <w:i/>
        <w:szCs w:val="20"/>
      </w:rPr>
      <w:t xml:space="preserve">Zastupitelstvo </w:t>
    </w:r>
    <w:r w:rsidR="00BC18CA">
      <w:rPr>
        <w:i/>
        <w:szCs w:val="20"/>
      </w:rPr>
      <w:t xml:space="preserve">Olomouckého kraje </w:t>
    </w:r>
    <w:r>
      <w:rPr>
        <w:i/>
        <w:szCs w:val="20"/>
      </w:rPr>
      <w:t>2</w:t>
    </w:r>
    <w:r w:rsidR="00683B8A">
      <w:rPr>
        <w:i/>
        <w:szCs w:val="20"/>
      </w:rPr>
      <w:t xml:space="preserve">1. </w:t>
    </w:r>
    <w:r>
      <w:rPr>
        <w:i/>
        <w:szCs w:val="20"/>
      </w:rPr>
      <w:t>6</w:t>
    </w:r>
    <w:r w:rsidR="00683B8A">
      <w:rPr>
        <w:i/>
        <w:szCs w:val="20"/>
      </w:rPr>
      <w:t xml:space="preserve">. </w:t>
    </w:r>
    <w:proofErr w:type="gramStart"/>
    <w:r w:rsidR="0010179B">
      <w:rPr>
        <w:i/>
        <w:szCs w:val="20"/>
      </w:rPr>
      <w:t>2021</w:t>
    </w:r>
    <w:r w:rsidR="00AC3104">
      <w:rPr>
        <w:i/>
        <w:szCs w:val="20"/>
      </w:rPr>
      <w:t xml:space="preserve">                                                                     </w:t>
    </w:r>
    <w:r w:rsidR="00B4436F">
      <w:rPr>
        <w:i/>
        <w:szCs w:val="20"/>
      </w:rPr>
      <w:t xml:space="preserve">                       </w:t>
    </w:r>
    <w:r w:rsidR="00AC3104">
      <w:rPr>
        <w:i/>
        <w:szCs w:val="20"/>
      </w:rPr>
      <w:t xml:space="preserve"> </w:t>
    </w:r>
    <w:r w:rsidR="00BC18CA" w:rsidRPr="00BC18CA">
      <w:rPr>
        <w:i/>
        <w:szCs w:val="20"/>
      </w:rPr>
      <w:t>Strana</w:t>
    </w:r>
    <w:proofErr w:type="gramEnd"/>
    <w:r w:rsidR="00BC18CA" w:rsidRPr="00BC18CA">
      <w:rPr>
        <w:i/>
        <w:szCs w:val="20"/>
      </w:rPr>
      <w:t xml:space="preserve"> </w:t>
    </w:r>
    <w:sdt>
      <w:sdtPr>
        <w:rPr>
          <w:i/>
        </w:rPr>
        <w:id w:val="1438256285"/>
        <w:docPartObj>
          <w:docPartGallery w:val="Page Numbers (Bottom of Page)"/>
          <w:docPartUnique/>
        </w:docPartObj>
      </w:sdtPr>
      <w:sdtEndPr/>
      <w:sdtContent>
        <w:r w:rsidR="00BC18CA" w:rsidRPr="00BC18CA">
          <w:rPr>
            <w:i/>
          </w:rPr>
          <w:fldChar w:fldCharType="begin"/>
        </w:r>
        <w:r w:rsidR="00BC18CA" w:rsidRPr="00BC18CA">
          <w:rPr>
            <w:i/>
          </w:rPr>
          <w:instrText>PAGE   \* MERGEFORMAT</w:instrText>
        </w:r>
        <w:r w:rsidR="00BC18CA" w:rsidRPr="00BC18CA">
          <w:rPr>
            <w:i/>
          </w:rPr>
          <w:fldChar w:fldCharType="separate"/>
        </w:r>
        <w:r w:rsidR="00A11607">
          <w:rPr>
            <w:i/>
            <w:noProof/>
          </w:rPr>
          <w:t>2</w:t>
        </w:r>
        <w:r w:rsidR="00BC18CA" w:rsidRPr="00BC18CA">
          <w:rPr>
            <w:i/>
          </w:rPr>
          <w:fldChar w:fldCharType="end"/>
        </w:r>
        <w:r w:rsidR="00BC18CA">
          <w:rPr>
            <w:i/>
          </w:rPr>
          <w:t xml:space="preserve"> </w:t>
        </w:r>
      </w:sdtContent>
    </w:sdt>
    <w:r w:rsidR="00BC18CA">
      <w:rPr>
        <w:i/>
        <w:szCs w:val="20"/>
      </w:rPr>
      <w:t>(celkem</w:t>
    </w:r>
    <w:r w:rsidR="0037577F">
      <w:rPr>
        <w:i/>
        <w:szCs w:val="20"/>
      </w:rPr>
      <w:t xml:space="preserve"> 3</w:t>
    </w:r>
    <w:r w:rsidR="00BC18CA">
      <w:rPr>
        <w:i/>
        <w:szCs w:val="20"/>
      </w:rPr>
      <w:t>)</w:t>
    </w:r>
  </w:p>
  <w:p w:rsidR="0003397A" w:rsidRDefault="00AF0037" w:rsidP="0003397A">
    <w:pPr>
      <w:spacing w:before="120"/>
      <w:jc w:val="both"/>
      <w:rPr>
        <w:rFonts w:ascii="Arial" w:hAnsi="Arial" w:cs="Arial"/>
        <w:b/>
        <w:bCs/>
        <w:color w:val="FF0000"/>
        <w:szCs w:val="22"/>
      </w:rPr>
    </w:pPr>
    <w:r>
      <w:rPr>
        <w:i/>
        <w:szCs w:val="20"/>
      </w:rPr>
      <w:t>41</w:t>
    </w:r>
    <w:r w:rsidR="00BC18CA">
      <w:rPr>
        <w:i/>
        <w:szCs w:val="20"/>
      </w:rPr>
      <w:t>. –</w:t>
    </w:r>
    <w:r w:rsidR="00B93795">
      <w:rPr>
        <w:i/>
        <w:szCs w:val="20"/>
      </w:rPr>
      <w:t xml:space="preserve"> </w:t>
    </w:r>
    <w:r w:rsidR="0003397A" w:rsidRPr="0003397A">
      <w:rPr>
        <w:i/>
        <w:szCs w:val="20"/>
      </w:rPr>
      <w:t>Rozhodnutí o dalším postupu ve věci Zásad územního rozvoje Olomouckého kraje po zrušení jejich části soudem</w:t>
    </w:r>
  </w:p>
  <w:p w:rsidR="00BC18CA" w:rsidRDefault="00BC18CA" w:rsidP="007C40D3">
    <w:pPr>
      <w:pStyle w:val="Zpat"/>
      <w:jc w:val="both"/>
      <w:rPr>
        <w:i/>
        <w:szCs w:val="20"/>
      </w:rPr>
    </w:pPr>
  </w:p>
  <w:p w:rsidR="00BC18CA" w:rsidRDefault="00BC18CA" w:rsidP="00BC18CA">
    <w:pPr>
      <w:pStyle w:val="Zpat"/>
    </w:pPr>
  </w:p>
  <w:p w:rsidR="00BC18CA" w:rsidRPr="0020175E" w:rsidRDefault="00BC18CA" w:rsidP="00BC18CA">
    <w:pPr>
      <w:pStyle w:val="Zpat"/>
    </w:pPr>
  </w:p>
  <w:p w:rsidR="00AC0C90" w:rsidRPr="0020175E" w:rsidRDefault="00AC0C90" w:rsidP="0020175E">
    <w:pPr>
      <w:pStyle w:val="Zpat"/>
    </w:pPr>
  </w:p>
  <w:p w:rsidR="007C6DAA" w:rsidRDefault="007C6DAA"/>
  <w:p w:rsidR="007C6DAA" w:rsidRDefault="007C6DAA"/>
  <w:p w:rsidR="007C6DAA" w:rsidRDefault="007C6D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F88" w:rsidRDefault="00FF7F88" w:rsidP="00AC0C90">
      <w:pPr>
        <w:spacing w:before="0" w:after="0"/>
      </w:pPr>
      <w:r>
        <w:separator/>
      </w:r>
    </w:p>
    <w:p w:rsidR="00FF7F88" w:rsidRDefault="00FF7F88"/>
    <w:p w:rsidR="00FF7F88" w:rsidRDefault="00FF7F88"/>
    <w:p w:rsidR="00FF7F88" w:rsidRDefault="00FF7F88"/>
  </w:footnote>
  <w:footnote w:type="continuationSeparator" w:id="0">
    <w:p w:rsidR="00FF7F88" w:rsidRDefault="00FF7F88" w:rsidP="00AC0C90">
      <w:pPr>
        <w:spacing w:before="0" w:after="0"/>
      </w:pPr>
      <w:r>
        <w:continuationSeparator/>
      </w:r>
    </w:p>
    <w:p w:rsidR="00FF7F88" w:rsidRDefault="00FF7F88"/>
    <w:p w:rsidR="00FF7F88" w:rsidRDefault="00FF7F88"/>
    <w:p w:rsidR="00FF7F88" w:rsidRDefault="00FF7F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B8A" w:rsidRDefault="00683B8A">
    <w:pPr>
      <w:pStyle w:val="Zhlav"/>
    </w:pPr>
  </w:p>
  <w:p w:rsidR="007C6DAA" w:rsidRDefault="007C6DAA"/>
  <w:p w:rsidR="007C6DAA" w:rsidRDefault="007C6D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B8A" w:rsidRDefault="00683B8A">
    <w:pPr>
      <w:pStyle w:val="Zhlav"/>
    </w:pPr>
  </w:p>
  <w:p w:rsidR="007C6DAA" w:rsidRDefault="007C6DAA"/>
  <w:p w:rsidR="007C6DAA" w:rsidRDefault="007C6D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1F1"/>
    <w:multiLevelType w:val="hybridMultilevel"/>
    <w:tmpl w:val="1DDCEB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124BD"/>
    <w:multiLevelType w:val="hybridMultilevel"/>
    <w:tmpl w:val="BE4031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F74F4"/>
    <w:multiLevelType w:val="hybridMultilevel"/>
    <w:tmpl w:val="22CE8FA4"/>
    <w:lvl w:ilvl="0" w:tplc="0DEA3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224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B09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682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544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F02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424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E89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828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98C3C90"/>
    <w:multiLevelType w:val="hybridMultilevel"/>
    <w:tmpl w:val="42761960"/>
    <w:lvl w:ilvl="0" w:tplc="C12E8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382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E8D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BE3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23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F43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F83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52C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FC6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2386ED7"/>
    <w:multiLevelType w:val="hybridMultilevel"/>
    <w:tmpl w:val="8242A15A"/>
    <w:lvl w:ilvl="0" w:tplc="7FC2C4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B2D07"/>
    <w:multiLevelType w:val="hybridMultilevel"/>
    <w:tmpl w:val="C1C070EA"/>
    <w:lvl w:ilvl="0" w:tplc="C3EA655A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F549B8"/>
    <w:multiLevelType w:val="hybridMultilevel"/>
    <w:tmpl w:val="A4C0D014"/>
    <w:lvl w:ilvl="0" w:tplc="97703F58">
      <w:start w:val="1"/>
      <w:numFmt w:val="lowerLetter"/>
      <w:lvlText w:val="%1)"/>
      <w:lvlJc w:val="left"/>
      <w:pPr>
        <w:ind w:left="1416" w:hanging="6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1C316E"/>
    <w:multiLevelType w:val="hybridMultilevel"/>
    <w:tmpl w:val="92E61DF2"/>
    <w:lvl w:ilvl="0" w:tplc="ED42A3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4298B"/>
    <w:multiLevelType w:val="hybridMultilevel"/>
    <w:tmpl w:val="1F9E38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7308A"/>
    <w:multiLevelType w:val="hybridMultilevel"/>
    <w:tmpl w:val="5FEC5ADC"/>
    <w:lvl w:ilvl="0" w:tplc="89E6D8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74159"/>
    <w:multiLevelType w:val="hybridMultilevel"/>
    <w:tmpl w:val="451CD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974BF"/>
    <w:multiLevelType w:val="hybridMultilevel"/>
    <w:tmpl w:val="03B6E038"/>
    <w:lvl w:ilvl="0" w:tplc="ECC851FE">
      <w:start w:val="3"/>
      <w:numFmt w:val="bullet"/>
      <w:lvlText w:val=""/>
      <w:lvlJc w:val="left"/>
      <w:pPr>
        <w:ind w:left="1429" w:hanging="360"/>
      </w:pPr>
      <w:rPr>
        <w:rFonts w:ascii="Wingdings" w:eastAsiaTheme="minorHAnsi" w:hAnsi="Wingdings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6AD4D86"/>
    <w:multiLevelType w:val="hybridMultilevel"/>
    <w:tmpl w:val="A4C0D014"/>
    <w:lvl w:ilvl="0" w:tplc="97703F58">
      <w:start w:val="1"/>
      <w:numFmt w:val="lowerLetter"/>
      <w:lvlText w:val="%1)"/>
      <w:lvlJc w:val="left"/>
      <w:pPr>
        <w:ind w:left="1416" w:hanging="6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446A57"/>
    <w:multiLevelType w:val="multilevel"/>
    <w:tmpl w:val="14E043F6"/>
    <w:lvl w:ilvl="0">
      <w:start w:val="1"/>
      <w:numFmt w:val="bullet"/>
      <w:pStyle w:val="TXT-odr-"/>
      <w:lvlText w:val="–"/>
      <w:lvlJc w:val="left"/>
      <w:pPr>
        <w:tabs>
          <w:tab w:val="num" w:pos="1561"/>
        </w:tabs>
        <w:ind w:left="1561" w:hanging="284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701"/>
        </w:tabs>
        <w:ind w:left="1701" w:hanging="283"/>
      </w:pPr>
      <w:rPr>
        <w:rFonts w:ascii="Courier New" w:hAnsi="Courier New" w:hint="default"/>
        <w:b w:val="0"/>
        <w:i w:val="0"/>
        <w:color w:val="auto"/>
        <w:sz w:val="24"/>
        <w:u w:val="none"/>
      </w:rPr>
    </w:lvl>
    <w:lvl w:ilvl="2">
      <w:start w:val="1"/>
      <w:numFmt w:val="bullet"/>
      <w:lvlText w:val="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  <w:color w:val="auto"/>
        <w:sz w:val="24"/>
      </w:rPr>
    </w:lvl>
    <w:lvl w:ilvl="3">
      <w:start w:val="1"/>
      <w:numFmt w:val="decimal"/>
      <w:suff w:val="space"/>
      <w:lvlText w:val="%2"/>
      <w:lvlJc w:val="left"/>
      <w:pPr>
        <w:ind w:left="2323" w:hanging="73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13"/>
        </w:tabs>
        <w:ind w:left="2494" w:hanging="341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797"/>
        </w:tabs>
        <w:ind w:left="2777" w:hanging="34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029"/>
        </w:tabs>
        <w:ind w:left="3029" w:hanging="252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tabs>
          <w:tab w:val="num" w:pos="3389"/>
        </w:tabs>
        <w:ind w:left="33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49"/>
        </w:tabs>
        <w:ind w:left="3749" w:hanging="360"/>
      </w:pPr>
      <w:rPr>
        <w:rFonts w:hint="default"/>
      </w:rPr>
    </w:lvl>
  </w:abstractNum>
  <w:abstractNum w:abstractNumId="14" w15:restartNumberingAfterBreak="0">
    <w:nsid w:val="71C56F45"/>
    <w:multiLevelType w:val="hybridMultilevel"/>
    <w:tmpl w:val="C01455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1270C"/>
    <w:multiLevelType w:val="hybridMultilevel"/>
    <w:tmpl w:val="59382B8A"/>
    <w:lvl w:ilvl="0" w:tplc="C7DA8CB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A1C84"/>
    <w:multiLevelType w:val="multilevel"/>
    <w:tmpl w:val="26CE0E88"/>
    <w:styleLink w:val="odrky1"/>
    <w:lvl w:ilvl="0">
      <w:start w:val="1"/>
      <w:numFmt w:val="upperLetter"/>
      <w:lvlText w:val="%1."/>
      <w:lvlJc w:val="left"/>
      <w:pPr>
        <w:tabs>
          <w:tab w:val="num" w:pos="4537"/>
        </w:tabs>
        <w:ind w:left="4537" w:hanging="397"/>
      </w:pPr>
      <w:rPr>
        <w:rFonts w:ascii="Arial Narrow" w:hAnsi="Arial Narrow"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1361"/>
        </w:tabs>
        <w:ind w:left="1361" w:hanging="794"/>
      </w:pPr>
    </w:lvl>
    <w:lvl w:ilvl="2">
      <w:start w:val="1"/>
      <w:numFmt w:val="decimal"/>
      <w:pStyle w:val="StylNadpis3"/>
      <w:lvlText w:val="%2.%3."/>
      <w:lvlJc w:val="left"/>
      <w:pPr>
        <w:tabs>
          <w:tab w:val="num" w:pos="1334"/>
        </w:tabs>
        <w:ind w:left="1334" w:hanging="794"/>
      </w:pPr>
      <w:rPr>
        <w:rFonts w:ascii="Arial Narrow" w:hAnsi="Arial Narrow" w:hint="default"/>
        <w:b/>
        <w:i w:val="0"/>
        <w:sz w:val="20"/>
      </w:rPr>
    </w:lvl>
    <w:lvl w:ilvl="3">
      <w:start w:val="1"/>
      <w:numFmt w:val="decimal"/>
      <w:pStyle w:val="Nadpis4"/>
      <w:lvlText w:val="%2.%3.%4."/>
      <w:lvlJc w:val="left"/>
      <w:pPr>
        <w:tabs>
          <w:tab w:val="num" w:pos="1874"/>
        </w:tabs>
        <w:ind w:left="1874" w:hanging="79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7" w15:restartNumberingAfterBreak="0">
    <w:nsid w:val="7AAB4B5D"/>
    <w:multiLevelType w:val="hybridMultilevel"/>
    <w:tmpl w:val="D1B46140"/>
    <w:lvl w:ilvl="0" w:tplc="2A0EC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70B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6A5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02A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BC0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34E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AC4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9C9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4AD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3"/>
  </w:num>
  <w:num w:numId="6">
    <w:abstractNumId w:val="17"/>
  </w:num>
  <w:num w:numId="7">
    <w:abstractNumId w:val="2"/>
  </w:num>
  <w:num w:numId="8">
    <w:abstractNumId w:val="10"/>
  </w:num>
  <w:num w:numId="9">
    <w:abstractNumId w:val="14"/>
  </w:num>
  <w:num w:numId="10">
    <w:abstractNumId w:val="11"/>
  </w:num>
  <w:num w:numId="11">
    <w:abstractNumId w:val="6"/>
  </w:num>
  <w:num w:numId="12">
    <w:abstractNumId w:val="12"/>
  </w:num>
  <w:num w:numId="13">
    <w:abstractNumId w:val="5"/>
  </w:num>
  <w:num w:numId="14">
    <w:abstractNumId w:val="0"/>
  </w:num>
  <w:num w:numId="15">
    <w:abstractNumId w:val="1"/>
  </w:num>
  <w:num w:numId="16">
    <w:abstractNumId w:val="7"/>
  </w:num>
  <w:num w:numId="17">
    <w:abstractNumId w:val="4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8B"/>
    <w:rsid w:val="00002A56"/>
    <w:rsid w:val="000051AC"/>
    <w:rsid w:val="00014065"/>
    <w:rsid w:val="00021BCA"/>
    <w:rsid w:val="000251D3"/>
    <w:rsid w:val="00025F2F"/>
    <w:rsid w:val="0003397A"/>
    <w:rsid w:val="00033C34"/>
    <w:rsid w:val="000421B2"/>
    <w:rsid w:val="0004717A"/>
    <w:rsid w:val="00050102"/>
    <w:rsid w:val="00066137"/>
    <w:rsid w:val="000677B9"/>
    <w:rsid w:val="00074860"/>
    <w:rsid w:val="00087054"/>
    <w:rsid w:val="000879AB"/>
    <w:rsid w:val="00090469"/>
    <w:rsid w:val="00093061"/>
    <w:rsid w:val="000937E5"/>
    <w:rsid w:val="000953F6"/>
    <w:rsid w:val="000C059D"/>
    <w:rsid w:val="000D3F92"/>
    <w:rsid w:val="000D5DD6"/>
    <w:rsid w:val="000E1521"/>
    <w:rsid w:val="000F0EE3"/>
    <w:rsid w:val="000F315E"/>
    <w:rsid w:val="0010179B"/>
    <w:rsid w:val="00105318"/>
    <w:rsid w:val="00112762"/>
    <w:rsid w:val="001132D8"/>
    <w:rsid w:val="0011413A"/>
    <w:rsid w:val="0012356D"/>
    <w:rsid w:val="00124A05"/>
    <w:rsid w:val="00124B3B"/>
    <w:rsid w:val="001310CE"/>
    <w:rsid w:val="001426FA"/>
    <w:rsid w:val="0014286E"/>
    <w:rsid w:val="00146B36"/>
    <w:rsid w:val="001473DE"/>
    <w:rsid w:val="00155576"/>
    <w:rsid w:val="00164545"/>
    <w:rsid w:val="00165023"/>
    <w:rsid w:val="001712BD"/>
    <w:rsid w:val="0019714E"/>
    <w:rsid w:val="001C5BFE"/>
    <w:rsid w:val="001D0370"/>
    <w:rsid w:val="001E088E"/>
    <w:rsid w:val="001E157F"/>
    <w:rsid w:val="001E3C44"/>
    <w:rsid w:val="0020175E"/>
    <w:rsid w:val="002037F5"/>
    <w:rsid w:val="00225C13"/>
    <w:rsid w:val="0024006B"/>
    <w:rsid w:val="00241313"/>
    <w:rsid w:val="002427BC"/>
    <w:rsid w:val="0024714F"/>
    <w:rsid w:val="00267EDE"/>
    <w:rsid w:val="00273211"/>
    <w:rsid w:val="00273D64"/>
    <w:rsid w:val="002753FE"/>
    <w:rsid w:val="00275A07"/>
    <w:rsid w:val="002761F3"/>
    <w:rsid w:val="00277D57"/>
    <w:rsid w:val="00283643"/>
    <w:rsid w:val="00284E0D"/>
    <w:rsid w:val="00287E4B"/>
    <w:rsid w:val="00294D2E"/>
    <w:rsid w:val="0029600A"/>
    <w:rsid w:val="002A759A"/>
    <w:rsid w:val="002B2DDD"/>
    <w:rsid w:val="002B3161"/>
    <w:rsid w:val="002B4255"/>
    <w:rsid w:val="002C7BDC"/>
    <w:rsid w:val="002D5565"/>
    <w:rsid w:val="002E03A8"/>
    <w:rsid w:val="002E0BAE"/>
    <w:rsid w:val="002F0567"/>
    <w:rsid w:val="002F1EC3"/>
    <w:rsid w:val="002F4243"/>
    <w:rsid w:val="002F49C1"/>
    <w:rsid w:val="002F66E3"/>
    <w:rsid w:val="003075E5"/>
    <w:rsid w:val="00307E73"/>
    <w:rsid w:val="00312662"/>
    <w:rsid w:val="0031352B"/>
    <w:rsid w:val="00333DAA"/>
    <w:rsid w:val="003452ED"/>
    <w:rsid w:val="003465CF"/>
    <w:rsid w:val="00354A41"/>
    <w:rsid w:val="00355F45"/>
    <w:rsid w:val="00361439"/>
    <w:rsid w:val="003661E2"/>
    <w:rsid w:val="003715B2"/>
    <w:rsid w:val="00374473"/>
    <w:rsid w:val="0037577F"/>
    <w:rsid w:val="003A14FA"/>
    <w:rsid w:val="003A175E"/>
    <w:rsid w:val="003A627F"/>
    <w:rsid w:val="003C36A2"/>
    <w:rsid w:val="003D1217"/>
    <w:rsid w:val="003E1B76"/>
    <w:rsid w:val="003E6C00"/>
    <w:rsid w:val="0040238D"/>
    <w:rsid w:val="004261A1"/>
    <w:rsid w:val="00431830"/>
    <w:rsid w:val="00432C81"/>
    <w:rsid w:val="004473B7"/>
    <w:rsid w:val="00454EC0"/>
    <w:rsid w:val="00455565"/>
    <w:rsid w:val="00456378"/>
    <w:rsid w:val="00472E00"/>
    <w:rsid w:val="00473A26"/>
    <w:rsid w:val="0047796A"/>
    <w:rsid w:val="00477D58"/>
    <w:rsid w:val="004822DA"/>
    <w:rsid w:val="00482AF3"/>
    <w:rsid w:val="00485883"/>
    <w:rsid w:val="00490E06"/>
    <w:rsid w:val="004932C2"/>
    <w:rsid w:val="004A0409"/>
    <w:rsid w:val="004A5E89"/>
    <w:rsid w:val="004A6A7D"/>
    <w:rsid w:val="004B1A05"/>
    <w:rsid w:val="004B3C47"/>
    <w:rsid w:val="004C6112"/>
    <w:rsid w:val="004D06E4"/>
    <w:rsid w:val="004D12CF"/>
    <w:rsid w:val="004D1676"/>
    <w:rsid w:val="004F0DDC"/>
    <w:rsid w:val="004F15EE"/>
    <w:rsid w:val="004F267D"/>
    <w:rsid w:val="004F702B"/>
    <w:rsid w:val="00501E3B"/>
    <w:rsid w:val="00513A64"/>
    <w:rsid w:val="00522BF5"/>
    <w:rsid w:val="0054094D"/>
    <w:rsid w:val="0054166E"/>
    <w:rsid w:val="0055142D"/>
    <w:rsid w:val="00552FBE"/>
    <w:rsid w:val="00553F2E"/>
    <w:rsid w:val="00561484"/>
    <w:rsid w:val="00564027"/>
    <w:rsid w:val="005716F1"/>
    <w:rsid w:val="00576F33"/>
    <w:rsid w:val="0058213B"/>
    <w:rsid w:val="005828D2"/>
    <w:rsid w:val="00583CF9"/>
    <w:rsid w:val="00586082"/>
    <w:rsid w:val="00595918"/>
    <w:rsid w:val="005964E0"/>
    <w:rsid w:val="00596698"/>
    <w:rsid w:val="005A115C"/>
    <w:rsid w:val="005B106B"/>
    <w:rsid w:val="005B4B37"/>
    <w:rsid w:val="005B60E7"/>
    <w:rsid w:val="005C39DA"/>
    <w:rsid w:val="005C474D"/>
    <w:rsid w:val="005D1547"/>
    <w:rsid w:val="00614891"/>
    <w:rsid w:val="006216E6"/>
    <w:rsid w:val="00635B2E"/>
    <w:rsid w:val="006376E1"/>
    <w:rsid w:val="006418AE"/>
    <w:rsid w:val="00646BCE"/>
    <w:rsid w:val="006523A9"/>
    <w:rsid w:val="0065760B"/>
    <w:rsid w:val="006630C3"/>
    <w:rsid w:val="00666400"/>
    <w:rsid w:val="00672F3B"/>
    <w:rsid w:val="00674E14"/>
    <w:rsid w:val="00680113"/>
    <w:rsid w:val="0068302B"/>
    <w:rsid w:val="006834F7"/>
    <w:rsid w:val="00683B8A"/>
    <w:rsid w:val="006A06A5"/>
    <w:rsid w:val="006A1BAD"/>
    <w:rsid w:val="006A58BF"/>
    <w:rsid w:val="006A662D"/>
    <w:rsid w:val="006B5304"/>
    <w:rsid w:val="006C7FEE"/>
    <w:rsid w:val="006D0026"/>
    <w:rsid w:val="006D4639"/>
    <w:rsid w:val="006D6D3A"/>
    <w:rsid w:val="006E05BE"/>
    <w:rsid w:val="006E26DA"/>
    <w:rsid w:val="006E6B07"/>
    <w:rsid w:val="006F0C4A"/>
    <w:rsid w:val="007009A2"/>
    <w:rsid w:val="00701F86"/>
    <w:rsid w:val="0070449B"/>
    <w:rsid w:val="00713B41"/>
    <w:rsid w:val="007164D7"/>
    <w:rsid w:val="0072277F"/>
    <w:rsid w:val="0072338A"/>
    <w:rsid w:val="00725195"/>
    <w:rsid w:val="007454FD"/>
    <w:rsid w:val="00745609"/>
    <w:rsid w:val="00752C82"/>
    <w:rsid w:val="00754356"/>
    <w:rsid w:val="00757910"/>
    <w:rsid w:val="007802EF"/>
    <w:rsid w:val="007835FE"/>
    <w:rsid w:val="00796F8B"/>
    <w:rsid w:val="007A061D"/>
    <w:rsid w:val="007A1AC1"/>
    <w:rsid w:val="007A383E"/>
    <w:rsid w:val="007A5E40"/>
    <w:rsid w:val="007B3451"/>
    <w:rsid w:val="007B6289"/>
    <w:rsid w:val="007B635F"/>
    <w:rsid w:val="007C40D3"/>
    <w:rsid w:val="007C53A8"/>
    <w:rsid w:val="007C6DAA"/>
    <w:rsid w:val="007D1571"/>
    <w:rsid w:val="007E0637"/>
    <w:rsid w:val="007E5132"/>
    <w:rsid w:val="007E636F"/>
    <w:rsid w:val="00800F00"/>
    <w:rsid w:val="00804F9B"/>
    <w:rsid w:val="0080706F"/>
    <w:rsid w:val="00810D9C"/>
    <w:rsid w:val="00850806"/>
    <w:rsid w:val="0085139B"/>
    <w:rsid w:val="0086513E"/>
    <w:rsid w:val="00866A01"/>
    <w:rsid w:val="00882E5C"/>
    <w:rsid w:val="00884880"/>
    <w:rsid w:val="00885306"/>
    <w:rsid w:val="00885453"/>
    <w:rsid w:val="008A67CC"/>
    <w:rsid w:val="008B1242"/>
    <w:rsid w:val="008B4808"/>
    <w:rsid w:val="008B50DA"/>
    <w:rsid w:val="008B532D"/>
    <w:rsid w:val="008B6733"/>
    <w:rsid w:val="008C1B8C"/>
    <w:rsid w:val="008D3230"/>
    <w:rsid w:val="008D3937"/>
    <w:rsid w:val="008D78C0"/>
    <w:rsid w:val="008E3FD9"/>
    <w:rsid w:val="008E4940"/>
    <w:rsid w:val="008E6DDB"/>
    <w:rsid w:val="008E730B"/>
    <w:rsid w:val="008F3229"/>
    <w:rsid w:val="00906978"/>
    <w:rsid w:val="0091268D"/>
    <w:rsid w:val="00934ABA"/>
    <w:rsid w:val="00941704"/>
    <w:rsid w:val="0094232A"/>
    <w:rsid w:val="0095233E"/>
    <w:rsid w:val="0096320D"/>
    <w:rsid w:val="00965FDE"/>
    <w:rsid w:val="009824D9"/>
    <w:rsid w:val="0099519E"/>
    <w:rsid w:val="00997654"/>
    <w:rsid w:val="009A3C6D"/>
    <w:rsid w:val="009B01C3"/>
    <w:rsid w:val="009C1FFA"/>
    <w:rsid w:val="009C263F"/>
    <w:rsid w:val="009D1AD0"/>
    <w:rsid w:val="009D2C88"/>
    <w:rsid w:val="009D3F46"/>
    <w:rsid w:val="009D45F5"/>
    <w:rsid w:val="00A03529"/>
    <w:rsid w:val="00A04BB1"/>
    <w:rsid w:val="00A109EB"/>
    <w:rsid w:val="00A11607"/>
    <w:rsid w:val="00A12C8C"/>
    <w:rsid w:val="00A14918"/>
    <w:rsid w:val="00A3452C"/>
    <w:rsid w:val="00A37586"/>
    <w:rsid w:val="00A43973"/>
    <w:rsid w:val="00A439E4"/>
    <w:rsid w:val="00A44E22"/>
    <w:rsid w:val="00A47C57"/>
    <w:rsid w:val="00A47D2B"/>
    <w:rsid w:val="00A54CE9"/>
    <w:rsid w:val="00A62D2D"/>
    <w:rsid w:val="00A65F6D"/>
    <w:rsid w:val="00A722E7"/>
    <w:rsid w:val="00A774A0"/>
    <w:rsid w:val="00A810BD"/>
    <w:rsid w:val="00A85EB7"/>
    <w:rsid w:val="00A90C44"/>
    <w:rsid w:val="00AA2A2D"/>
    <w:rsid w:val="00AA42DD"/>
    <w:rsid w:val="00AB44FF"/>
    <w:rsid w:val="00AB5B9E"/>
    <w:rsid w:val="00AC0C90"/>
    <w:rsid w:val="00AC0E72"/>
    <w:rsid w:val="00AC3104"/>
    <w:rsid w:val="00AC452F"/>
    <w:rsid w:val="00AD7BC6"/>
    <w:rsid w:val="00AE4A88"/>
    <w:rsid w:val="00AF0037"/>
    <w:rsid w:val="00AF5B21"/>
    <w:rsid w:val="00AF651D"/>
    <w:rsid w:val="00AF6B70"/>
    <w:rsid w:val="00AF7815"/>
    <w:rsid w:val="00B00BC0"/>
    <w:rsid w:val="00B06FFB"/>
    <w:rsid w:val="00B17A64"/>
    <w:rsid w:val="00B37817"/>
    <w:rsid w:val="00B42F57"/>
    <w:rsid w:val="00B4436F"/>
    <w:rsid w:val="00B44A36"/>
    <w:rsid w:val="00B4584B"/>
    <w:rsid w:val="00B50E32"/>
    <w:rsid w:val="00B73CEC"/>
    <w:rsid w:val="00B839FE"/>
    <w:rsid w:val="00B90FA4"/>
    <w:rsid w:val="00B93795"/>
    <w:rsid w:val="00BA0F6D"/>
    <w:rsid w:val="00BA2322"/>
    <w:rsid w:val="00BB19B7"/>
    <w:rsid w:val="00BB1EFF"/>
    <w:rsid w:val="00BC0C3E"/>
    <w:rsid w:val="00BC18CA"/>
    <w:rsid w:val="00BC4744"/>
    <w:rsid w:val="00BC6A80"/>
    <w:rsid w:val="00BD6DE6"/>
    <w:rsid w:val="00BD76C4"/>
    <w:rsid w:val="00BD78AB"/>
    <w:rsid w:val="00BE395E"/>
    <w:rsid w:val="00C02A45"/>
    <w:rsid w:val="00C0306F"/>
    <w:rsid w:val="00C10ADE"/>
    <w:rsid w:val="00C16A98"/>
    <w:rsid w:val="00C207DC"/>
    <w:rsid w:val="00C3502C"/>
    <w:rsid w:val="00C43156"/>
    <w:rsid w:val="00C4353C"/>
    <w:rsid w:val="00C461FC"/>
    <w:rsid w:val="00C509C3"/>
    <w:rsid w:val="00C6123F"/>
    <w:rsid w:val="00C717E6"/>
    <w:rsid w:val="00C724E6"/>
    <w:rsid w:val="00C72B7F"/>
    <w:rsid w:val="00C86CFD"/>
    <w:rsid w:val="00C9743E"/>
    <w:rsid w:val="00CA046B"/>
    <w:rsid w:val="00CA1760"/>
    <w:rsid w:val="00CA3A6D"/>
    <w:rsid w:val="00CB055B"/>
    <w:rsid w:val="00CC5507"/>
    <w:rsid w:val="00CC7A4C"/>
    <w:rsid w:val="00CD2840"/>
    <w:rsid w:val="00CD2F5A"/>
    <w:rsid w:val="00CD3FD7"/>
    <w:rsid w:val="00CD41FD"/>
    <w:rsid w:val="00CE0934"/>
    <w:rsid w:val="00CE1723"/>
    <w:rsid w:val="00CE1E05"/>
    <w:rsid w:val="00CF3BE0"/>
    <w:rsid w:val="00D05A8E"/>
    <w:rsid w:val="00D0620C"/>
    <w:rsid w:val="00D21BBB"/>
    <w:rsid w:val="00D22E98"/>
    <w:rsid w:val="00D257A9"/>
    <w:rsid w:val="00D268CF"/>
    <w:rsid w:val="00D3251B"/>
    <w:rsid w:val="00D33AE4"/>
    <w:rsid w:val="00D41A60"/>
    <w:rsid w:val="00D462DB"/>
    <w:rsid w:val="00D47C06"/>
    <w:rsid w:val="00D73382"/>
    <w:rsid w:val="00D8480D"/>
    <w:rsid w:val="00D86C24"/>
    <w:rsid w:val="00DA35AE"/>
    <w:rsid w:val="00DA52E0"/>
    <w:rsid w:val="00DA7792"/>
    <w:rsid w:val="00DA77C3"/>
    <w:rsid w:val="00DC7139"/>
    <w:rsid w:val="00DD25AE"/>
    <w:rsid w:val="00DE08D2"/>
    <w:rsid w:val="00DF26DD"/>
    <w:rsid w:val="00DF7491"/>
    <w:rsid w:val="00E0249E"/>
    <w:rsid w:val="00E03208"/>
    <w:rsid w:val="00E05414"/>
    <w:rsid w:val="00E10B63"/>
    <w:rsid w:val="00E12BFA"/>
    <w:rsid w:val="00E1574E"/>
    <w:rsid w:val="00E27D21"/>
    <w:rsid w:val="00E370CE"/>
    <w:rsid w:val="00E37522"/>
    <w:rsid w:val="00E44041"/>
    <w:rsid w:val="00E45D16"/>
    <w:rsid w:val="00E46465"/>
    <w:rsid w:val="00E64F86"/>
    <w:rsid w:val="00E65342"/>
    <w:rsid w:val="00E66098"/>
    <w:rsid w:val="00E73B5F"/>
    <w:rsid w:val="00E75C68"/>
    <w:rsid w:val="00E76BDC"/>
    <w:rsid w:val="00E8155C"/>
    <w:rsid w:val="00E840FF"/>
    <w:rsid w:val="00E95B5E"/>
    <w:rsid w:val="00E97AAC"/>
    <w:rsid w:val="00EA289D"/>
    <w:rsid w:val="00EA3FD3"/>
    <w:rsid w:val="00EB3654"/>
    <w:rsid w:val="00EC10FF"/>
    <w:rsid w:val="00ED2885"/>
    <w:rsid w:val="00ED470D"/>
    <w:rsid w:val="00ED52A4"/>
    <w:rsid w:val="00EE2900"/>
    <w:rsid w:val="00EE5CCF"/>
    <w:rsid w:val="00EF036B"/>
    <w:rsid w:val="00EF36B2"/>
    <w:rsid w:val="00EF69CA"/>
    <w:rsid w:val="00EF7896"/>
    <w:rsid w:val="00F002DF"/>
    <w:rsid w:val="00F01D36"/>
    <w:rsid w:val="00F151AA"/>
    <w:rsid w:val="00F2795E"/>
    <w:rsid w:val="00F30001"/>
    <w:rsid w:val="00F30850"/>
    <w:rsid w:val="00F331AD"/>
    <w:rsid w:val="00F364DE"/>
    <w:rsid w:val="00F403C5"/>
    <w:rsid w:val="00F41B5E"/>
    <w:rsid w:val="00F5189E"/>
    <w:rsid w:val="00F6378E"/>
    <w:rsid w:val="00F71F8D"/>
    <w:rsid w:val="00F73CD2"/>
    <w:rsid w:val="00F778CB"/>
    <w:rsid w:val="00F80B2C"/>
    <w:rsid w:val="00F816A2"/>
    <w:rsid w:val="00F83C2C"/>
    <w:rsid w:val="00F85A40"/>
    <w:rsid w:val="00FA0A8C"/>
    <w:rsid w:val="00FA276C"/>
    <w:rsid w:val="00FA3F46"/>
    <w:rsid w:val="00FB382B"/>
    <w:rsid w:val="00FB57C8"/>
    <w:rsid w:val="00FC2B9F"/>
    <w:rsid w:val="00FC3A91"/>
    <w:rsid w:val="00FC3C5F"/>
    <w:rsid w:val="00FD409B"/>
    <w:rsid w:val="00FD4A49"/>
    <w:rsid w:val="00FD5023"/>
    <w:rsid w:val="00FE4719"/>
    <w:rsid w:val="00FE75F6"/>
    <w:rsid w:val="00FF5C71"/>
    <w:rsid w:val="00FF612A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5D9E7D"/>
  <w15:chartTrackingRefBased/>
  <w15:docId w15:val="{78E67AD9-8CB1-4799-AA19-E1AF3183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6F8B"/>
    <w:pPr>
      <w:spacing w:before="60" w:after="60" w:line="240" w:lineRule="auto"/>
    </w:pPr>
    <w:rPr>
      <w:rFonts w:ascii="Arial Narrow" w:eastAsia="Times New Roman" w:hAnsi="Arial Narrow" w:cs="Times New Roman"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96F8B"/>
    <w:pPr>
      <w:keepNext/>
      <w:keepLines/>
      <w:numPr>
        <w:ilvl w:val="1"/>
        <w:numId w:val="1"/>
      </w:numPr>
      <w:tabs>
        <w:tab w:val="left" w:pos="794"/>
      </w:tabs>
      <w:spacing w:before="480" w:after="240"/>
      <w:ind w:left="794"/>
      <w:outlineLvl w:val="1"/>
    </w:pPr>
    <w:rPr>
      <w:b/>
      <w:caps/>
      <w:sz w:val="22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6F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dpis4">
    <w:name w:val="heading 4"/>
    <w:next w:val="Normln"/>
    <w:link w:val="Nadpis4Char"/>
    <w:semiHidden/>
    <w:unhideWhenUsed/>
    <w:qFormat/>
    <w:rsid w:val="00796F8B"/>
    <w:pPr>
      <w:numPr>
        <w:ilvl w:val="3"/>
        <w:numId w:val="1"/>
      </w:numPr>
      <w:tabs>
        <w:tab w:val="left" w:pos="567"/>
        <w:tab w:val="left" w:pos="1134"/>
        <w:tab w:val="right" w:pos="9356"/>
      </w:tabs>
      <w:spacing w:before="240" w:after="60" w:line="240" w:lineRule="auto"/>
      <w:outlineLvl w:val="3"/>
    </w:pPr>
    <w:rPr>
      <w:rFonts w:ascii="Arial Narrow" w:eastAsia="Times New Roman" w:hAnsi="Arial Narrow" w:cs="Times New Roman"/>
      <w:bCs/>
      <w:sz w:val="20"/>
      <w:szCs w:val="24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96F8B"/>
    <w:pPr>
      <w:numPr>
        <w:ilvl w:val="6"/>
        <w:numId w:val="1"/>
      </w:numPr>
      <w:tabs>
        <w:tab w:val="left" w:pos="794"/>
      </w:tabs>
      <w:spacing w:before="240"/>
      <w:jc w:val="both"/>
      <w:outlineLvl w:val="6"/>
    </w:pPr>
  </w:style>
  <w:style w:type="paragraph" w:styleId="Nadpis8">
    <w:name w:val="heading 8"/>
    <w:basedOn w:val="Normln"/>
    <w:next w:val="Normln"/>
    <w:link w:val="Nadpis8Char"/>
    <w:semiHidden/>
    <w:unhideWhenUsed/>
    <w:qFormat/>
    <w:rsid w:val="00796F8B"/>
    <w:pPr>
      <w:numPr>
        <w:ilvl w:val="7"/>
        <w:numId w:val="1"/>
      </w:numPr>
      <w:tabs>
        <w:tab w:val="left" w:pos="794"/>
      </w:tabs>
      <w:spacing w:before="240"/>
      <w:jc w:val="both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96F8B"/>
    <w:pPr>
      <w:numPr>
        <w:ilvl w:val="8"/>
        <w:numId w:val="1"/>
      </w:numPr>
      <w:tabs>
        <w:tab w:val="left" w:pos="794"/>
      </w:tabs>
      <w:spacing w:before="24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796F8B"/>
    <w:rPr>
      <w:rFonts w:ascii="Arial Narrow" w:eastAsia="Times New Roman" w:hAnsi="Arial Narrow" w:cs="Times New Roman"/>
      <w:b/>
      <w:caps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96F8B"/>
    <w:rPr>
      <w:rFonts w:ascii="Arial Narrow" w:eastAsia="Times New Roman" w:hAnsi="Arial Narrow" w:cs="Times New Roman"/>
      <w:bCs/>
      <w:sz w:val="2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96F8B"/>
    <w:rPr>
      <w:rFonts w:ascii="Arial Narrow" w:eastAsia="Times New Roman" w:hAnsi="Arial Narrow" w:cs="Times New Roman"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96F8B"/>
    <w:rPr>
      <w:rFonts w:ascii="Arial Narrow" w:eastAsia="Times New Roman" w:hAnsi="Arial Narrow" w:cs="Times New Roman"/>
      <w:i/>
      <w:iCs/>
      <w:sz w:val="20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96F8B"/>
    <w:rPr>
      <w:rFonts w:ascii="Arial" w:eastAsia="Times New Roman" w:hAnsi="Arial" w:cs="Arial"/>
      <w:lang w:eastAsia="cs-CZ"/>
    </w:rPr>
  </w:style>
  <w:style w:type="paragraph" w:customStyle="1" w:styleId="StylNadpis3">
    <w:name w:val="Styl Nadpis 3"/>
    <w:aliases w:val="1.1. Nadpis UP + není Tučné"/>
    <w:basedOn w:val="Nadpis3"/>
    <w:rsid w:val="00796F8B"/>
    <w:pPr>
      <w:keepLines w:val="0"/>
      <w:numPr>
        <w:ilvl w:val="2"/>
        <w:numId w:val="1"/>
      </w:numPr>
      <w:tabs>
        <w:tab w:val="clear" w:pos="1334"/>
        <w:tab w:val="num" w:pos="360"/>
        <w:tab w:val="left" w:pos="567"/>
      </w:tabs>
      <w:spacing w:before="360" w:after="120"/>
      <w:ind w:left="0" w:firstLine="0"/>
    </w:pPr>
    <w:rPr>
      <w:rFonts w:ascii="Arial Narrow" w:eastAsia="Times New Roman" w:hAnsi="Arial Narrow" w:cs="Times New Roman"/>
      <w:b/>
      <w:bCs/>
      <w:color w:val="auto"/>
      <w:sz w:val="20"/>
      <w:szCs w:val="20"/>
    </w:rPr>
  </w:style>
  <w:style w:type="character" w:customStyle="1" w:styleId="StylNadpis2Za6bChar">
    <w:name w:val="Styl Nadpis 2 + Za:  6 b. Char"/>
    <w:link w:val="StylNadpis2Za6b"/>
    <w:locked/>
    <w:rsid w:val="00796F8B"/>
    <w:rPr>
      <w:rFonts w:ascii="Arial Narrow" w:hAnsi="Arial Narrow"/>
      <w:b/>
      <w:bCs/>
      <w:caps/>
    </w:rPr>
  </w:style>
  <w:style w:type="paragraph" w:customStyle="1" w:styleId="StylNadpis2Za6b">
    <w:name w:val="Styl Nadpis 2 + Za:  6 b."/>
    <w:basedOn w:val="Nadpis2"/>
    <w:link w:val="StylNadpis2Za6bChar"/>
    <w:rsid w:val="00796F8B"/>
    <w:pPr>
      <w:tabs>
        <w:tab w:val="clear" w:pos="794"/>
        <w:tab w:val="left" w:pos="567"/>
        <w:tab w:val="left" w:pos="1134"/>
      </w:tabs>
      <w:spacing w:after="120"/>
      <w:ind w:left="1361"/>
    </w:pPr>
    <w:rPr>
      <w:rFonts w:eastAsiaTheme="minorHAnsi" w:cstheme="minorBidi"/>
      <w:bCs/>
      <w:szCs w:val="22"/>
      <w:lang w:eastAsia="en-US"/>
    </w:rPr>
  </w:style>
  <w:style w:type="character" w:customStyle="1" w:styleId="Vlevo1cmCharChar">
    <w:name w:val="Vlevo: 1 cm Char Char"/>
    <w:link w:val="Vlevo1cm"/>
    <w:locked/>
    <w:rsid w:val="00796F8B"/>
    <w:rPr>
      <w:rFonts w:ascii="Arial Narrow" w:hAnsi="Arial Narrow"/>
    </w:rPr>
  </w:style>
  <w:style w:type="paragraph" w:customStyle="1" w:styleId="Vlevo1cm">
    <w:name w:val="Vlevo: 1 cm"/>
    <w:basedOn w:val="Normln"/>
    <w:link w:val="Vlevo1cmCharChar"/>
    <w:rsid w:val="00796F8B"/>
    <w:pPr>
      <w:spacing w:before="0" w:after="120"/>
      <w:ind w:left="567"/>
    </w:pPr>
    <w:rPr>
      <w:rFonts w:eastAsiaTheme="minorHAnsi" w:cstheme="minorBidi"/>
      <w:sz w:val="22"/>
      <w:szCs w:val="22"/>
      <w:lang w:eastAsia="en-US"/>
    </w:rPr>
  </w:style>
  <w:style w:type="numbering" w:customStyle="1" w:styleId="odrky1">
    <w:name w:val="odrážky 1"/>
    <w:aliases w:val="25"/>
    <w:rsid w:val="00796F8B"/>
    <w:pPr>
      <w:numPr>
        <w:numId w:val="1"/>
      </w:numPr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96F8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96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96A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aliases w:val=" Char Char Char Char, Char Char Char Char Char Char, Char Char Char Char Char Char Char Char Char Char, Char"/>
    <w:basedOn w:val="Normln"/>
    <w:link w:val="ZkladntextChar"/>
    <w:rsid w:val="006D0026"/>
    <w:pPr>
      <w:widowControl w:val="0"/>
      <w:spacing w:before="0" w:after="120"/>
      <w:jc w:val="both"/>
    </w:pPr>
    <w:rPr>
      <w:rFonts w:ascii="Arial" w:hAnsi="Arial"/>
      <w:bCs/>
      <w:sz w:val="24"/>
      <w:szCs w:val="20"/>
      <w:lang w:eastAsia="en-US"/>
    </w:rPr>
  </w:style>
  <w:style w:type="character" w:customStyle="1" w:styleId="ZkladntextChar">
    <w:name w:val="Základní text Char"/>
    <w:aliases w:val=" Char Char Char Char Char, Char Char Char Char Char Char Char, Char Char Char Char Char Char Char Char Char Char Char, Char Char"/>
    <w:basedOn w:val="Standardnpsmoodstavce"/>
    <w:link w:val="Zkladntext"/>
    <w:rsid w:val="006D0026"/>
    <w:rPr>
      <w:rFonts w:ascii="Arial" w:eastAsia="Times New Roman" w:hAnsi="Arial" w:cs="Times New Roman"/>
      <w:bCs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AC0C9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AC0C90"/>
    <w:rPr>
      <w:rFonts w:ascii="Arial Narrow" w:eastAsia="Times New Roman" w:hAnsi="Arial Narrow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0C9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AC0C90"/>
    <w:rPr>
      <w:rFonts w:ascii="Arial Narrow" w:eastAsia="Times New Roman" w:hAnsi="Arial Narrow" w:cs="Times New Roman"/>
      <w:sz w:val="20"/>
      <w:szCs w:val="24"/>
      <w:lang w:eastAsia="cs-CZ"/>
    </w:rPr>
  </w:style>
  <w:style w:type="paragraph" w:customStyle="1" w:styleId="Default">
    <w:name w:val="Default"/>
    <w:rsid w:val="00DF7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lok-aktzur">
    <w:name w:val="blok-akt zur"/>
    <w:basedOn w:val="Normln"/>
    <w:next w:val="Normln"/>
    <w:link w:val="blok-aktzurChar"/>
    <w:qFormat/>
    <w:rsid w:val="00D86C24"/>
    <w:pPr>
      <w:keepNext/>
      <w:spacing w:before="0" w:after="0" w:line="300" w:lineRule="exact"/>
      <w:jc w:val="both"/>
    </w:pPr>
    <w:rPr>
      <w:rFonts w:ascii="Arial" w:hAnsi="Arial" w:cs="Arial"/>
      <w:sz w:val="24"/>
    </w:rPr>
  </w:style>
  <w:style w:type="character" w:customStyle="1" w:styleId="blok-aktzurChar">
    <w:name w:val="blok-akt zur Char"/>
    <w:basedOn w:val="Standardnpsmoodstavce"/>
    <w:link w:val="blok-aktzur"/>
    <w:rsid w:val="00D86C2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XT-odr-">
    <w:name w:val="TXT-odr-"/>
    <w:basedOn w:val="Normln"/>
    <w:link w:val="TXT-odr-Char"/>
    <w:uiPriority w:val="99"/>
    <w:qFormat/>
    <w:rsid w:val="00D86C24"/>
    <w:pPr>
      <w:keepNext/>
      <w:numPr>
        <w:numId w:val="4"/>
      </w:numPr>
      <w:spacing w:before="0" w:after="0" w:line="300" w:lineRule="exact"/>
    </w:pPr>
    <w:rPr>
      <w:rFonts w:ascii="Arial" w:hAnsi="Arial" w:cs="Arial"/>
      <w:sz w:val="24"/>
    </w:rPr>
  </w:style>
  <w:style w:type="character" w:customStyle="1" w:styleId="TXT-odr-Char">
    <w:name w:val="TXT-odr- Char"/>
    <w:basedOn w:val="Standardnpsmoodstavce"/>
    <w:link w:val="TXT-odr-"/>
    <w:uiPriority w:val="99"/>
    <w:rsid w:val="00D86C24"/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6C24"/>
    <w:pPr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customStyle="1" w:styleId="TXT-blok">
    <w:name w:val="TXT-blok"/>
    <w:basedOn w:val="Normln"/>
    <w:link w:val="TXT-blokChar2"/>
    <w:qFormat/>
    <w:rsid w:val="00F6378E"/>
    <w:pPr>
      <w:keepNext/>
      <w:spacing w:before="0" w:after="0"/>
      <w:jc w:val="both"/>
    </w:pPr>
    <w:rPr>
      <w:rFonts w:ascii="Arial" w:hAnsi="Arial" w:cs="Arial"/>
      <w:sz w:val="24"/>
    </w:rPr>
  </w:style>
  <w:style w:type="character" w:styleId="Hypertextovodkaz">
    <w:name w:val="Hyperlink"/>
    <w:basedOn w:val="Standardnpsmoodstavce"/>
    <w:rsid w:val="00F6378E"/>
    <w:rPr>
      <w:color w:val="0000FF"/>
      <w:u w:val="single"/>
    </w:rPr>
  </w:style>
  <w:style w:type="character" w:customStyle="1" w:styleId="TXT-blokChar2">
    <w:name w:val="TXT-blok Char2"/>
    <w:basedOn w:val="Standardnpsmoodstavce"/>
    <w:link w:val="TXT-blok"/>
    <w:rsid w:val="00F6378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adpis-txt3">
    <w:name w:val="Nadpis-txt3"/>
    <w:basedOn w:val="Normln"/>
    <w:link w:val="Nadpis-txt3Char"/>
    <w:qFormat/>
    <w:rsid w:val="00552FBE"/>
    <w:pPr>
      <w:keepNext/>
      <w:pBdr>
        <w:bottom w:val="single" w:sz="4" w:space="1" w:color="auto"/>
      </w:pBdr>
      <w:adjustRightInd w:val="0"/>
      <w:spacing w:before="360" w:after="120"/>
      <w:ind w:firstLine="709"/>
      <w:jc w:val="both"/>
      <w:textAlignment w:val="baseline"/>
    </w:pPr>
    <w:rPr>
      <w:rFonts w:ascii="Arial" w:hAnsi="Arial" w:cs="Arial"/>
      <w:b/>
      <w:sz w:val="24"/>
      <w:szCs w:val="22"/>
      <w:lang w:eastAsia="en-US"/>
    </w:rPr>
  </w:style>
  <w:style w:type="character" w:customStyle="1" w:styleId="Nadpis-txt3Char">
    <w:name w:val="Nadpis-txt3 Char"/>
    <w:basedOn w:val="Standardnpsmoodstavce"/>
    <w:link w:val="Nadpis-txt3"/>
    <w:rsid w:val="00552FBE"/>
    <w:rPr>
      <w:rFonts w:ascii="Arial" w:eastAsia="Times New Roman" w:hAnsi="Arial" w:cs="Arial"/>
      <w:b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C5B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5BF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5BFE"/>
    <w:rPr>
      <w:rFonts w:ascii="Arial Narrow" w:eastAsia="Times New Roman" w:hAnsi="Arial Narrow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5B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5BFE"/>
    <w:rPr>
      <w:rFonts w:ascii="Arial Narrow" w:eastAsia="Times New Roman" w:hAnsi="Arial Narrow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6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4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1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35469-B7FA-404D-8722-0FCE1A29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933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Dudková Marta</dc:creator>
  <cp:keywords/>
  <dc:description/>
  <cp:lastModifiedBy>Hendrychová Irena</cp:lastModifiedBy>
  <cp:revision>3</cp:revision>
  <cp:lastPrinted>2019-01-21T07:16:00Z</cp:lastPrinted>
  <dcterms:created xsi:type="dcterms:W3CDTF">2021-06-02T07:23:00Z</dcterms:created>
  <dcterms:modified xsi:type="dcterms:W3CDTF">2021-06-02T07:38:00Z</dcterms:modified>
</cp:coreProperties>
</file>