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33452" w14:textId="77777777" w:rsidR="0014508E" w:rsidRDefault="005A11FA">
      <w:pPr>
        <w:rPr>
          <w:rFonts w:ascii="Arial" w:hAnsi="Arial" w:cs="Arial"/>
          <w:b/>
        </w:rPr>
      </w:pPr>
      <w:r w:rsidRPr="005A11FA">
        <w:rPr>
          <w:rFonts w:ascii="Arial" w:hAnsi="Arial" w:cs="Arial"/>
          <w:b/>
        </w:rPr>
        <w:t>Důvodová zpráva</w:t>
      </w:r>
    </w:p>
    <w:p w14:paraId="0B3B771F" w14:textId="41C7E0A5" w:rsidR="009B78A0" w:rsidRDefault="007830F3" w:rsidP="009B78A0">
      <w:pPr>
        <w:spacing w:before="120" w:after="120"/>
        <w:jc w:val="both"/>
        <w:rPr>
          <w:rFonts w:ascii="Arial" w:hAnsi="Arial" w:cs="Arial"/>
          <w:sz w:val="20"/>
          <w:szCs w:val="20"/>
        </w:rPr>
      </w:pPr>
      <w:r>
        <w:rPr>
          <w:rFonts w:ascii="Arial" w:hAnsi="Arial" w:cs="Arial"/>
          <w:b/>
        </w:rPr>
        <w:t>Zastupitelstvu Olomouckého kraje je</w:t>
      </w:r>
      <w:r w:rsidR="009B78A0" w:rsidRPr="00C12ADC">
        <w:rPr>
          <w:rFonts w:ascii="Arial" w:hAnsi="Arial" w:cs="Arial"/>
          <w:b/>
        </w:rPr>
        <w:t xml:space="preserve"> </w:t>
      </w:r>
      <w:r w:rsidR="009B78A0">
        <w:rPr>
          <w:rFonts w:ascii="Arial" w:hAnsi="Arial" w:cs="Arial"/>
          <w:b/>
        </w:rPr>
        <w:t>k</w:t>
      </w:r>
      <w:r>
        <w:rPr>
          <w:rFonts w:ascii="Arial" w:hAnsi="Arial" w:cs="Arial"/>
          <w:b/>
        </w:rPr>
        <w:t> </w:t>
      </w:r>
      <w:r w:rsidR="009B78A0">
        <w:rPr>
          <w:rFonts w:ascii="Arial" w:hAnsi="Arial" w:cs="Arial"/>
          <w:b/>
        </w:rPr>
        <w:t>od</w:t>
      </w:r>
      <w:r w:rsidR="009B78A0" w:rsidRPr="00454EA1">
        <w:rPr>
          <w:rFonts w:ascii="Arial" w:hAnsi="Arial" w:cs="Arial"/>
          <w:b/>
        </w:rPr>
        <w:t>souhlas</w:t>
      </w:r>
      <w:r w:rsidR="009B78A0">
        <w:rPr>
          <w:rFonts w:ascii="Arial" w:hAnsi="Arial" w:cs="Arial"/>
          <w:b/>
        </w:rPr>
        <w:t>ení</w:t>
      </w:r>
      <w:r>
        <w:rPr>
          <w:rFonts w:ascii="Arial" w:hAnsi="Arial" w:cs="Arial"/>
          <w:b/>
        </w:rPr>
        <w:t xml:space="preserve"> předkládán materiál podávající informace o</w:t>
      </w:r>
      <w:r w:rsidR="009B78A0" w:rsidRPr="00454EA1">
        <w:rPr>
          <w:rFonts w:ascii="Arial" w:hAnsi="Arial" w:cs="Arial"/>
          <w:b/>
        </w:rPr>
        <w:t xml:space="preserve"> realizac</w:t>
      </w:r>
      <w:r>
        <w:rPr>
          <w:rFonts w:ascii="Arial" w:hAnsi="Arial" w:cs="Arial"/>
          <w:b/>
        </w:rPr>
        <w:t>i</w:t>
      </w:r>
      <w:r w:rsidR="009B78A0" w:rsidRPr="00454EA1">
        <w:rPr>
          <w:rFonts w:ascii="Arial" w:hAnsi="Arial" w:cs="Arial"/>
          <w:b/>
        </w:rPr>
        <w:t xml:space="preserve"> a financování projektu Centrály cestovního ruchu Olomouckého kraje, s.r.o.</w:t>
      </w:r>
      <w:r w:rsidR="009B78A0">
        <w:rPr>
          <w:rFonts w:ascii="Arial" w:hAnsi="Arial" w:cs="Arial"/>
          <w:b/>
        </w:rPr>
        <w:t>, který je připravován</w:t>
      </w:r>
      <w:r w:rsidR="009B78A0" w:rsidRPr="00454EA1">
        <w:rPr>
          <w:rFonts w:ascii="Arial" w:hAnsi="Arial" w:cs="Arial"/>
          <w:b/>
        </w:rPr>
        <w:t xml:space="preserve"> do Národního programu podpory cestovního ruchu v regionech pro rok 2021</w:t>
      </w:r>
      <w:r w:rsidR="009271FA">
        <w:rPr>
          <w:rFonts w:ascii="Arial" w:hAnsi="Arial" w:cs="Arial"/>
          <w:b/>
        </w:rPr>
        <w:t>.</w:t>
      </w:r>
    </w:p>
    <w:p w14:paraId="03559D2F" w14:textId="77777777" w:rsidR="009B78A0" w:rsidRDefault="009B78A0" w:rsidP="009B78A0">
      <w:pPr>
        <w:spacing w:before="120" w:after="120"/>
        <w:jc w:val="both"/>
        <w:rPr>
          <w:rFonts w:ascii="Arial" w:hAnsi="Arial" w:cs="Arial"/>
        </w:rPr>
      </w:pPr>
      <w:r>
        <w:rPr>
          <w:rFonts w:ascii="Arial" w:hAnsi="Arial" w:cs="Arial"/>
        </w:rPr>
        <w:t xml:space="preserve">Ministerstvo pro místní rozvoj České republiky </w:t>
      </w:r>
      <w:r w:rsidRPr="0081263D">
        <w:rPr>
          <w:rFonts w:ascii="Arial" w:hAnsi="Arial" w:cs="Arial"/>
        </w:rPr>
        <w:t>vyhlás</w:t>
      </w:r>
      <w:r>
        <w:rPr>
          <w:rFonts w:ascii="Arial" w:hAnsi="Arial" w:cs="Arial"/>
        </w:rPr>
        <w:t xml:space="preserve">ilo dne 7. 7. 2021 </w:t>
      </w:r>
      <w:r w:rsidRPr="0081263D">
        <w:rPr>
          <w:rFonts w:ascii="Arial" w:hAnsi="Arial" w:cs="Arial"/>
        </w:rPr>
        <w:t xml:space="preserve">výzvu k předkládání projektových žádostí do </w:t>
      </w:r>
      <w:r>
        <w:rPr>
          <w:rFonts w:ascii="Arial" w:hAnsi="Arial" w:cs="Arial"/>
        </w:rPr>
        <w:t xml:space="preserve">Národního programu podpory cestovního ruchu v regionech pro rok 2021 (dále také </w:t>
      </w:r>
      <w:proofErr w:type="spellStart"/>
      <w:r w:rsidRPr="004E0DB3">
        <w:rPr>
          <w:rFonts w:ascii="Arial" w:hAnsi="Arial" w:cs="Arial"/>
        </w:rPr>
        <w:t>NPPCRvR</w:t>
      </w:r>
      <w:proofErr w:type="spellEnd"/>
      <w:r>
        <w:rPr>
          <w:rFonts w:ascii="Arial" w:hAnsi="Arial" w:cs="Arial"/>
        </w:rPr>
        <w:t xml:space="preserve">), podprogramu Marketingové aktivity v cestovním ruchu, </w:t>
      </w:r>
      <w:r w:rsidRPr="00723501">
        <w:rPr>
          <w:rFonts w:ascii="Arial" w:hAnsi="Arial" w:cs="Arial"/>
        </w:rPr>
        <w:t>Dotační titul č. 1 - Marketingové aktivity na úrovni krajů</w:t>
      </w:r>
      <w:r>
        <w:rPr>
          <w:rFonts w:ascii="Arial" w:hAnsi="Arial" w:cs="Arial"/>
        </w:rPr>
        <w:t>.</w:t>
      </w:r>
    </w:p>
    <w:p w14:paraId="067BBB0A" w14:textId="77777777" w:rsidR="009B78A0" w:rsidRDefault="009B78A0" w:rsidP="009B78A0">
      <w:pPr>
        <w:numPr>
          <w:ilvl w:val="0"/>
          <w:numId w:val="4"/>
        </w:numPr>
        <w:spacing w:before="60"/>
        <w:jc w:val="both"/>
        <w:rPr>
          <w:rFonts w:ascii="Arial" w:hAnsi="Arial" w:cs="Arial"/>
        </w:rPr>
      </w:pPr>
      <w:r>
        <w:rPr>
          <w:rFonts w:ascii="Arial" w:hAnsi="Arial" w:cs="Arial"/>
        </w:rPr>
        <w:t xml:space="preserve">pro Olomoucký kraj je v rámci této výzvy alokována </w:t>
      </w:r>
      <w:r w:rsidRPr="00A90230">
        <w:rPr>
          <w:rFonts w:ascii="Arial" w:hAnsi="Arial" w:cs="Arial"/>
        </w:rPr>
        <w:t xml:space="preserve">částka </w:t>
      </w:r>
      <w:r>
        <w:rPr>
          <w:rFonts w:ascii="Arial" w:hAnsi="Arial" w:cs="Arial"/>
        </w:rPr>
        <w:t>1 457</w:t>
      </w:r>
      <w:r w:rsidRPr="00A90230">
        <w:rPr>
          <w:rFonts w:ascii="Arial" w:hAnsi="Arial" w:cs="Arial"/>
        </w:rPr>
        <w:t> tis. Kč</w:t>
      </w:r>
    </w:p>
    <w:p w14:paraId="53C3337E" w14:textId="77777777" w:rsidR="009B78A0" w:rsidRPr="00D658E4" w:rsidRDefault="009B78A0" w:rsidP="009B78A0">
      <w:pPr>
        <w:numPr>
          <w:ilvl w:val="0"/>
          <w:numId w:val="4"/>
        </w:numPr>
        <w:spacing w:before="60"/>
        <w:jc w:val="both"/>
        <w:rPr>
          <w:rFonts w:ascii="Arial" w:hAnsi="Arial" w:cs="Arial"/>
        </w:rPr>
      </w:pPr>
      <w:r>
        <w:rPr>
          <w:rFonts w:ascii="Arial" w:hAnsi="Arial" w:cs="Arial"/>
        </w:rPr>
        <w:t>maximální výše dotace je 50 % z celkových uznatelných výdajů</w:t>
      </w:r>
    </w:p>
    <w:p w14:paraId="029B3FD8" w14:textId="77777777" w:rsidR="009B78A0" w:rsidRPr="00233100" w:rsidRDefault="009B78A0" w:rsidP="009B78A0">
      <w:pPr>
        <w:numPr>
          <w:ilvl w:val="0"/>
          <w:numId w:val="4"/>
        </w:numPr>
        <w:spacing w:before="60"/>
        <w:jc w:val="both"/>
        <w:rPr>
          <w:rFonts w:ascii="Arial" w:hAnsi="Arial" w:cs="Arial"/>
        </w:rPr>
      </w:pPr>
      <w:r w:rsidRPr="00233100">
        <w:rPr>
          <w:rFonts w:ascii="Arial" w:hAnsi="Arial" w:cs="Arial"/>
        </w:rPr>
        <w:t xml:space="preserve">oprávněnými žadateli jsou: </w:t>
      </w:r>
    </w:p>
    <w:p w14:paraId="18ECF77F" w14:textId="77777777" w:rsidR="009B78A0" w:rsidRDefault="009B78A0" w:rsidP="009B78A0">
      <w:pPr>
        <w:numPr>
          <w:ilvl w:val="1"/>
          <w:numId w:val="4"/>
        </w:numPr>
        <w:spacing w:before="120" w:after="120"/>
        <w:ind w:left="1434" w:hanging="357"/>
        <w:jc w:val="both"/>
        <w:rPr>
          <w:rFonts w:ascii="Arial" w:hAnsi="Arial" w:cs="Arial"/>
        </w:rPr>
      </w:pPr>
      <w:r w:rsidRPr="00233100">
        <w:rPr>
          <w:rFonts w:ascii="Arial" w:hAnsi="Arial" w:cs="Arial"/>
        </w:rPr>
        <w:t xml:space="preserve">certifikované (registrované) krajské DMO (DMO – organizace destinačních managementů mající různou právní subjektivitu), </w:t>
      </w:r>
    </w:p>
    <w:p w14:paraId="55DF7531" w14:textId="77777777" w:rsidR="009B78A0" w:rsidRDefault="009B78A0" w:rsidP="009B78A0">
      <w:pPr>
        <w:numPr>
          <w:ilvl w:val="1"/>
          <w:numId w:val="4"/>
        </w:numPr>
        <w:spacing w:before="120" w:after="120"/>
        <w:ind w:left="1434" w:hanging="357"/>
        <w:jc w:val="both"/>
        <w:rPr>
          <w:rFonts w:ascii="Arial" w:hAnsi="Arial" w:cs="Arial"/>
        </w:rPr>
      </w:pPr>
      <w:r w:rsidRPr="00233100">
        <w:rPr>
          <w:rFonts w:ascii="Arial" w:hAnsi="Arial" w:cs="Arial"/>
        </w:rPr>
        <w:t>útvar krajského úřadu s gescí „cestovní ruch“ (např. krajské oddělení cestovního ruchu) v případě, že certifikovaná (registrovaná) krajská DMO neprokáže min. 1 ro</w:t>
      </w:r>
      <w:r>
        <w:rPr>
          <w:rFonts w:ascii="Arial" w:hAnsi="Arial" w:cs="Arial"/>
        </w:rPr>
        <w:t xml:space="preserve">k činnosti (tj. 12 měsíců). </w:t>
      </w:r>
    </w:p>
    <w:p w14:paraId="789FB02A" w14:textId="77777777" w:rsidR="009B78A0" w:rsidRPr="00B028AF" w:rsidRDefault="009B78A0" w:rsidP="009B78A0">
      <w:pPr>
        <w:numPr>
          <w:ilvl w:val="0"/>
          <w:numId w:val="4"/>
        </w:numPr>
        <w:spacing w:before="60" w:after="240"/>
        <w:ind w:left="714" w:hanging="357"/>
        <w:jc w:val="both"/>
        <w:rPr>
          <w:rFonts w:ascii="Arial" w:hAnsi="Arial" w:cs="Arial"/>
        </w:rPr>
      </w:pPr>
      <w:r>
        <w:rPr>
          <w:rFonts w:ascii="Arial" w:hAnsi="Arial" w:cs="Arial"/>
        </w:rPr>
        <w:t>k</w:t>
      </w:r>
      <w:r w:rsidRPr="0081263D">
        <w:rPr>
          <w:rFonts w:ascii="Arial" w:hAnsi="Arial" w:cs="Arial"/>
        </w:rPr>
        <w:t xml:space="preserve">onečný termín pro předkládání žádostí je </w:t>
      </w:r>
      <w:r>
        <w:rPr>
          <w:rFonts w:ascii="Arial" w:hAnsi="Arial" w:cs="Arial"/>
        </w:rPr>
        <w:t>17. 9. 2021</w:t>
      </w:r>
    </w:p>
    <w:p w14:paraId="21363385" w14:textId="32A0A2E9" w:rsidR="009B78A0" w:rsidRDefault="009B78A0" w:rsidP="009B78A0">
      <w:pPr>
        <w:spacing w:before="120"/>
        <w:jc w:val="both"/>
        <w:rPr>
          <w:rFonts w:ascii="Arial" w:hAnsi="Arial" w:cs="Arial"/>
        </w:rPr>
      </w:pPr>
      <w:r w:rsidRPr="00454EA1">
        <w:rPr>
          <w:rFonts w:ascii="Arial" w:hAnsi="Arial" w:cs="Arial"/>
          <w:b/>
        </w:rPr>
        <w:t>Centrál</w:t>
      </w:r>
      <w:r>
        <w:rPr>
          <w:rFonts w:ascii="Arial" w:hAnsi="Arial" w:cs="Arial"/>
          <w:b/>
        </w:rPr>
        <w:t>a</w:t>
      </w:r>
      <w:r w:rsidRPr="00454EA1">
        <w:rPr>
          <w:rFonts w:ascii="Arial" w:hAnsi="Arial" w:cs="Arial"/>
          <w:b/>
        </w:rPr>
        <w:t xml:space="preserve"> cestovního ruchu Olomouckého kraje, s.r.o.</w:t>
      </w:r>
      <w:r>
        <w:rPr>
          <w:rFonts w:ascii="Arial" w:hAnsi="Arial" w:cs="Arial"/>
          <w:b/>
        </w:rPr>
        <w:t>, která je certifikovanou krajskou DMO</w:t>
      </w:r>
      <w:r w:rsidR="00A35D9A">
        <w:rPr>
          <w:rFonts w:ascii="Arial" w:hAnsi="Arial" w:cs="Arial"/>
          <w:b/>
        </w:rPr>
        <w:t>,</w:t>
      </w:r>
      <w:bookmarkStart w:id="0" w:name="_GoBack"/>
      <w:bookmarkEnd w:id="0"/>
      <w:r>
        <w:rPr>
          <w:rFonts w:ascii="Arial" w:hAnsi="Arial" w:cs="Arial"/>
          <w:b/>
        </w:rPr>
        <w:t xml:space="preserve"> připravuje </w:t>
      </w:r>
      <w:r>
        <w:rPr>
          <w:rFonts w:ascii="Arial" w:hAnsi="Arial" w:cs="Arial"/>
        </w:rPr>
        <w:t>d</w:t>
      </w:r>
      <w:r w:rsidRPr="0081263D">
        <w:rPr>
          <w:rFonts w:ascii="Arial" w:hAnsi="Arial" w:cs="Arial"/>
        </w:rPr>
        <w:t xml:space="preserve">o této výzvy projekt </w:t>
      </w:r>
      <w:r w:rsidRPr="00C07343">
        <w:rPr>
          <w:rFonts w:ascii="Arial" w:hAnsi="Arial" w:cs="Arial"/>
          <w:b/>
        </w:rPr>
        <w:t>„</w:t>
      </w:r>
      <w:r w:rsidR="00B10A57">
        <w:rPr>
          <w:rFonts w:ascii="Arial" w:hAnsi="Arial" w:cs="Arial"/>
          <w:b/>
        </w:rPr>
        <w:t>Olomoucký kraj</w:t>
      </w:r>
      <w:r>
        <w:rPr>
          <w:rFonts w:ascii="Arial" w:hAnsi="Arial" w:cs="Arial"/>
          <w:b/>
        </w:rPr>
        <w:t xml:space="preserve"> - marketing destinace</w:t>
      </w:r>
      <w:r w:rsidRPr="00C07343">
        <w:rPr>
          <w:rFonts w:ascii="Arial" w:hAnsi="Arial" w:cs="Arial"/>
          <w:b/>
        </w:rPr>
        <w:t>“,</w:t>
      </w:r>
      <w:r>
        <w:rPr>
          <w:rFonts w:ascii="Arial" w:hAnsi="Arial" w:cs="Arial"/>
        </w:rPr>
        <w:t xml:space="preserve"> jehož cílem </w:t>
      </w:r>
      <w:r w:rsidRPr="0081263D">
        <w:rPr>
          <w:rFonts w:ascii="Arial" w:hAnsi="Arial" w:cs="Arial"/>
        </w:rPr>
        <w:t>je koordinovaná propagace Olomouckého kraje jako turistické destinace a následné zvýšení návštěvnosti kraje</w:t>
      </w:r>
      <w:r>
        <w:rPr>
          <w:rFonts w:ascii="Arial" w:hAnsi="Arial" w:cs="Arial"/>
        </w:rPr>
        <w:t xml:space="preserve">. </w:t>
      </w:r>
    </w:p>
    <w:p w14:paraId="1D1B1CDE" w14:textId="0548A369" w:rsidR="00B25263" w:rsidRPr="00034E6D" w:rsidRDefault="003D5ACE" w:rsidP="00EB744B">
      <w:pPr>
        <w:spacing w:before="120" w:after="120"/>
        <w:jc w:val="both"/>
        <w:rPr>
          <w:rFonts w:ascii="Arial" w:hAnsi="Arial" w:cs="Arial"/>
          <w:bCs/>
        </w:rPr>
      </w:pPr>
      <w:r>
        <w:rPr>
          <w:rFonts w:ascii="Arial" w:hAnsi="Arial" w:cs="Arial"/>
          <w:b/>
        </w:rPr>
        <w:t>Dle podmínek dotačního titulu</w:t>
      </w:r>
      <w:r w:rsidR="004767F2">
        <w:rPr>
          <w:rFonts w:ascii="Arial" w:hAnsi="Arial" w:cs="Arial"/>
          <w:b/>
        </w:rPr>
        <w:t xml:space="preserve"> je </w:t>
      </w:r>
      <w:r>
        <w:rPr>
          <w:rFonts w:ascii="Arial" w:hAnsi="Arial" w:cs="Arial"/>
          <w:b/>
        </w:rPr>
        <w:t>povinnou přílohou žádosti o dotaci</w:t>
      </w:r>
      <w:r w:rsidR="001C3391">
        <w:rPr>
          <w:rFonts w:ascii="Arial" w:hAnsi="Arial" w:cs="Arial"/>
          <w:b/>
        </w:rPr>
        <w:t>,</w:t>
      </w:r>
      <w:r>
        <w:rPr>
          <w:rFonts w:ascii="Arial" w:hAnsi="Arial" w:cs="Arial"/>
          <w:b/>
        </w:rPr>
        <w:t xml:space="preserve"> </w:t>
      </w:r>
      <w:r w:rsidR="004767F2" w:rsidRPr="00034E6D">
        <w:rPr>
          <w:rFonts w:ascii="Arial" w:hAnsi="Arial" w:cs="Arial"/>
          <w:bCs/>
        </w:rPr>
        <w:t>v případě že žádost podává kraj</w:t>
      </w:r>
      <w:r w:rsidR="001C3391" w:rsidRPr="00034E6D">
        <w:rPr>
          <w:rFonts w:ascii="Arial" w:hAnsi="Arial" w:cs="Arial"/>
          <w:bCs/>
        </w:rPr>
        <w:t>ská DMO,</w:t>
      </w:r>
      <w:r w:rsidR="001C3391">
        <w:rPr>
          <w:rFonts w:ascii="Arial" w:hAnsi="Arial" w:cs="Arial"/>
          <w:b/>
        </w:rPr>
        <w:t xml:space="preserve"> </w:t>
      </w:r>
      <w:r w:rsidR="002D4592">
        <w:rPr>
          <w:rFonts w:ascii="Arial" w:hAnsi="Arial" w:cs="Arial"/>
          <w:b/>
        </w:rPr>
        <w:t>souhlas rady</w:t>
      </w:r>
      <w:r w:rsidR="00212544">
        <w:rPr>
          <w:rFonts w:ascii="Arial" w:hAnsi="Arial" w:cs="Arial"/>
          <w:b/>
        </w:rPr>
        <w:t>/zastupitelstva</w:t>
      </w:r>
      <w:r w:rsidR="002D4592">
        <w:rPr>
          <w:rFonts w:ascii="Arial" w:hAnsi="Arial" w:cs="Arial"/>
          <w:b/>
        </w:rPr>
        <w:t xml:space="preserve"> </w:t>
      </w:r>
      <w:r w:rsidR="00087FC9">
        <w:rPr>
          <w:rFonts w:ascii="Arial" w:hAnsi="Arial" w:cs="Arial"/>
          <w:b/>
        </w:rPr>
        <w:t xml:space="preserve">kraje. </w:t>
      </w:r>
      <w:r w:rsidR="00087FC9" w:rsidRPr="00034E6D">
        <w:rPr>
          <w:rFonts w:ascii="Arial" w:hAnsi="Arial" w:cs="Arial"/>
          <w:bCs/>
        </w:rPr>
        <w:t xml:space="preserve">Souhlas je nutné doložit formou usnesení </w:t>
      </w:r>
      <w:r w:rsidR="00621E43" w:rsidRPr="00034E6D">
        <w:rPr>
          <w:rFonts w:ascii="Arial" w:hAnsi="Arial" w:cs="Arial"/>
          <w:bCs/>
        </w:rPr>
        <w:t xml:space="preserve">rady, které obsahuje </w:t>
      </w:r>
      <w:r w:rsidR="00CD744F" w:rsidRPr="00034E6D">
        <w:rPr>
          <w:rFonts w:ascii="Arial" w:hAnsi="Arial" w:cs="Arial"/>
          <w:bCs/>
        </w:rPr>
        <w:t>text</w:t>
      </w:r>
      <w:r w:rsidR="00600BF7" w:rsidRPr="00034E6D">
        <w:rPr>
          <w:rFonts w:ascii="Arial" w:hAnsi="Arial" w:cs="Arial"/>
          <w:bCs/>
        </w:rPr>
        <w:t xml:space="preserve"> vyjadřující „souhlas s realizací a fina</w:t>
      </w:r>
      <w:r w:rsidR="00034E6D" w:rsidRPr="00034E6D">
        <w:rPr>
          <w:rFonts w:ascii="Arial" w:hAnsi="Arial" w:cs="Arial"/>
          <w:bCs/>
        </w:rPr>
        <w:t>n</w:t>
      </w:r>
      <w:r w:rsidR="00600BF7" w:rsidRPr="00034E6D">
        <w:rPr>
          <w:rFonts w:ascii="Arial" w:hAnsi="Arial" w:cs="Arial"/>
          <w:bCs/>
        </w:rPr>
        <w:t>cováním akce“</w:t>
      </w:r>
      <w:r w:rsidR="00034E6D">
        <w:rPr>
          <w:rFonts w:ascii="Arial" w:hAnsi="Arial" w:cs="Arial"/>
          <w:bCs/>
        </w:rPr>
        <w:t>. V případě, že</w:t>
      </w:r>
      <w:r w:rsidR="00493C81">
        <w:rPr>
          <w:rFonts w:ascii="Arial" w:hAnsi="Arial" w:cs="Arial"/>
          <w:bCs/>
        </w:rPr>
        <w:t> </w:t>
      </w:r>
      <w:r w:rsidR="00034E6D">
        <w:rPr>
          <w:rFonts w:ascii="Arial" w:hAnsi="Arial" w:cs="Arial"/>
          <w:bCs/>
        </w:rPr>
        <w:t>ž</w:t>
      </w:r>
      <w:r w:rsidR="00493C81">
        <w:rPr>
          <w:rFonts w:ascii="Arial" w:hAnsi="Arial" w:cs="Arial"/>
          <w:bCs/>
        </w:rPr>
        <w:t>á</w:t>
      </w:r>
      <w:r w:rsidR="00034E6D">
        <w:rPr>
          <w:rFonts w:ascii="Arial" w:hAnsi="Arial" w:cs="Arial"/>
          <w:bCs/>
        </w:rPr>
        <w:t>d</w:t>
      </w:r>
      <w:r w:rsidR="00493C81">
        <w:rPr>
          <w:rFonts w:ascii="Arial" w:hAnsi="Arial" w:cs="Arial"/>
          <w:bCs/>
        </w:rPr>
        <w:t>ost bude navržena k dotaci, musí být následně doloženo i usnesení Zastupitelstva Olomouckého kraje</w:t>
      </w:r>
      <w:r w:rsidR="00A11009">
        <w:rPr>
          <w:rFonts w:ascii="Arial" w:hAnsi="Arial" w:cs="Arial"/>
          <w:bCs/>
        </w:rPr>
        <w:t>.</w:t>
      </w:r>
    </w:p>
    <w:p w14:paraId="342F1FC8" w14:textId="14DE24BC" w:rsidR="00102641" w:rsidRDefault="00B028AF" w:rsidP="0090572F">
      <w:pPr>
        <w:spacing w:before="240" w:after="120"/>
        <w:jc w:val="both"/>
        <w:rPr>
          <w:rFonts w:ascii="Arial" w:hAnsi="Arial" w:cs="Arial"/>
          <w:b/>
          <w:u w:val="single"/>
        </w:rPr>
      </w:pPr>
      <w:r w:rsidRPr="00C12ADC">
        <w:rPr>
          <w:rFonts w:ascii="Arial" w:hAnsi="Arial" w:cs="Arial"/>
          <w:b/>
          <w:u w:val="single"/>
        </w:rPr>
        <w:t>P</w:t>
      </w:r>
      <w:r w:rsidR="00EB744B" w:rsidRPr="00C12ADC">
        <w:rPr>
          <w:rFonts w:ascii="Arial" w:hAnsi="Arial" w:cs="Arial"/>
          <w:b/>
          <w:u w:val="single"/>
        </w:rPr>
        <w:t>opis aktivit projektu</w:t>
      </w:r>
      <w:r w:rsidRPr="00C12ADC">
        <w:rPr>
          <w:rFonts w:ascii="Arial" w:hAnsi="Arial" w:cs="Arial"/>
          <w:b/>
          <w:u w:val="single"/>
        </w:rPr>
        <w:t>:</w:t>
      </w:r>
    </w:p>
    <w:p w14:paraId="0EE2F8CD" w14:textId="35493AED" w:rsidR="000A63ED" w:rsidRPr="00C12ADC" w:rsidRDefault="007249D6" w:rsidP="000A63ED">
      <w:pPr>
        <w:pStyle w:val="Zkladntextodsazen"/>
        <w:numPr>
          <w:ilvl w:val="3"/>
          <w:numId w:val="6"/>
        </w:numPr>
        <w:tabs>
          <w:tab w:val="left" w:pos="426"/>
        </w:tabs>
        <w:spacing w:before="240" w:after="120"/>
        <w:ind w:left="425" w:hanging="425"/>
        <w:jc w:val="both"/>
        <w:rPr>
          <w:b/>
        </w:rPr>
      </w:pPr>
      <w:r w:rsidRPr="007249D6">
        <w:rPr>
          <w:b/>
        </w:rPr>
        <w:t>On-line kampaň</w:t>
      </w:r>
      <w:r w:rsidR="000A63ED" w:rsidRPr="00C12ADC">
        <w:rPr>
          <w:b/>
        </w:rPr>
        <w:t xml:space="preserve">, cca </w:t>
      </w:r>
      <w:r w:rsidR="00DD7743">
        <w:rPr>
          <w:b/>
        </w:rPr>
        <w:t>95</w:t>
      </w:r>
      <w:r w:rsidR="000A63ED" w:rsidRPr="00C12ADC">
        <w:rPr>
          <w:b/>
        </w:rPr>
        <w:t xml:space="preserve">0 tis. Kč </w:t>
      </w:r>
      <w:r w:rsidR="00A11009">
        <w:rPr>
          <w:b/>
        </w:rPr>
        <w:t>bez</w:t>
      </w:r>
      <w:r w:rsidR="000A63ED" w:rsidRPr="00C12ADC">
        <w:rPr>
          <w:b/>
        </w:rPr>
        <w:t xml:space="preserve"> DPH</w:t>
      </w:r>
    </w:p>
    <w:p w14:paraId="20CF7170" w14:textId="1A20C335" w:rsidR="00477608" w:rsidRPr="00BA78AF" w:rsidRDefault="0024602C" w:rsidP="00BA78AF">
      <w:pPr>
        <w:pStyle w:val="Zkladntextodsazen"/>
        <w:tabs>
          <w:tab w:val="left" w:pos="426"/>
        </w:tabs>
        <w:spacing w:before="120" w:after="120"/>
        <w:ind w:left="0"/>
        <w:jc w:val="both"/>
      </w:pPr>
      <w:r w:rsidRPr="00BA78AF">
        <w:t>Propagace na internetu formou PPC kampaně s využitím bannerů, fotografií</w:t>
      </w:r>
      <w:r w:rsidR="003D1CB1">
        <w:t>, videí</w:t>
      </w:r>
      <w:r w:rsidRPr="00BA78AF">
        <w:t xml:space="preserve"> a případně textů. Výhodou PPC reklamy je její efektivita a možnost přesného zacílení na požadované cílové skupiny a následné reálné vyhodnocení dopadů realizované marketingové kampaně. Hlavními výhodami PPC kampaně je rychlost zobrazení, umožňující okamžité zobrazení informace, přesné zacílení, regionalizace, měřitelnost, finanční výhodnost, vysoká flexibilita úprav a přímá kontrola. On-line kampaně budou</w:t>
      </w:r>
      <w:r w:rsidR="003D1CB1">
        <w:t xml:space="preserve"> </w:t>
      </w:r>
      <w:r w:rsidR="003D1CB1" w:rsidRPr="009D5567">
        <w:rPr>
          <w:rFonts w:cs="Arial"/>
        </w:rPr>
        <w:t>realizován</w:t>
      </w:r>
      <w:r w:rsidR="003D1CB1">
        <w:rPr>
          <w:rFonts w:cs="Arial"/>
        </w:rPr>
        <w:t>y</w:t>
      </w:r>
      <w:r w:rsidR="003D1CB1" w:rsidRPr="009D5567">
        <w:rPr>
          <w:rFonts w:cs="Arial"/>
        </w:rPr>
        <w:t xml:space="preserve"> </w:t>
      </w:r>
      <w:r w:rsidR="003D1CB1">
        <w:rPr>
          <w:rFonts w:cs="Arial"/>
        </w:rPr>
        <w:t>na podporu jarní, letní, podzimní a zimní sezóny.</w:t>
      </w:r>
    </w:p>
    <w:p w14:paraId="3667C477" w14:textId="0CD1D050" w:rsidR="000A63ED" w:rsidRPr="005D7B55" w:rsidRDefault="00DB1199" w:rsidP="000A63ED">
      <w:pPr>
        <w:pStyle w:val="Zkladntextodsazen"/>
        <w:numPr>
          <w:ilvl w:val="3"/>
          <w:numId w:val="6"/>
        </w:numPr>
        <w:tabs>
          <w:tab w:val="left" w:pos="426"/>
        </w:tabs>
        <w:spacing w:before="240" w:after="120"/>
        <w:ind w:left="425" w:hanging="425"/>
        <w:jc w:val="both"/>
        <w:rPr>
          <w:b/>
        </w:rPr>
      </w:pPr>
      <w:r w:rsidRPr="005D7B55">
        <w:rPr>
          <w:b/>
        </w:rPr>
        <w:t>Kinoreklama</w:t>
      </w:r>
      <w:r w:rsidR="000A63ED" w:rsidRPr="005D7B55">
        <w:rPr>
          <w:b/>
        </w:rPr>
        <w:t xml:space="preserve">, cca </w:t>
      </w:r>
      <w:r w:rsidR="00D1120D" w:rsidRPr="005D7B55">
        <w:rPr>
          <w:b/>
        </w:rPr>
        <w:t>5</w:t>
      </w:r>
      <w:r w:rsidR="00C63532">
        <w:rPr>
          <w:b/>
        </w:rPr>
        <w:t>0</w:t>
      </w:r>
      <w:r w:rsidR="005D7B55" w:rsidRPr="005D7B55">
        <w:rPr>
          <w:b/>
        </w:rPr>
        <w:t>0</w:t>
      </w:r>
      <w:r w:rsidR="00D1120D" w:rsidRPr="005D7B55">
        <w:rPr>
          <w:b/>
        </w:rPr>
        <w:t xml:space="preserve"> </w:t>
      </w:r>
      <w:r w:rsidR="000A63ED" w:rsidRPr="005D7B55">
        <w:rPr>
          <w:b/>
        </w:rPr>
        <w:t xml:space="preserve">tis. Kč </w:t>
      </w:r>
      <w:r w:rsidR="00397F18" w:rsidRPr="005D7B55">
        <w:rPr>
          <w:b/>
        </w:rPr>
        <w:t>bez</w:t>
      </w:r>
      <w:r w:rsidR="000A63ED" w:rsidRPr="005D7B55">
        <w:rPr>
          <w:b/>
        </w:rPr>
        <w:t xml:space="preserve"> DPH</w:t>
      </w:r>
    </w:p>
    <w:p w14:paraId="4BFE2B78" w14:textId="66954550" w:rsidR="004064E8" w:rsidRPr="005D7B55" w:rsidRDefault="004F6EB1" w:rsidP="000A63ED">
      <w:pPr>
        <w:pStyle w:val="Zkladntextodsazen"/>
        <w:tabs>
          <w:tab w:val="left" w:pos="426"/>
        </w:tabs>
        <w:spacing w:before="120" w:after="120"/>
        <w:ind w:left="0"/>
        <w:jc w:val="both"/>
      </w:pPr>
      <w:r w:rsidRPr="005D7B55">
        <w:t xml:space="preserve">Kinoreklama </w:t>
      </w:r>
      <w:r w:rsidR="004064E8" w:rsidRPr="005D7B55">
        <w:t>bude</w:t>
      </w:r>
      <w:r w:rsidR="00F35A14" w:rsidRPr="005D7B55">
        <w:t xml:space="preserve"> </w:t>
      </w:r>
      <w:r w:rsidR="004064E8" w:rsidRPr="005D7B55">
        <w:t xml:space="preserve">zacílena na </w:t>
      </w:r>
      <w:r w:rsidR="00F35A14" w:rsidRPr="005D7B55">
        <w:t>návštěvníky k</w:t>
      </w:r>
      <w:r w:rsidR="0090572F" w:rsidRPr="005D7B55">
        <w:t>in v celé</w:t>
      </w:r>
      <w:r w:rsidR="00F35A14" w:rsidRPr="005D7B55">
        <w:t xml:space="preserve"> ČR</w:t>
      </w:r>
      <w:r w:rsidR="004064E8" w:rsidRPr="005D7B55">
        <w:t>.</w:t>
      </w:r>
      <w:r w:rsidR="00F35A14" w:rsidRPr="005D7B55">
        <w:t xml:space="preserve"> Bude realizována průběžně</w:t>
      </w:r>
      <w:r w:rsidR="004064E8" w:rsidRPr="005D7B55">
        <w:t xml:space="preserve"> během roku 2022. Budou využity tematické </w:t>
      </w:r>
      <w:proofErr w:type="spellStart"/>
      <w:r w:rsidR="004064E8" w:rsidRPr="005D7B55">
        <w:t>imageové</w:t>
      </w:r>
      <w:proofErr w:type="spellEnd"/>
      <w:r w:rsidR="004064E8" w:rsidRPr="005D7B55">
        <w:t xml:space="preserve"> video spoty (</w:t>
      </w:r>
      <w:r w:rsidR="00F35A14" w:rsidRPr="005D7B55">
        <w:t xml:space="preserve">lázeňství, </w:t>
      </w:r>
      <w:proofErr w:type="spellStart"/>
      <w:r w:rsidR="00F35A14" w:rsidRPr="005D7B55">
        <w:t>gastro</w:t>
      </w:r>
      <w:proofErr w:type="spellEnd"/>
      <w:r w:rsidR="00F35A14" w:rsidRPr="005D7B55">
        <w:t xml:space="preserve">, poznávací turismus, </w:t>
      </w:r>
      <w:proofErr w:type="spellStart"/>
      <w:r w:rsidR="00F35A14" w:rsidRPr="005D7B55">
        <w:t>cyklo</w:t>
      </w:r>
      <w:proofErr w:type="spellEnd"/>
      <w:r w:rsidR="00F35A14" w:rsidRPr="005D7B55">
        <w:t>, vodní turismus a zima v Jeseníkách</w:t>
      </w:r>
      <w:r w:rsidR="004064E8" w:rsidRPr="005D7B55">
        <w:t xml:space="preserve">), které byly natočeny v rámci předchozího projektu </w:t>
      </w:r>
      <w:r w:rsidR="00F35A14" w:rsidRPr="005D7B55">
        <w:t>„</w:t>
      </w:r>
      <w:r w:rsidR="004064E8" w:rsidRPr="005D7B55">
        <w:t xml:space="preserve">Podpora </w:t>
      </w:r>
      <w:r w:rsidR="00F35A14" w:rsidRPr="005D7B55">
        <w:t xml:space="preserve">rozvoje cestovního ruchu v Olomouckém kraji </w:t>
      </w:r>
      <w:r w:rsidR="004064E8" w:rsidRPr="005D7B55">
        <w:lastRenderedPageBreak/>
        <w:t>III</w:t>
      </w:r>
      <w:r w:rsidR="00F35A14" w:rsidRPr="005D7B55">
        <w:t>“</w:t>
      </w:r>
      <w:r w:rsidR="00AD338F">
        <w:t>.</w:t>
      </w:r>
      <w:r w:rsidR="004064E8" w:rsidRPr="005D7B55">
        <w:t xml:space="preserve"> </w:t>
      </w:r>
      <w:r w:rsidR="00AD338F">
        <w:t>Spoty</w:t>
      </w:r>
      <w:r w:rsidR="004064E8" w:rsidRPr="005D7B55">
        <w:t xml:space="preserve"> budou do kin nasazovány průběžně dle aktuálnosti tématu pro dané období roku.</w:t>
      </w:r>
    </w:p>
    <w:p w14:paraId="121CBE0F" w14:textId="604D4BF4" w:rsidR="006B32D1" w:rsidRDefault="00397F18" w:rsidP="006B32D1">
      <w:pPr>
        <w:pStyle w:val="Zkladntextodsazen"/>
        <w:numPr>
          <w:ilvl w:val="3"/>
          <w:numId w:val="6"/>
        </w:numPr>
        <w:tabs>
          <w:tab w:val="left" w:pos="426"/>
        </w:tabs>
        <w:spacing w:before="240" w:after="120"/>
        <w:ind w:left="425" w:hanging="425"/>
        <w:jc w:val="both"/>
        <w:rPr>
          <w:b/>
        </w:rPr>
      </w:pPr>
      <w:proofErr w:type="spellStart"/>
      <w:r>
        <w:rPr>
          <w:b/>
        </w:rPr>
        <w:t>Out</w:t>
      </w:r>
      <w:r w:rsidR="00D34491">
        <w:rPr>
          <w:b/>
        </w:rPr>
        <w:t>doorová</w:t>
      </w:r>
      <w:proofErr w:type="spellEnd"/>
      <w:r w:rsidR="00D34491">
        <w:rPr>
          <w:b/>
        </w:rPr>
        <w:t xml:space="preserve"> </w:t>
      </w:r>
      <w:r w:rsidR="00D203AF">
        <w:rPr>
          <w:b/>
        </w:rPr>
        <w:t>kampaň</w:t>
      </w:r>
      <w:r w:rsidR="00E22E03">
        <w:rPr>
          <w:b/>
        </w:rPr>
        <w:t xml:space="preserve">, cca </w:t>
      </w:r>
      <w:r w:rsidR="00477608">
        <w:rPr>
          <w:b/>
        </w:rPr>
        <w:t>8</w:t>
      </w:r>
      <w:r w:rsidR="005D7B55">
        <w:rPr>
          <w:b/>
        </w:rPr>
        <w:t>64</w:t>
      </w:r>
      <w:r w:rsidR="00E22E03">
        <w:rPr>
          <w:b/>
        </w:rPr>
        <w:t xml:space="preserve"> tis. </w:t>
      </w:r>
      <w:r w:rsidR="006B32D1">
        <w:rPr>
          <w:b/>
        </w:rPr>
        <w:t>K</w:t>
      </w:r>
      <w:r w:rsidR="00E22E03">
        <w:rPr>
          <w:b/>
        </w:rPr>
        <w:t>č</w:t>
      </w:r>
      <w:r w:rsidR="00416941">
        <w:rPr>
          <w:b/>
        </w:rPr>
        <w:t xml:space="preserve"> bez DPH</w:t>
      </w:r>
    </w:p>
    <w:p w14:paraId="73B40669" w14:textId="0C4231E4" w:rsidR="006B32D1" w:rsidRPr="0048756B" w:rsidRDefault="0090572F" w:rsidP="0048756B">
      <w:pPr>
        <w:pStyle w:val="Zkladntextodsazen"/>
        <w:tabs>
          <w:tab w:val="left" w:pos="426"/>
        </w:tabs>
        <w:spacing w:before="120" w:after="120"/>
        <w:ind w:left="0"/>
        <w:jc w:val="both"/>
      </w:pPr>
      <w:r>
        <w:t>B</w:t>
      </w:r>
      <w:r w:rsidR="00AF77CD" w:rsidRPr="00AF77CD">
        <w:t xml:space="preserve">ude zacílena na uživatele hromadné dopravy, která je místem vysoké koncentrace osob a je tedy značně efektivní. </w:t>
      </w:r>
      <w:r w:rsidR="003D1CB1">
        <w:t>H</w:t>
      </w:r>
      <w:r w:rsidR="00AF77CD" w:rsidRPr="00AF77CD">
        <w:t xml:space="preserve">lavním parametrem </w:t>
      </w:r>
      <w:r w:rsidR="003D1CB1">
        <w:t xml:space="preserve">při výběru míst pro realizaci </w:t>
      </w:r>
      <w:proofErr w:type="spellStart"/>
      <w:r w:rsidR="003D1CB1">
        <w:t>outdoorové</w:t>
      </w:r>
      <w:proofErr w:type="spellEnd"/>
      <w:r w:rsidR="003D1CB1">
        <w:t xml:space="preserve"> kampaně budou hlavní zdrojové trhy/kraje v ČR z nichž do Olomouckého kraje přijíždí nejvíce návštěvníků</w:t>
      </w:r>
      <w:r w:rsidR="00AF77CD" w:rsidRPr="00AF77CD">
        <w:t>. To znamená, že se budeme soustředit především na kraje sousedící s Olomouckým krajem</w:t>
      </w:r>
      <w:r w:rsidR="00210BB6">
        <w:t>, konkrétně na krajská města Brno a Ostrava a rovněž na hlavní město Prahu</w:t>
      </w:r>
      <w:r w:rsidR="00AF77CD" w:rsidRPr="00AF77CD">
        <w:t>. Využit</w:t>
      </w:r>
      <w:r w:rsidR="003D1CB1">
        <w:t>y</w:t>
      </w:r>
      <w:r w:rsidR="00AF77CD" w:rsidRPr="00AF77CD">
        <w:t xml:space="preserve"> bud</w:t>
      </w:r>
      <w:r w:rsidR="003D1CB1">
        <w:t>ou</w:t>
      </w:r>
      <w:r w:rsidR="00AF77CD" w:rsidRPr="00AF77CD">
        <w:t xml:space="preserve"> reklamní plochy na nádraží</w:t>
      </w:r>
      <w:r w:rsidR="003D1CB1">
        <w:t>ch</w:t>
      </w:r>
      <w:r w:rsidR="00AF77CD" w:rsidRPr="00AF77CD">
        <w:t xml:space="preserve"> </w:t>
      </w:r>
      <w:r w:rsidR="00210BB6">
        <w:t>(vestibuly, nástupiště</w:t>
      </w:r>
      <w:r w:rsidR="00C61AEE">
        <w:t xml:space="preserve">) </w:t>
      </w:r>
      <w:r w:rsidR="00AF77CD" w:rsidRPr="00AF77CD">
        <w:t>a polepy MHD</w:t>
      </w:r>
      <w:r w:rsidR="00C61AEE">
        <w:t>.</w:t>
      </w:r>
    </w:p>
    <w:p w14:paraId="5C66D67D" w14:textId="06F54A5F" w:rsidR="00B028AF" w:rsidRPr="00C12ADC" w:rsidRDefault="00D34491" w:rsidP="00C12ADC">
      <w:pPr>
        <w:pStyle w:val="Zkladntextodsazen"/>
        <w:numPr>
          <w:ilvl w:val="3"/>
          <w:numId w:val="6"/>
        </w:numPr>
        <w:tabs>
          <w:tab w:val="left" w:pos="426"/>
        </w:tabs>
        <w:spacing w:before="240" w:after="120"/>
        <w:ind w:left="425" w:hanging="425"/>
        <w:jc w:val="both"/>
        <w:rPr>
          <w:b/>
        </w:rPr>
      </w:pPr>
      <w:r>
        <w:rPr>
          <w:b/>
        </w:rPr>
        <w:t>Vydání tiskovi</w:t>
      </w:r>
      <w:r w:rsidR="00AF77CD">
        <w:rPr>
          <w:b/>
        </w:rPr>
        <w:t>n</w:t>
      </w:r>
      <w:r w:rsidR="00B028AF" w:rsidRPr="00C12ADC">
        <w:rPr>
          <w:b/>
        </w:rPr>
        <w:t xml:space="preserve">, cca </w:t>
      </w:r>
      <w:r w:rsidR="00D1120D">
        <w:rPr>
          <w:b/>
        </w:rPr>
        <w:t>6</w:t>
      </w:r>
      <w:r w:rsidR="00013B76">
        <w:rPr>
          <w:b/>
        </w:rPr>
        <w:t>00</w:t>
      </w:r>
      <w:r w:rsidR="00B028AF" w:rsidRPr="00C12ADC">
        <w:rPr>
          <w:b/>
        </w:rPr>
        <w:t xml:space="preserve"> tis. Kč </w:t>
      </w:r>
      <w:r w:rsidR="00416941">
        <w:rPr>
          <w:b/>
        </w:rPr>
        <w:t>bez</w:t>
      </w:r>
      <w:r w:rsidR="00B028AF" w:rsidRPr="00C12ADC">
        <w:rPr>
          <w:b/>
        </w:rPr>
        <w:t xml:space="preserve"> DPH</w:t>
      </w:r>
    </w:p>
    <w:p w14:paraId="703F6C6C" w14:textId="42005691" w:rsidR="006D5682" w:rsidRPr="00F064F5" w:rsidRDefault="003D1CB1" w:rsidP="00961249">
      <w:pPr>
        <w:pStyle w:val="Odstavecseseznamem"/>
        <w:spacing w:after="0" w:line="240" w:lineRule="auto"/>
        <w:ind w:left="0"/>
        <w:contextualSpacing w:val="0"/>
        <w:jc w:val="both"/>
        <w:rPr>
          <w:rFonts w:ascii="Arial" w:eastAsia="Times New Roman" w:hAnsi="Arial" w:cs="Arial"/>
          <w:sz w:val="24"/>
          <w:szCs w:val="24"/>
          <w:lang w:eastAsia="cs-CZ"/>
        </w:rPr>
      </w:pPr>
      <w:r>
        <w:rPr>
          <w:rFonts w:ascii="Arial" w:eastAsia="Times New Roman" w:hAnsi="Arial" w:cs="Arial"/>
          <w:sz w:val="24"/>
          <w:szCs w:val="24"/>
          <w:lang w:eastAsia="cs-CZ"/>
        </w:rPr>
        <w:t>V</w:t>
      </w:r>
      <w:r w:rsidR="00F84E65" w:rsidRPr="00F84E65">
        <w:rPr>
          <w:rFonts w:ascii="Arial" w:eastAsia="Times New Roman" w:hAnsi="Arial" w:cs="Arial"/>
          <w:sz w:val="24"/>
          <w:szCs w:val="24"/>
          <w:lang w:eastAsia="cs-CZ"/>
        </w:rPr>
        <w:t xml:space="preserve"> rámci projektu vydáno několika druhů propagačních tiskovin, které budou zacíleny jak na stávající návštěvníky kraje prostřednictvím jejich distribuce do TIC, tak na potenciální návštěvníky, kdy budou tiskoviny využity během veletrhů cestovního ruchu i při jiných prezentačních akcích. Vydán bude </w:t>
      </w:r>
      <w:r>
        <w:rPr>
          <w:rFonts w:ascii="Arial" w:eastAsia="Times New Roman" w:hAnsi="Arial" w:cs="Arial"/>
          <w:sz w:val="24"/>
          <w:szCs w:val="24"/>
          <w:lang w:eastAsia="cs-CZ"/>
        </w:rPr>
        <w:t>t</w:t>
      </w:r>
      <w:r w:rsidR="00F84E65" w:rsidRPr="00F84E65">
        <w:rPr>
          <w:rFonts w:ascii="Arial" w:eastAsia="Times New Roman" w:hAnsi="Arial" w:cs="Arial"/>
          <w:sz w:val="24"/>
          <w:szCs w:val="24"/>
          <w:lang w:eastAsia="cs-CZ"/>
        </w:rPr>
        <w:t>uristický průvodce Olomouckým krajem a tematické trhací mapy.</w:t>
      </w:r>
    </w:p>
    <w:p w14:paraId="4C2F6478" w14:textId="45D31A93" w:rsidR="0081263D" w:rsidRDefault="0081263D" w:rsidP="00121465">
      <w:pPr>
        <w:tabs>
          <w:tab w:val="right" w:pos="9072"/>
        </w:tabs>
        <w:spacing w:before="360"/>
        <w:jc w:val="both"/>
        <w:rPr>
          <w:rFonts w:ascii="Arial" w:hAnsi="Arial" w:cs="Arial"/>
          <w:b/>
        </w:rPr>
      </w:pPr>
      <w:r w:rsidRPr="00F064F5">
        <w:rPr>
          <w:rFonts w:ascii="Arial" w:hAnsi="Arial" w:cs="Arial"/>
          <w:b/>
        </w:rPr>
        <w:t>Předpokládaný termín realizace projektu:</w:t>
      </w:r>
      <w:r w:rsidR="004B0234" w:rsidRPr="00F064F5">
        <w:rPr>
          <w:rFonts w:ascii="Arial" w:hAnsi="Arial" w:cs="Arial"/>
          <w:b/>
        </w:rPr>
        <w:tab/>
      </w:r>
      <w:r w:rsidR="001D4595">
        <w:rPr>
          <w:rFonts w:ascii="Arial" w:hAnsi="Arial" w:cs="Arial"/>
          <w:b/>
        </w:rPr>
        <w:t>listopad</w:t>
      </w:r>
      <w:r w:rsidR="0051464A" w:rsidRPr="00F064F5">
        <w:rPr>
          <w:rFonts w:ascii="Arial" w:hAnsi="Arial" w:cs="Arial"/>
          <w:b/>
        </w:rPr>
        <w:t xml:space="preserve"> </w:t>
      </w:r>
      <w:r w:rsidR="004B0234" w:rsidRPr="00F064F5">
        <w:rPr>
          <w:rFonts w:ascii="Arial" w:hAnsi="Arial" w:cs="Arial"/>
          <w:b/>
        </w:rPr>
        <w:t>20</w:t>
      </w:r>
      <w:r w:rsidR="00333495">
        <w:rPr>
          <w:rFonts w:ascii="Arial" w:hAnsi="Arial" w:cs="Arial"/>
          <w:b/>
        </w:rPr>
        <w:t>2</w:t>
      </w:r>
      <w:r w:rsidR="001D4595">
        <w:rPr>
          <w:rFonts w:ascii="Arial" w:hAnsi="Arial" w:cs="Arial"/>
          <w:b/>
        </w:rPr>
        <w:t>1</w:t>
      </w:r>
      <w:r w:rsidRPr="00F064F5">
        <w:rPr>
          <w:rFonts w:ascii="Arial" w:hAnsi="Arial" w:cs="Arial"/>
          <w:b/>
        </w:rPr>
        <w:t xml:space="preserve"> – </w:t>
      </w:r>
      <w:r w:rsidR="000C416A" w:rsidRPr="00F064F5">
        <w:rPr>
          <w:rFonts w:ascii="Arial" w:hAnsi="Arial" w:cs="Arial"/>
          <w:b/>
        </w:rPr>
        <w:t>prosinec</w:t>
      </w:r>
      <w:r w:rsidR="0051464A" w:rsidRPr="00F064F5">
        <w:rPr>
          <w:rFonts w:ascii="Arial" w:hAnsi="Arial" w:cs="Arial"/>
          <w:b/>
        </w:rPr>
        <w:t xml:space="preserve"> 202</w:t>
      </w:r>
      <w:r w:rsidR="001D4595">
        <w:rPr>
          <w:rFonts w:ascii="Arial" w:hAnsi="Arial" w:cs="Arial"/>
          <w:b/>
        </w:rPr>
        <w:t>2</w:t>
      </w:r>
    </w:p>
    <w:p w14:paraId="4EAF64A0" w14:textId="2A509B25" w:rsidR="006950D7" w:rsidRDefault="006950D7" w:rsidP="006950D7">
      <w:pPr>
        <w:tabs>
          <w:tab w:val="right" w:pos="9072"/>
        </w:tabs>
        <w:spacing w:before="240"/>
        <w:jc w:val="both"/>
        <w:rPr>
          <w:rFonts w:ascii="Arial" w:hAnsi="Arial" w:cs="Arial"/>
          <w:b/>
        </w:rPr>
      </w:pPr>
      <w:r w:rsidRPr="00F064F5">
        <w:rPr>
          <w:rFonts w:ascii="Arial" w:hAnsi="Arial" w:cs="Arial"/>
          <w:b/>
        </w:rPr>
        <w:t>Předpokládané celkové</w:t>
      </w:r>
      <w:r w:rsidR="00995A90">
        <w:rPr>
          <w:rFonts w:ascii="Arial" w:hAnsi="Arial" w:cs="Arial"/>
          <w:b/>
        </w:rPr>
        <w:t xml:space="preserve"> </w:t>
      </w:r>
      <w:r w:rsidRPr="00F064F5">
        <w:rPr>
          <w:rFonts w:ascii="Arial" w:hAnsi="Arial" w:cs="Arial"/>
          <w:b/>
        </w:rPr>
        <w:t>výdaje projektu vč. DPH:</w:t>
      </w:r>
      <w:r w:rsidRPr="00F064F5">
        <w:rPr>
          <w:rFonts w:ascii="Arial" w:hAnsi="Arial" w:cs="Arial"/>
          <w:b/>
        </w:rPr>
        <w:tab/>
      </w:r>
      <w:r>
        <w:rPr>
          <w:rFonts w:ascii="Arial" w:hAnsi="Arial" w:cs="Arial"/>
          <w:b/>
        </w:rPr>
        <w:t>3</w:t>
      </w:r>
      <w:r w:rsidR="00995A90">
        <w:rPr>
          <w:rFonts w:ascii="Arial" w:hAnsi="Arial" w:cs="Arial"/>
          <w:b/>
        </w:rPr>
        <w:t> 52</w:t>
      </w:r>
      <w:r w:rsidR="007E2EDB">
        <w:rPr>
          <w:rFonts w:ascii="Arial" w:hAnsi="Arial" w:cs="Arial"/>
          <w:b/>
        </w:rPr>
        <w:t>5</w:t>
      </w:r>
      <w:r w:rsidR="00995A90">
        <w:rPr>
          <w:rFonts w:ascii="Arial" w:hAnsi="Arial" w:cs="Arial"/>
          <w:b/>
        </w:rPr>
        <w:t xml:space="preserve"> 940</w:t>
      </w:r>
      <w:r w:rsidRPr="00F064F5">
        <w:rPr>
          <w:rFonts w:ascii="Arial" w:hAnsi="Arial" w:cs="Arial"/>
          <w:b/>
        </w:rPr>
        <w:t>,00 Kč</w:t>
      </w:r>
    </w:p>
    <w:p w14:paraId="667B106F" w14:textId="278B5B5A" w:rsidR="00995A90" w:rsidRPr="00F064F5" w:rsidRDefault="00E453AC" w:rsidP="006950D7">
      <w:pPr>
        <w:tabs>
          <w:tab w:val="right" w:pos="9072"/>
        </w:tabs>
        <w:spacing w:before="240"/>
        <w:jc w:val="both"/>
        <w:rPr>
          <w:rFonts w:ascii="Arial" w:hAnsi="Arial" w:cs="Arial"/>
          <w:b/>
        </w:rPr>
      </w:pPr>
      <w:r>
        <w:rPr>
          <w:rFonts w:ascii="Arial" w:hAnsi="Arial" w:cs="Arial"/>
          <w:b/>
        </w:rPr>
        <w:t>Neuznatelné výdaje, tj. DPH</w:t>
      </w:r>
      <w:r>
        <w:rPr>
          <w:rFonts w:ascii="Arial" w:hAnsi="Arial" w:cs="Arial"/>
          <w:b/>
        </w:rPr>
        <w:tab/>
        <w:t>611 940,00</w:t>
      </w:r>
      <w:r w:rsidR="009B0B3F">
        <w:rPr>
          <w:rFonts w:ascii="Arial" w:hAnsi="Arial" w:cs="Arial"/>
          <w:b/>
        </w:rPr>
        <w:t xml:space="preserve"> Kč</w:t>
      </w:r>
    </w:p>
    <w:p w14:paraId="512E2589" w14:textId="29EBE7B3" w:rsidR="00C7546B" w:rsidRPr="00C12ADC" w:rsidRDefault="0081263D" w:rsidP="00C12ADC">
      <w:pPr>
        <w:tabs>
          <w:tab w:val="right" w:pos="9072"/>
        </w:tabs>
        <w:spacing w:before="240"/>
        <w:jc w:val="both"/>
        <w:rPr>
          <w:rFonts w:ascii="Arial" w:hAnsi="Arial" w:cs="Arial"/>
          <w:b/>
        </w:rPr>
      </w:pPr>
      <w:r w:rsidRPr="00F064F5">
        <w:rPr>
          <w:rFonts w:ascii="Arial" w:hAnsi="Arial" w:cs="Arial"/>
          <w:b/>
        </w:rPr>
        <w:t xml:space="preserve">Předpokládané celkové </w:t>
      </w:r>
      <w:r w:rsidR="000C416A" w:rsidRPr="00F064F5">
        <w:rPr>
          <w:rFonts w:ascii="Arial" w:hAnsi="Arial" w:cs="Arial"/>
          <w:b/>
        </w:rPr>
        <w:t>uznatelné</w:t>
      </w:r>
      <w:r w:rsidR="00B028AF" w:rsidRPr="00F064F5">
        <w:rPr>
          <w:rFonts w:ascii="Arial" w:hAnsi="Arial" w:cs="Arial"/>
          <w:b/>
        </w:rPr>
        <w:t xml:space="preserve"> </w:t>
      </w:r>
      <w:r w:rsidR="000C416A" w:rsidRPr="00F064F5">
        <w:rPr>
          <w:rFonts w:ascii="Arial" w:hAnsi="Arial" w:cs="Arial"/>
          <w:b/>
        </w:rPr>
        <w:t>výdaje</w:t>
      </w:r>
      <w:r w:rsidRPr="00F064F5">
        <w:rPr>
          <w:rFonts w:ascii="Arial" w:hAnsi="Arial" w:cs="Arial"/>
          <w:b/>
        </w:rPr>
        <w:t xml:space="preserve"> projektu</w:t>
      </w:r>
      <w:r w:rsidR="009B0B3F">
        <w:rPr>
          <w:rFonts w:ascii="Arial" w:hAnsi="Arial" w:cs="Arial"/>
          <w:b/>
        </w:rPr>
        <w:t>, tj.</w:t>
      </w:r>
      <w:r w:rsidRPr="00F064F5">
        <w:rPr>
          <w:rFonts w:ascii="Arial" w:hAnsi="Arial" w:cs="Arial"/>
          <w:b/>
        </w:rPr>
        <w:t xml:space="preserve"> </w:t>
      </w:r>
      <w:r w:rsidR="00995A90">
        <w:rPr>
          <w:rFonts w:ascii="Arial" w:hAnsi="Arial" w:cs="Arial"/>
          <w:b/>
        </w:rPr>
        <w:t>bez</w:t>
      </w:r>
      <w:r w:rsidRPr="00F064F5">
        <w:rPr>
          <w:rFonts w:ascii="Arial" w:hAnsi="Arial" w:cs="Arial"/>
          <w:b/>
        </w:rPr>
        <w:t xml:space="preserve"> DPH:</w:t>
      </w:r>
      <w:r w:rsidRPr="00F064F5">
        <w:rPr>
          <w:rFonts w:ascii="Arial" w:hAnsi="Arial" w:cs="Arial"/>
          <w:b/>
        </w:rPr>
        <w:tab/>
      </w:r>
      <w:r w:rsidR="00333495">
        <w:rPr>
          <w:rFonts w:ascii="Arial" w:hAnsi="Arial" w:cs="Arial"/>
          <w:b/>
        </w:rPr>
        <w:t>2 914</w:t>
      </w:r>
      <w:r w:rsidR="006D5682" w:rsidRPr="00F064F5">
        <w:rPr>
          <w:rFonts w:ascii="Arial" w:hAnsi="Arial" w:cs="Arial"/>
          <w:b/>
        </w:rPr>
        <w:t xml:space="preserve"> 000</w:t>
      </w:r>
      <w:r w:rsidRPr="00F064F5">
        <w:rPr>
          <w:rFonts w:ascii="Arial" w:hAnsi="Arial" w:cs="Arial"/>
          <w:b/>
        </w:rPr>
        <w:t>,00 Kč</w:t>
      </w:r>
    </w:p>
    <w:p w14:paraId="2B6F784D" w14:textId="3A3B446D" w:rsidR="000C416A" w:rsidRPr="000C416A" w:rsidRDefault="000C416A" w:rsidP="00EB744B">
      <w:pPr>
        <w:tabs>
          <w:tab w:val="right" w:pos="9072"/>
        </w:tabs>
        <w:spacing w:before="120"/>
        <w:jc w:val="both"/>
        <w:rPr>
          <w:rFonts w:ascii="Arial" w:hAnsi="Arial" w:cs="Arial"/>
        </w:rPr>
      </w:pPr>
    </w:p>
    <w:p w14:paraId="7E458E90" w14:textId="77777777" w:rsidR="005621C7" w:rsidRDefault="00FD6331" w:rsidP="00FD6331">
      <w:pPr>
        <w:spacing w:before="120" w:after="120"/>
        <w:jc w:val="both"/>
        <w:rPr>
          <w:rFonts w:ascii="Arial" w:hAnsi="Arial" w:cs="Arial"/>
          <w:bCs/>
        </w:rPr>
      </w:pPr>
      <w:r w:rsidRPr="00165D7C">
        <w:rPr>
          <w:rFonts w:ascii="Arial" w:hAnsi="Arial" w:cs="Arial"/>
          <w:bCs/>
        </w:rPr>
        <w:t>Ceny u aktivit jsou uváděny bez DPH, protože CCROK je pl</w:t>
      </w:r>
      <w:r>
        <w:rPr>
          <w:rFonts w:ascii="Arial" w:hAnsi="Arial" w:cs="Arial"/>
          <w:bCs/>
        </w:rPr>
        <w:t>á</w:t>
      </w:r>
      <w:r w:rsidRPr="00165D7C">
        <w:rPr>
          <w:rFonts w:ascii="Arial" w:hAnsi="Arial" w:cs="Arial"/>
          <w:bCs/>
        </w:rPr>
        <w:t xml:space="preserve">tce DPH </w:t>
      </w:r>
      <w:r>
        <w:rPr>
          <w:rFonts w:ascii="Arial" w:hAnsi="Arial" w:cs="Arial"/>
          <w:bCs/>
        </w:rPr>
        <w:t>mající zákonný nárok na odpočet DPH ve vztahu k aktivitám projektu</w:t>
      </w:r>
      <w:r w:rsidRPr="00165D7C">
        <w:rPr>
          <w:rFonts w:ascii="Arial" w:hAnsi="Arial" w:cs="Arial"/>
          <w:bCs/>
        </w:rPr>
        <w:t xml:space="preserve"> </w:t>
      </w:r>
      <w:r>
        <w:rPr>
          <w:rFonts w:ascii="Arial" w:hAnsi="Arial" w:cs="Arial"/>
          <w:bCs/>
        </w:rPr>
        <w:t>a</w:t>
      </w:r>
      <w:r w:rsidRPr="00165D7C">
        <w:rPr>
          <w:rFonts w:ascii="Arial" w:hAnsi="Arial" w:cs="Arial"/>
          <w:bCs/>
        </w:rPr>
        <w:t xml:space="preserve"> DPH </w:t>
      </w:r>
      <w:r>
        <w:rPr>
          <w:rFonts w:ascii="Arial" w:hAnsi="Arial" w:cs="Arial"/>
          <w:bCs/>
        </w:rPr>
        <w:t xml:space="preserve">je tudíž </w:t>
      </w:r>
      <w:r w:rsidRPr="00165D7C">
        <w:rPr>
          <w:rFonts w:ascii="Arial" w:hAnsi="Arial" w:cs="Arial"/>
          <w:bCs/>
        </w:rPr>
        <w:t>neuznatelným výdajem</w:t>
      </w:r>
      <w:r>
        <w:rPr>
          <w:rFonts w:ascii="Arial" w:hAnsi="Arial" w:cs="Arial"/>
          <w:bCs/>
        </w:rPr>
        <w:t>.</w:t>
      </w:r>
      <w:r w:rsidRPr="00165D7C">
        <w:rPr>
          <w:rFonts w:ascii="Arial" w:hAnsi="Arial" w:cs="Arial"/>
          <w:bCs/>
        </w:rPr>
        <w:t xml:space="preserve"> </w:t>
      </w:r>
    </w:p>
    <w:p w14:paraId="1513F6B7" w14:textId="3860C2F9" w:rsidR="00FD6331" w:rsidRPr="00165D7C" w:rsidRDefault="00FD6331" w:rsidP="00FD6331">
      <w:pPr>
        <w:spacing w:before="120" w:after="120"/>
        <w:jc w:val="both"/>
        <w:rPr>
          <w:rFonts w:ascii="Arial" w:hAnsi="Arial" w:cs="Arial"/>
          <w:bCs/>
        </w:rPr>
      </w:pPr>
      <w:r>
        <w:rPr>
          <w:rFonts w:ascii="Arial" w:hAnsi="Arial" w:cs="Arial"/>
          <w:bCs/>
        </w:rPr>
        <w:t>V</w:t>
      </w:r>
      <w:r w:rsidRPr="00165D7C">
        <w:rPr>
          <w:rFonts w:ascii="Arial" w:hAnsi="Arial" w:cs="Arial"/>
          <w:bCs/>
        </w:rPr>
        <w:t xml:space="preserve"> žádosti o dotaci mohou být </w:t>
      </w:r>
      <w:r w:rsidR="005621C7">
        <w:rPr>
          <w:rFonts w:ascii="Arial" w:hAnsi="Arial" w:cs="Arial"/>
          <w:bCs/>
        </w:rPr>
        <w:t xml:space="preserve">uvedeny jen </w:t>
      </w:r>
      <w:r w:rsidR="005621C7" w:rsidRPr="00165D7C">
        <w:rPr>
          <w:rFonts w:ascii="Arial" w:hAnsi="Arial" w:cs="Arial"/>
          <w:bCs/>
        </w:rPr>
        <w:t xml:space="preserve">uznatelné </w:t>
      </w:r>
      <w:r w:rsidRPr="00165D7C">
        <w:rPr>
          <w:rFonts w:ascii="Arial" w:hAnsi="Arial" w:cs="Arial"/>
          <w:bCs/>
        </w:rPr>
        <w:t xml:space="preserve">výdaje, tj. bez DPH. </w:t>
      </w:r>
    </w:p>
    <w:p w14:paraId="6E66EC00" w14:textId="77777777" w:rsidR="002E5D28" w:rsidRPr="00F24A6A" w:rsidRDefault="004C6665" w:rsidP="00F24A6A">
      <w:pPr>
        <w:spacing w:before="240" w:after="240"/>
        <w:jc w:val="both"/>
        <w:rPr>
          <w:rFonts w:ascii="Arial" w:hAnsi="Arial" w:cs="Arial"/>
          <w:b/>
        </w:rPr>
      </w:pPr>
      <w:r w:rsidRPr="00F24A6A">
        <w:rPr>
          <w:rFonts w:ascii="Arial" w:hAnsi="Arial" w:cs="Arial"/>
          <w:b/>
        </w:rPr>
        <w:t>Členění celkových nákladů projektu:</w:t>
      </w:r>
    </w:p>
    <w:tbl>
      <w:tblPr>
        <w:tblW w:w="9203" w:type="dxa"/>
        <w:tblInd w:w="113" w:type="dxa"/>
        <w:tblLayout w:type="fixed"/>
        <w:tblCellMar>
          <w:left w:w="0" w:type="dxa"/>
          <w:right w:w="0" w:type="dxa"/>
        </w:tblCellMar>
        <w:tblLook w:val="0000" w:firstRow="0" w:lastRow="0" w:firstColumn="0" w:lastColumn="0" w:noHBand="0" w:noVBand="0"/>
      </w:tblPr>
      <w:tblGrid>
        <w:gridCol w:w="1840"/>
        <w:gridCol w:w="1841"/>
        <w:gridCol w:w="1841"/>
        <w:gridCol w:w="1840"/>
        <w:gridCol w:w="1841"/>
      </w:tblGrid>
      <w:tr w:rsidR="009B0B3F" w:rsidRPr="005B05FE" w14:paraId="70496966" w14:textId="06F7F485" w:rsidTr="009B0B3F">
        <w:trPr>
          <w:trHeight w:val="551"/>
        </w:trPr>
        <w:tc>
          <w:tcPr>
            <w:tcW w:w="1840" w:type="dxa"/>
            <w:tcBorders>
              <w:top w:val="single" w:sz="4" w:space="0" w:color="auto"/>
              <w:left w:val="single" w:sz="4" w:space="0" w:color="auto"/>
              <w:bottom w:val="single" w:sz="4" w:space="0" w:color="auto"/>
              <w:right w:val="single" w:sz="4" w:space="0" w:color="auto"/>
            </w:tcBorders>
            <w:shd w:val="clear" w:color="auto" w:fill="D9D9D9"/>
            <w:vAlign w:val="center"/>
          </w:tcPr>
          <w:p w14:paraId="4AA638F7" w14:textId="58AD7E68" w:rsidR="009B0B3F" w:rsidRPr="00B3066D" w:rsidRDefault="009B0B3F" w:rsidP="00994A4D">
            <w:pPr>
              <w:jc w:val="center"/>
              <w:rPr>
                <w:rFonts w:ascii="Arial" w:hAnsi="Arial" w:cs="Arial"/>
                <w:b/>
                <w:bCs/>
                <w:sz w:val="16"/>
                <w:szCs w:val="16"/>
              </w:rPr>
            </w:pPr>
            <w:r w:rsidRPr="00B3066D">
              <w:rPr>
                <w:rFonts w:ascii="Arial" w:hAnsi="Arial" w:cs="Arial"/>
                <w:b/>
                <w:bCs/>
                <w:sz w:val="16"/>
                <w:szCs w:val="16"/>
              </w:rPr>
              <w:t>Celkové výdaje</w:t>
            </w:r>
          </w:p>
          <w:p w14:paraId="7D8CA4B1" w14:textId="72C89473" w:rsidR="009B0B3F" w:rsidRPr="00B3066D" w:rsidRDefault="009B0B3F" w:rsidP="00994A4D">
            <w:pPr>
              <w:jc w:val="center"/>
              <w:rPr>
                <w:rFonts w:ascii="Arial" w:hAnsi="Arial" w:cs="Arial"/>
                <w:b/>
                <w:bCs/>
                <w:sz w:val="16"/>
                <w:szCs w:val="16"/>
              </w:rPr>
            </w:pPr>
            <w:r w:rsidRPr="00B3066D">
              <w:rPr>
                <w:rFonts w:ascii="Arial" w:hAnsi="Arial" w:cs="Arial"/>
                <w:b/>
                <w:bCs/>
                <w:sz w:val="16"/>
                <w:szCs w:val="16"/>
              </w:rPr>
              <w:t>Vč. DPH</w:t>
            </w:r>
          </w:p>
        </w:tc>
        <w:tc>
          <w:tcPr>
            <w:tcW w:w="1841" w:type="dxa"/>
            <w:tcBorders>
              <w:top w:val="single" w:sz="4" w:space="0" w:color="auto"/>
              <w:left w:val="single" w:sz="4" w:space="0" w:color="auto"/>
              <w:bottom w:val="single" w:sz="4" w:space="0" w:color="auto"/>
              <w:right w:val="single" w:sz="4" w:space="0" w:color="auto"/>
            </w:tcBorders>
            <w:shd w:val="clear" w:color="auto" w:fill="D9D9D9"/>
            <w:vAlign w:val="center"/>
          </w:tcPr>
          <w:p w14:paraId="4655C57A" w14:textId="77777777" w:rsidR="009B0B3F" w:rsidRPr="00B3066D" w:rsidRDefault="009B0B3F" w:rsidP="00994A4D">
            <w:pPr>
              <w:jc w:val="center"/>
              <w:rPr>
                <w:rFonts w:ascii="Arial" w:hAnsi="Arial" w:cs="Arial"/>
                <w:b/>
                <w:bCs/>
                <w:sz w:val="16"/>
                <w:szCs w:val="16"/>
              </w:rPr>
            </w:pPr>
            <w:r w:rsidRPr="00B3066D">
              <w:rPr>
                <w:rFonts w:ascii="Arial" w:hAnsi="Arial" w:cs="Arial"/>
                <w:b/>
                <w:bCs/>
                <w:sz w:val="16"/>
                <w:szCs w:val="16"/>
              </w:rPr>
              <w:t>Neuznatelné výdaje/DPH/</w:t>
            </w:r>
          </w:p>
          <w:p w14:paraId="7CD4CFC2" w14:textId="6385A200" w:rsidR="009B0B3F" w:rsidRPr="00B3066D" w:rsidRDefault="009B0B3F" w:rsidP="00994A4D">
            <w:pPr>
              <w:jc w:val="center"/>
              <w:rPr>
                <w:rFonts w:ascii="Arial" w:hAnsi="Arial" w:cs="Arial"/>
                <w:b/>
                <w:bCs/>
                <w:sz w:val="16"/>
                <w:szCs w:val="16"/>
              </w:rPr>
            </w:pPr>
            <w:r w:rsidRPr="00B3066D">
              <w:rPr>
                <w:rFonts w:ascii="Arial" w:hAnsi="Arial" w:cs="Arial"/>
                <w:b/>
                <w:bCs/>
                <w:sz w:val="16"/>
                <w:szCs w:val="16"/>
              </w:rPr>
              <w:t>CCROK</w:t>
            </w:r>
          </w:p>
        </w:tc>
        <w:tc>
          <w:tcPr>
            <w:tcW w:w="1841"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5D29A951" w14:textId="1855C6B1" w:rsidR="009B0B3F" w:rsidRPr="00B3066D" w:rsidRDefault="009B0B3F" w:rsidP="00994A4D">
            <w:pPr>
              <w:jc w:val="center"/>
              <w:rPr>
                <w:rFonts w:ascii="Arial" w:hAnsi="Arial" w:cs="Arial"/>
                <w:b/>
                <w:bCs/>
                <w:sz w:val="16"/>
                <w:szCs w:val="16"/>
              </w:rPr>
            </w:pPr>
            <w:r w:rsidRPr="00B3066D">
              <w:rPr>
                <w:rFonts w:ascii="Arial" w:hAnsi="Arial" w:cs="Arial"/>
                <w:b/>
                <w:bCs/>
                <w:sz w:val="16"/>
                <w:szCs w:val="16"/>
              </w:rPr>
              <w:t>Uznatelné výdaje</w:t>
            </w:r>
          </w:p>
          <w:p w14:paraId="18BF8C56" w14:textId="3C0A544D" w:rsidR="009B0B3F" w:rsidRPr="00B3066D" w:rsidRDefault="009B0B3F" w:rsidP="00994A4D">
            <w:pPr>
              <w:jc w:val="center"/>
              <w:rPr>
                <w:rFonts w:ascii="Arial" w:hAnsi="Arial" w:cs="Arial"/>
                <w:sz w:val="16"/>
                <w:szCs w:val="16"/>
              </w:rPr>
            </w:pPr>
            <w:r w:rsidRPr="00B3066D">
              <w:rPr>
                <w:rFonts w:ascii="Arial" w:hAnsi="Arial" w:cs="Arial"/>
                <w:b/>
                <w:bCs/>
                <w:sz w:val="16"/>
                <w:szCs w:val="16"/>
              </w:rPr>
              <w:t>Bez DPH</w:t>
            </w:r>
          </w:p>
        </w:tc>
        <w:tc>
          <w:tcPr>
            <w:tcW w:w="1840"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0258628C" w14:textId="77777777" w:rsidR="009B0B3F" w:rsidRPr="00B3066D" w:rsidRDefault="009B0B3F" w:rsidP="00994A4D">
            <w:pPr>
              <w:jc w:val="center"/>
              <w:rPr>
                <w:rFonts w:ascii="Arial" w:hAnsi="Arial" w:cs="Arial"/>
                <w:b/>
                <w:bCs/>
                <w:sz w:val="16"/>
                <w:szCs w:val="16"/>
              </w:rPr>
            </w:pPr>
            <w:r w:rsidRPr="00B3066D">
              <w:rPr>
                <w:rFonts w:ascii="Arial" w:hAnsi="Arial" w:cs="Arial"/>
                <w:b/>
                <w:bCs/>
                <w:sz w:val="16"/>
                <w:szCs w:val="16"/>
              </w:rPr>
              <w:t xml:space="preserve"> 50 % dotace </w:t>
            </w:r>
            <w:proofErr w:type="spellStart"/>
            <w:r w:rsidRPr="00B3066D">
              <w:rPr>
                <w:rFonts w:ascii="Arial" w:hAnsi="Arial" w:cs="Arial"/>
                <w:b/>
                <w:bCs/>
                <w:sz w:val="16"/>
                <w:szCs w:val="16"/>
              </w:rPr>
              <w:t>NPPCRvR</w:t>
            </w:r>
            <w:proofErr w:type="spellEnd"/>
          </w:p>
          <w:p w14:paraId="07776BD4" w14:textId="4FCC566F" w:rsidR="009B0B3F" w:rsidRPr="00B3066D" w:rsidRDefault="009B0B3F" w:rsidP="00994A4D">
            <w:pPr>
              <w:jc w:val="center"/>
              <w:rPr>
                <w:rFonts w:ascii="Arial" w:hAnsi="Arial" w:cs="Arial"/>
                <w:sz w:val="16"/>
                <w:szCs w:val="16"/>
              </w:rPr>
            </w:pPr>
            <w:r w:rsidRPr="00B3066D">
              <w:rPr>
                <w:rFonts w:ascii="Arial" w:hAnsi="Arial" w:cs="Arial"/>
                <w:b/>
                <w:bCs/>
                <w:sz w:val="16"/>
                <w:szCs w:val="16"/>
              </w:rPr>
              <w:t>Bez DPH</w:t>
            </w:r>
          </w:p>
        </w:tc>
        <w:tc>
          <w:tcPr>
            <w:tcW w:w="1841"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2541A0C2" w14:textId="23A344DB" w:rsidR="009B0B3F" w:rsidRPr="00B3066D" w:rsidRDefault="009B0B3F" w:rsidP="00994A4D">
            <w:pPr>
              <w:jc w:val="center"/>
              <w:rPr>
                <w:rFonts w:ascii="Arial" w:hAnsi="Arial" w:cs="Arial"/>
                <w:b/>
                <w:bCs/>
                <w:sz w:val="16"/>
                <w:szCs w:val="16"/>
              </w:rPr>
            </w:pPr>
            <w:r w:rsidRPr="00B3066D">
              <w:rPr>
                <w:rFonts w:ascii="Arial" w:hAnsi="Arial" w:cs="Arial"/>
                <w:b/>
                <w:bCs/>
                <w:sz w:val="16"/>
                <w:szCs w:val="16"/>
              </w:rPr>
              <w:t xml:space="preserve">50 % </w:t>
            </w:r>
            <w:proofErr w:type="spellStart"/>
            <w:r w:rsidRPr="00B3066D">
              <w:rPr>
                <w:rFonts w:ascii="Arial" w:hAnsi="Arial" w:cs="Arial"/>
                <w:b/>
                <w:bCs/>
                <w:sz w:val="16"/>
                <w:szCs w:val="16"/>
              </w:rPr>
              <w:t>spolufin</w:t>
            </w:r>
            <w:proofErr w:type="spellEnd"/>
            <w:r>
              <w:rPr>
                <w:rFonts w:ascii="Arial" w:hAnsi="Arial" w:cs="Arial"/>
                <w:b/>
                <w:bCs/>
                <w:sz w:val="16"/>
                <w:szCs w:val="16"/>
              </w:rPr>
              <w:t>.</w:t>
            </w:r>
          </w:p>
          <w:p w14:paraId="019A74E2" w14:textId="77777777" w:rsidR="009B0B3F" w:rsidRPr="00B3066D" w:rsidRDefault="009B0B3F" w:rsidP="00994A4D">
            <w:pPr>
              <w:jc w:val="center"/>
              <w:rPr>
                <w:rFonts w:ascii="Arial" w:hAnsi="Arial" w:cs="Arial"/>
                <w:b/>
                <w:bCs/>
                <w:sz w:val="16"/>
                <w:szCs w:val="16"/>
              </w:rPr>
            </w:pPr>
            <w:r w:rsidRPr="00B3066D">
              <w:rPr>
                <w:rFonts w:ascii="Arial" w:hAnsi="Arial" w:cs="Arial"/>
                <w:b/>
                <w:bCs/>
                <w:sz w:val="16"/>
                <w:szCs w:val="16"/>
              </w:rPr>
              <w:t>CCROK</w:t>
            </w:r>
          </w:p>
          <w:p w14:paraId="0B705A6B" w14:textId="56FEBEE3" w:rsidR="009B0B3F" w:rsidRPr="00B3066D" w:rsidRDefault="009B0B3F" w:rsidP="00994A4D">
            <w:pPr>
              <w:jc w:val="center"/>
              <w:rPr>
                <w:rFonts w:ascii="Arial" w:hAnsi="Arial" w:cs="Arial"/>
                <w:sz w:val="16"/>
                <w:szCs w:val="16"/>
              </w:rPr>
            </w:pPr>
            <w:r w:rsidRPr="00B3066D">
              <w:rPr>
                <w:rFonts w:ascii="Arial" w:hAnsi="Arial" w:cs="Arial"/>
                <w:b/>
                <w:bCs/>
                <w:sz w:val="16"/>
                <w:szCs w:val="16"/>
              </w:rPr>
              <w:t>Bez DPH</w:t>
            </w:r>
          </w:p>
        </w:tc>
      </w:tr>
      <w:tr w:rsidR="009B0B3F" w:rsidRPr="00B3066D" w14:paraId="2D813993" w14:textId="2E4D693B" w:rsidTr="009B0B3F">
        <w:trPr>
          <w:trHeight w:val="607"/>
        </w:trPr>
        <w:tc>
          <w:tcPr>
            <w:tcW w:w="1840" w:type="dxa"/>
            <w:tcBorders>
              <w:top w:val="single" w:sz="4" w:space="0" w:color="auto"/>
              <w:left w:val="single" w:sz="4" w:space="0" w:color="auto"/>
              <w:bottom w:val="single" w:sz="4" w:space="0" w:color="auto"/>
              <w:right w:val="single" w:sz="4" w:space="0" w:color="auto"/>
            </w:tcBorders>
            <w:vAlign w:val="center"/>
          </w:tcPr>
          <w:p w14:paraId="49C26677" w14:textId="66FE49D1" w:rsidR="009B0B3F" w:rsidRPr="00B3066D" w:rsidRDefault="009B0B3F" w:rsidP="00B3066D">
            <w:pPr>
              <w:spacing w:before="120" w:after="120"/>
              <w:jc w:val="center"/>
              <w:rPr>
                <w:rFonts w:ascii="Arial" w:hAnsi="Arial" w:cs="Arial"/>
                <w:bCs/>
                <w:sz w:val="18"/>
                <w:szCs w:val="18"/>
              </w:rPr>
            </w:pPr>
            <w:r w:rsidRPr="00B3066D">
              <w:rPr>
                <w:rFonts w:ascii="Arial" w:hAnsi="Arial" w:cs="Arial"/>
                <w:bCs/>
                <w:sz w:val="18"/>
                <w:szCs w:val="18"/>
              </w:rPr>
              <w:t>3</w:t>
            </w:r>
            <w:r>
              <w:rPr>
                <w:rFonts w:ascii="Arial" w:hAnsi="Arial" w:cs="Arial"/>
                <w:bCs/>
                <w:sz w:val="18"/>
                <w:szCs w:val="18"/>
              </w:rPr>
              <w:t> 5</w:t>
            </w:r>
            <w:r w:rsidRPr="00B3066D">
              <w:rPr>
                <w:rFonts w:ascii="Arial" w:hAnsi="Arial" w:cs="Arial"/>
                <w:bCs/>
                <w:sz w:val="18"/>
                <w:szCs w:val="18"/>
              </w:rPr>
              <w:t>2</w:t>
            </w:r>
            <w:r w:rsidR="007E2EDB">
              <w:rPr>
                <w:rFonts w:ascii="Arial" w:hAnsi="Arial" w:cs="Arial"/>
                <w:bCs/>
                <w:sz w:val="18"/>
                <w:szCs w:val="18"/>
              </w:rPr>
              <w:t>5</w:t>
            </w:r>
            <w:r>
              <w:rPr>
                <w:rFonts w:ascii="Arial" w:hAnsi="Arial" w:cs="Arial"/>
                <w:bCs/>
                <w:sz w:val="18"/>
                <w:szCs w:val="18"/>
              </w:rPr>
              <w:t xml:space="preserve"> </w:t>
            </w:r>
            <w:r w:rsidRPr="00B3066D">
              <w:rPr>
                <w:rFonts w:ascii="Arial" w:hAnsi="Arial" w:cs="Arial"/>
                <w:bCs/>
                <w:sz w:val="18"/>
                <w:szCs w:val="18"/>
              </w:rPr>
              <w:t>940,00 Kč</w:t>
            </w:r>
          </w:p>
        </w:tc>
        <w:tc>
          <w:tcPr>
            <w:tcW w:w="1841" w:type="dxa"/>
            <w:tcBorders>
              <w:top w:val="single" w:sz="4" w:space="0" w:color="auto"/>
              <w:left w:val="single" w:sz="4" w:space="0" w:color="auto"/>
              <w:bottom w:val="single" w:sz="4" w:space="0" w:color="auto"/>
              <w:right w:val="single" w:sz="4" w:space="0" w:color="auto"/>
            </w:tcBorders>
            <w:vAlign w:val="center"/>
          </w:tcPr>
          <w:p w14:paraId="68A0D141" w14:textId="18A4BB2F" w:rsidR="009B0B3F" w:rsidRPr="00B3066D" w:rsidRDefault="009B0B3F" w:rsidP="00B3066D">
            <w:pPr>
              <w:spacing w:before="120" w:after="120"/>
              <w:jc w:val="center"/>
              <w:rPr>
                <w:rFonts w:ascii="Arial" w:hAnsi="Arial" w:cs="Arial"/>
                <w:bCs/>
                <w:sz w:val="18"/>
                <w:szCs w:val="18"/>
              </w:rPr>
            </w:pPr>
            <w:r w:rsidRPr="00B3066D">
              <w:rPr>
                <w:rFonts w:ascii="Arial" w:hAnsi="Arial" w:cs="Arial"/>
                <w:bCs/>
                <w:sz w:val="18"/>
                <w:szCs w:val="18"/>
              </w:rPr>
              <w:t>611 940,00 Kč</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3398F8" w14:textId="7D7D3017" w:rsidR="009B0B3F" w:rsidRPr="00B3066D" w:rsidRDefault="009B0B3F" w:rsidP="00B3066D">
            <w:pPr>
              <w:spacing w:before="120" w:after="120"/>
              <w:jc w:val="center"/>
              <w:rPr>
                <w:rFonts w:ascii="Arial" w:hAnsi="Arial" w:cs="Arial"/>
                <w:sz w:val="18"/>
                <w:szCs w:val="18"/>
              </w:rPr>
            </w:pPr>
            <w:r w:rsidRPr="00B3066D">
              <w:rPr>
                <w:rFonts w:ascii="Arial" w:hAnsi="Arial" w:cs="Arial"/>
                <w:bCs/>
                <w:sz w:val="18"/>
                <w:szCs w:val="18"/>
              </w:rPr>
              <w:t>2 914 000,00 Kč</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803DF5" w14:textId="77777777" w:rsidR="009B0B3F" w:rsidRPr="00B3066D" w:rsidRDefault="009B0B3F" w:rsidP="00B3066D">
            <w:pPr>
              <w:spacing w:before="120" w:after="120"/>
              <w:jc w:val="center"/>
              <w:rPr>
                <w:rFonts w:ascii="Arial" w:hAnsi="Arial" w:cs="Arial"/>
                <w:sz w:val="18"/>
                <w:szCs w:val="18"/>
              </w:rPr>
            </w:pPr>
            <w:r w:rsidRPr="00B3066D">
              <w:rPr>
                <w:rFonts w:ascii="Arial" w:hAnsi="Arial" w:cs="Arial"/>
                <w:sz w:val="18"/>
                <w:szCs w:val="18"/>
              </w:rPr>
              <w:t>1 457 000,00 Kč</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D5AE00" w14:textId="77777777" w:rsidR="009B0B3F" w:rsidRPr="00B3066D" w:rsidRDefault="009B0B3F" w:rsidP="00B3066D">
            <w:pPr>
              <w:spacing w:before="120" w:after="120"/>
              <w:jc w:val="center"/>
              <w:rPr>
                <w:rFonts w:ascii="Arial" w:hAnsi="Arial" w:cs="Arial"/>
                <w:sz w:val="18"/>
                <w:szCs w:val="18"/>
              </w:rPr>
            </w:pPr>
            <w:r w:rsidRPr="00B3066D">
              <w:rPr>
                <w:rFonts w:ascii="Arial" w:hAnsi="Arial" w:cs="Arial"/>
                <w:sz w:val="18"/>
                <w:szCs w:val="18"/>
              </w:rPr>
              <w:t>1 457 000,00 Kč</w:t>
            </w:r>
          </w:p>
        </w:tc>
      </w:tr>
    </w:tbl>
    <w:p w14:paraId="518A94BE" w14:textId="77777777" w:rsidR="004E0DB3" w:rsidRPr="00B3066D" w:rsidRDefault="004E0DB3" w:rsidP="00C42A2F">
      <w:pPr>
        <w:jc w:val="both"/>
        <w:rPr>
          <w:rFonts w:ascii="Arial" w:hAnsi="Arial" w:cs="Arial"/>
          <w:sz w:val="18"/>
          <w:szCs w:val="18"/>
        </w:rPr>
      </w:pPr>
    </w:p>
    <w:p w14:paraId="3DB7E5C7" w14:textId="0DF127EC" w:rsidR="007E2EDB" w:rsidRPr="004774D7" w:rsidRDefault="00C12ADC" w:rsidP="007E2EDB">
      <w:pPr>
        <w:spacing w:before="120" w:after="120"/>
        <w:jc w:val="both"/>
        <w:rPr>
          <w:rFonts w:ascii="Arial" w:hAnsi="Arial" w:cs="Arial"/>
          <w:bCs/>
        </w:rPr>
      </w:pPr>
      <w:r w:rsidRPr="004774D7">
        <w:rPr>
          <w:rFonts w:ascii="Arial" w:hAnsi="Arial" w:cs="Arial"/>
          <w:bCs/>
        </w:rPr>
        <w:t xml:space="preserve">Materiál byl </w:t>
      </w:r>
      <w:r w:rsidR="007E2EDB" w:rsidRPr="004774D7">
        <w:rPr>
          <w:rFonts w:ascii="Arial" w:hAnsi="Arial" w:cs="Arial"/>
          <w:bCs/>
        </w:rPr>
        <w:t>připraven ve spolupráci s Centrálou cestovního ruchu Olomouckého kraje, s.r.o. Náklady na povinné 50 % spolufinancování výdajů projektu a neuznatelné výdaje (DPH) budou hrazeny z rozpočtu centrály</w:t>
      </w:r>
      <w:r w:rsidR="00DF067A" w:rsidRPr="004774D7">
        <w:rPr>
          <w:rFonts w:ascii="Arial" w:hAnsi="Arial" w:cs="Arial"/>
          <w:bCs/>
        </w:rPr>
        <w:t xml:space="preserve"> </w:t>
      </w:r>
      <w:r w:rsidR="00825647" w:rsidRPr="004774D7">
        <w:rPr>
          <w:rFonts w:ascii="Arial" w:hAnsi="Arial" w:cs="Arial"/>
          <w:bCs/>
        </w:rPr>
        <w:t xml:space="preserve">na rok 2022 </w:t>
      </w:r>
      <w:r w:rsidR="003B5A72" w:rsidRPr="004774D7">
        <w:rPr>
          <w:rFonts w:ascii="Arial" w:hAnsi="Arial" w:cs="Arial"/>
          <w:bCs/>
        </w:rPr>
        <w:t>(</w:t>
      </w:r>
      <w:r w:rsidR="00501E11" w:rsidRPr="004774D7">
        <w:rPr>
          <w:rFonts w:ascii="Arial" w:hAnsi="Arial" w:cs="Arial"/>
          <w:bCs/>
        </w:rPr>
        <w:t>při zachování</w:t>
      </w:r>
      <w:r w:rsidR="00DF067A" w:rsidRPr="004774D7">
        <w:rPr>
          <w:rFonts w:ascii="Arial" w:hAnsi="Arial" w:cs="Arial"/>
          <w:bCs/>
        </w:rPr>
        <w:t xml:space="preserve"> předloženého návrhu</w:t>
      </w:r>
      <w:r w:rsidR="00DA288C" w:rsidRPr="004774D7">
        <w:rPr>
          <w:rFonts w:ascii="Arial" w:hAnsi="Arial" w:cs="Arial"/>
          <w:bCs/>
        </w:rPr>
        <w:t xml:space="preserve"> </w:t>
      </w:r>
      <w:r w:rsidR="002B6766" w:rsidRPr="004774D7">
        <w:rPr>
          <w:rFonts w:ascii="Arial" w:hAnsi="Arial" w:cs="Arial"/>
          <w:bCs/>
        </w:rPr>
        <w:t xml:space="preserve">rozpočtu uvedeného </w:t>
      </w:r>
      <w:r w:rsidR="00DA288C" w:rsidRPr="004774D7">
        <w:rPr>
          <w:rFonts w:ascii="Arial" w:hAnsi="Arial" w:cs="Arial"/>
          <w:bCs/>
        </w:rPr>
        <w:t>při schv</w:t>
      </w:r>
      <w:r w:rsidR="005F1895" w:rsidRPr="004774D7">
        <w:rPr>
          <w:rFonts w:ascii="Arial" w:hAnsi="Arial" w:cs="Arial"/>
          <w:bCs/>
        </w:rPr>
        <w:t>álení založení centrály v</w:t>
      </w:r>
      <w:r w:rsidR="00804D50" w:rsidRPr="004774D7">
        <w:rPr>
          <w:rFonts w:ascii="Arial" w:hAnsi="Arial" w:cs="Arial"/>
          <w:bCs/>
        </w:rPr>
        <w:t> </w:t>
      </w:r>
      <w:r w:rsidR="005F1895" w:rsidRPr="004774D7">
        <w:rPr>
          <w:rFonts w:ascii="Arial" w:hAnsi="Arial" w:cs="Arial"/>
          <w:bCs/>
        </w:rPr>
        <w:t>ZOK</w:t>
      </w:r>
      <w:r w:rsidR="00804D50" w:rsidRPr="004774D7">
        <w:rPr>
          <w:rFonts w:ascii="Arial" w:hAnsi="Arial" w:cs="Arial"/>
          <w:bCs/>
        </w:rPr>
        <w:t xml:space="preserve"> září 2019).</w:t>
      </w:r>
    </w:p>
    <w:p w14:paraId="5367D524" w14:textId="29AD6621" w:rsidR="008C40AD" w:rsidRPr="004774D7" w:rsidRDefault="00677398" w:rsidP="007E2EDB">
      <w:pPr>
        <w:spacing w:before="120" w:after="120"/>
        <w:jc w:val="both"/>
        <w:rPr>
          <w:rFonts w:ascii="Arial" w:hAnsi="Arial" w:cs="Arial"/>
          <w:bCs/>
        </w:rPr>
      </w:pPr>
      <w:r w:rsidRPr="004774D7">
        <w:rPr>
          <w:rFonts w:ascii="Arial" w:hAnsi="Arial" w:cs="Arial"/>
          <w:bCs/>
        </w:rPr>
        <w:t>Návrh a</w:t>
      </w:r>
      <w:r w:rsidR="008C40AD" w:rsidRPr="004774D7">
        <w:rPr>
          <w:rFonts w:ascii="Arial" w:hAnsi="Arial" w:cs="Arial"/>
          <w:bCs/>
        </w:rPr>
        <w:t xml:space="preserve">ktivit </w:t>
      </w:r>
      <w:r w:rsidRPr="004774D7">
        <w:rPr>
          <w:rFonts w:ascii="Arial" w:hAnsi="Arial" w:cs="Arial"/>
          <w:bCs/>
        </w:rPr>
        <w:t>projektu</w:t>
      </w:r>
      <w:r w:rsidR="008C40AD" w:rsidRPr="004774D7">
        <w:rPr>
          <w:rFonts w:ascii="Arial" w:hAnsi="Arial" w:cs="Arial"/>
          <w:bCs/>
        </w:rPr>
        <w:t xml:space="preserve"> </w:t>
      </w:r>
      <w:r w:rsidRPr="004774D7">
        <w:rPr>
          <w:rFonts w:ascii="Arial" w:hAnsi="Arial" w:cs="Arial"/>
          <w:bCs/>
        </w:rPr>
        <w:t xml:space="preserve">centrály byl </w:t>
      </w:r>
      <w:r w:rsidR="002B1D93" w:rsidRPr="004774D7">
        <w:rPr>
          <w:rFonts w:ascii="Arial" w:hAnsi="Arial" w:cs="Arial"/>
          <w:bCs/>
        </w:rPr>
        <w:t>koordinován</w:t>
      </w:r>
      <w:r w:rsidRPr="004774D7">
        <w:rPr>
          <w:rFonts w:ascii="Arial" w:hAnsi="Arial" w:cs="Arial"/>
          <w:bCs/>
        </w:rPr>
        <w:t xml:space="preserve"> také se zástupci </w:t>
      </w:r>
      <w:r w:rsidR="003A6D33" w:rsidRPr="004774D7">
        <w:rPr>
          <w:rFonts w:ascii="Arial" w:hAnsi="Arial" w:cs="Arial"/>
          <w:bCs/>
        </w:rPr>
        <w:t>obou oblastních destinačních manage</w:t>
      </w:r>
      <w:r w:rsidR="00304738" w:rsidRPr="004774D7">
        <w:rPr>
          <w:rFonts w:ascii="Arial" w:hAnsi="Arial" w:cs="Arial"/>
          <w:bCs/>
        </w:rPr>
        <w:t>mentů na území Olomouckého kraje</w:t>
      </w:r>
      <w:r w:rsidR="00A37BC1" w:rsidRPr="004774D7">
        <w:rPr>
          <w:rFonts w:ascii="Arial" w:hAnsi="Arial" w:cs="Arial"/>
          <w:bCs/>
        </w:rPr>
        <w:t>:</w:t>
      </w:r>
      <w:r w:rsidR="00304738" w:rsidRPr="004774D7">
        <w:rPr>
          <w:rFonts w:ascii="Arial" w:hAnsi="Arial" w:cs="Arial"/>
          <w:bCs/>
        </w:rPr>
        <w:t xml:space="preserve"> </w:t>
      </w:r>
      <w:r w:rsidR="003A6D33" w:rsidRPr="004774D7">
        <w:rPr>
          <w:rFonts w:ascii="Arial" w:hAnsi="Arial" w:cs="Arial"/>
          <w:bCs/>
        </w:rPr>
        <w:t xml:space="preserve">Jeseníky – Sdružení cestovního ruchu a Střední Morava – Sdružení cestovního </w:t>
      </w:r>
      <w:r w:rsidR="00304738" w:rsidRPr="004774D7">
        <w:rPr>
          <w:rFonts w:ascii="Arial" w:hAnsi="Arial" w:cs="Arial"/>
          <w:bCs/>
        </w:rPr>
        <w:t>ruchu, kte</w:t>
      </w:r>
      <w:r w:rsidR="00A37BC1" w:rsidRPr="004774D7">
        <w:rPr>
          <w:rFonts w:ascii="Arial" w:hAnsi="Arial" w:cs="Arial"/>
          <w:bCs/>
        </w:rPr>
        <w:t xml:space="preserve">ré hodlají </w:t>
      </w:r>
      <w:r w:rsidR="0031063C" w:rsidRPr="004774D7">
        <w:rPr>
          <w:rFonts w:ascii="Arial" w:hAnsi="Arial" w:cs="Arial"/>
          <w:bCs/>
        </w:rPr>
        <w:t xml:space="preserve">do výše uvedené výzvy </w:t>
      </w:r>
      <w:proofErr w:type="spellStart"/>
      <w:r w:rsidR="0031063C" w:rsidRPr="004774D7">
        <w:rPr>
          <w:rFonts w:ascii="Arial" w:hAnsi="Arial" w:cs="Arial"/>
        </w:rPr>
        <w:t>NPPCRvR</w:t>
      </w:r>
      <w:proofErr w:type="spellEnd"/>
      <w:r w:rsidR="00E104EF" w:rsidRPr="004774D7">
        <w:rPr>
          <w:rFonts w:ascii="Arial" w:hAnsi="Arial" w:cs="Arial"/>
        </w:rPr>
        <w:t xml:space="preserve"> přeložit také své projektové žádosti. Navržen</w:t>
      </w:r>
      <w:r w:rsidR="00A75E2F" w:rsidRPr="004774D7">
        <w:rPr>
          <w:rFonts w:ascii="Arial" w:hAnsi="Arial" w:cs="Arial"/>
        </w:rPr>
        <w:t>é</w:t>
      </w:r>
      <w:r w:rsidR="00E104EF" w:rsidRPr="004774D7">
        <w:rPr>
          <w:rFonts w:ascii="Arial" w:hAnsi="Arial" w:cs="Arial"/>
        </w:rPr>
        <w:t xml:space="preserve"> aktivity byly </w:t>
      </w:r>
      <w:r w:rsidR="00E104EF" w:rsidRPr="004774D7">
        <w:rPr>
          <w:rFonts w:ascii="Arial" w:hAnsi="Arial" w:cs="Arial"/>
        </w:rPr>
        <w:lastRenderedPageBreak/>
        <w:t xml:space="preserve">zvoleny tak, </w:t>
      </w:r>
      <w:r w:rsidR="002F0104" w:rsidRPr="004774D7">
        <w:rPr>
          <w:rFonts w:ascii="Arial" w:hAnsi="Arial" w:cs="Arial"/>
        </w:rPr>
        <w:t>aby</w:t>
      </w:r>
      <w:r w:rsidR="00E104EF" w:rsidRPr="004774D7">
        <w:rPr>
          <w:rFonts w:ascii="Arial" w:hAnsi="Arial" w:cs="Arial"/>
        </w:rPr>
        <w:t xml:space="preserve"> </w:t>
      </w:r>
      <w:r w:rsidR="00BC3D05" w:rsidRPr="004774D7">
        <w:rPr>
          <w:rFonts w:ascii="Arial" w:hAnsi="Arial" w:cs="Arial"/>
        </w:rPr>
        <w:t>se vzájemně doplňovaly</w:t>
      </w:r>
      <w:r w:rsidR="002F0104" w:rsidRPr="004774D7">
        <w:rPr>
          <w:rFonts w:ascii="Arial" w:hAnsi="Arial" w:cs="Arial"/>
        </w:rPr>
        <w:t xml:space="preserve"> a</w:t>
      </w:r>
      <w:r w:rsidR="002B2C3A" w:rsidRPr="004774D7">
        <w:rPr>
          <w:rFonts w:ascii="Arial" w:hAnsi="Arial" w:cs="Arial"/>
        </w:rPr>
        <w:t xml:space="preserve"> marketingový </w:t>
      </w:r>
      <w:r w:rsidR="00912719" w:rsidRPr="004774D7">
        <w:rPr>
          <w:rFonts w:ascii="Arial" w:hAnsi="Arial" w:cs="Arial"/>
        </w:rPr>
        <w:t>zásah</w:t>
      </w:r>
      <w:r w:rsidR="002B2C3A" w:rsidRPr="004774D7">
        <w:rPr>
          <w:rFonts w:ascii="Arial" w:hAnsi="Arial" w:cs="Arial"/>
        </w:rPr>
        <w:t xml:space="preserve"> všech aktivit byl </w:t>
      </w:r>
      <w:r w:rsidR="00912719" w:rsidRPr="004774D7">
        <w:rPr>
          <w:rFonts w:ascii="Arial" w:hAnsi="Arial" w:cs="Arial"/>
        </w:rPr>
        <w:t xml:space="preserve">maximálně </w:t>
      </w:r>
      <w:r w:rsidR="00BC3D05" w:rsidRPr="004774D7">
        <w:rPr>
          <w:rFonts w:ascii="Arial" w:hAnsi="Arial" w:cs="Arial"/>
        </w:rPr>
        <w:t>efektivní</w:t>
      </w:r>
      <w:r w:rsidR="00912719" w:rsidRPr="004774D7">
        <w:rPr>
          <w:rFonts w:ascii="Arial" w:hAnsi="Arial" w:cs="Arial"/>
        </w:rPr>
        <w:t xml:space="preserve">. </w:t>
      </w:r>
    </w:p>
    <w:p w14:paraId="271B15F0" w14:textId="77777777" w:rsidR="00C12ADC" w:rsidRDefault="00C12ADC" w:rsidP="00C42A2F">
      <w:pPr>
        <w:jc w:val="both"/>
        <w:rPr>
          <w:rFonts w:ascii="Arial" w:hAnsi="Arial" w:cs="Arial"/>
          <w:b/>
          <w:u w:val="single"/>
        </w:rPr>
      </w:pPr>
    </w:p>
    <w:p w14:paraId="67A7D99E" w14:textId="2A8946C8" w:rsidR="007830F3" w:rsidRPr="007830F3" w:rsidRDefault="007830F3" w:rsidP="007830F3">
      <w:pPr>
        <w:jc w:val="both"/>
        <w:rPr>
          <w:rFonts w:ascii="Arial" w:hAnsi="Arial" w:cs="Arial"/>
          <w:b/>
        </w:rPr>
      </w:pPr>
      <w:r w:rsidRPr="007830F3">
        <w:rPr>
          <w:rFonts w:ascii="Arial" w:hAnsi="Arial" w:cs="Arial"/>
          <w:b/>
        </w:rPr>
        <w:t xml:space="preserve">Rada Olomouckého kraje svým usnesením č. UR/29/9/2021 ze dne 30. 8. 2021 odsouhlasila realizaci a financování projektu „Olomoucký kraj – marketing destinace“ a doporučila Zastupitelstvu Olomouckého kraje souhlasit s realizací a financováním projektu „Olomoucký kraj – marketing destinace“ v případě návrhu projektu k dotaci. </w:t>
      </w:r>
    </w:p>
    <w:p w14:paraId="20778BA3" w14:textId="4A5E7098" w:rsidR="007830F3" w:rsidRPr="007830F3" w:rsidRDefault="007830F3" w:rsidP="007830F3">
      <w:pPr>
        <w:jc w:val="both"/>
        <w:rPr>
          <w:rFonts w:ascii="Arial" w:hAnsi="Arial" w:cs="Arial"/>
        </w:rPr>
      </w:pPr>
    </w:p>
    <w:p w14:paraId="43E260D4" w14:textId="39F64B92" w:rsidR="0081263D" w:rsidRPr="0081263D" w:rsidRDefault="0081263D" w:rsidP="0081263D">
      <w:pPr>
        <w:jc w:val="both"/>
        <w:rPr>
          <w:rFonts w:ascii="Arial" w:hAnsi="Arial" w:cs="Arial"/>
        </w:rPr>
      </w:pPr>
    </w:p>
    <w:sectPr w:rsidR="0081263D" w:rsidRPr="0081263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94BD0" w14:textId="77777777" w:rsidR="00A6569E" w:rsidRDefault="00A6569E">
      <w:r>
        <w:separator/>
      </w:r>
    </w:p>
  </w:endnote>
  <w:endnote w:type="continuationSeparator" w:id="0">
    <w:p w14:paraId="0D39C44C" w14:textId="77777777" w:rsidR="00A6569E" w:rsidRDefault="00A65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97C5F" w14:textId="052F169B" w:rsidR="00864324" w:rsidRPr="004774D7" w:rsidRDefault="007830F3" w:rsidP="00864324">
    <w:pPr>
      <w:pStyle w:val="Zpat"/>
      <w:pBdr>
        <w:top w:val="single" w:sz="4" w:space="1" w:color="auto"/>
      </w:pBdr>
      <w:tabs>
        <w:tab w:val="clear" w:pos="4536"/>
        <w:tab w:val="clear" w:pos="9072"/>
        <w:tab w:val="right" w:pos="9000"/>
      </w:tabs>
      <w:rPr>
        <w:rFonts w:ascii="Arial" w:hAnsi="Arial" w:cs="Arial"/>
        <w:i/>
        <w:sz w:val="20"/>
        <w:szCs w:val="20"/>
      </w:rPr>
    </w:pPr>
    <w:r>
      <w:rPr>
        <w:rFonts w:ascii="Arial" w:hAnsi="Arial" w:cs="Arial"/>
        <w:i/>
        <w:sz w:val="20"/>
        <w:szCs w:val="20"/>
      </w:rPr>
      <w:t>Zastupitelstvo</w:t>
    </w:r>
    <w:r w:rsidR="00864324" w:rsidRPr="004774D7">
      <w:rPr>
        <w:rFonts w:ascii="Arial" w:hAnsi="Arial" w:cs="Arial"/>
        <w:i/>
        <w:sz w:val="20"/>
        <w:szCs w:val="20"/>
      </w:rPr>
      <w:t xml:space="preserve"> Olomouckého kraje </w:t>
    </w:r>
    <w:r>
      <w:rPr>
        <w:rFonts w:ascii="Arial" w:hAnsi="Arial" w:cs="Arial"/>
        <w:i/>
        <w:sz w:val="20"/>
        <w:szCs w:val="20"/>
      </w:rPr>
      <w:t>2</w:t>
    </w:r>
    <w:r w:rsidR="00864324" w:rsidRPr="004774D7">
      <w:rPr>
        <w:rFonts w:ascii="Arial" w:hAnsi="Arial" w:cs="Arial"/>
        <w:i/>
        <w:sz w:val="20"/>
        <w:szCs w:val="20"/>
      </w:rPr>
      <w:t>0. </w:t>
    </w:r>
    <w:r>
      <w:rPr>
        <w:rFonts w:ascii="Arial" w:hAnsi="Arial" w:cs="Arial"/>
        <w:i/>
        <w:sz w:val="20"/>
        <w:szCs w:val="20"/>
      </w:rPr>
      <w:t>9</w:t>
    </w:r>
    <w:r w:rsidR="00864324" w:rsidRPr="004774D7">
      <w:rPr>
        <w:rFonts w:ascii="Arial" w:hAnsi="Arial" w:cs="Arial"/>
        <w:i/>
        <w:sz w:val="20"/>
        <w:szCs w:val="20"/>
      </w:rPr>
      <w:t>. 2021</w:t>
    </w:r>
    <w:r w:rsidR="00864324" w:rsidRPr="004774D7">
      <w:rPr>
        <w:rFonts w:ascii="Arial" w:hAnsi="Arial" w:cs="Arial"/>
        <w:i/>
        <w:sz w:val="20"/>
        <w:szCs w:val="20"/>
      </w:rPr>
      <w:tab/>
      <w:t xml:space="preserve">Strana </w:t>
    </w:r>
    <w:r w:rsidR="00864324" w:rsidRPr="004774D7">
      <w:rPr>
        <w:rFonts w:ascii="Arial" w:hAnsi="Arial" w:cs="Arial"/>
        <w:i/>
        <w:sz w:val="20"/>
        <w:szCs w:val="20"/>
      </w:rPr>
      <w:fldChar w:fldCharType="begin"/>
    </w:r>
    <w:r w:rsidR="00864324" w:rsidRPr="004774D7">
      <w:rPr>
        <w:rFonts w:ascii="Arial" w:hAnsi="Arial" w:cs="Arial"/>
        <w:i/>
        <w:sz w:val="20"/>
        <w:szCs w:val="20"/>
      </w:rPr>
      <w:instrText xml:space="preserve"> PAGE </w:instrText>
    </w:r>
    <w:r w:rsidR="00864324" w:rsidRPr="004774D7">
      <w:rPr>
        <w:rFonts w:ascii="Arial" w:hAnsi="Arial" w:cs="Arial"/>
        <w:i/>
        <w:sz w:val="20"/>
        <w:szCs w:val="20"/>
      </w:rPr>
      <w:fldChar w:fldCharType="separate"/>
    </w:r>
    <w:r w:rsidR="00A35D9A">
      <w:rPr>
        <w:rFonts w:ascii="Arial" w:hAnsi="Arial" w:cs="Arial"/>
        <w:i/>
        <w:noProof/>
        <w:sz w:val="20"/>
        <w:szCs w:val="20"/>
      </w:rPr>
      <w:t>3</w:t>
    </w:r>
    <w:r w:rsidR="00864324" w:rsidRPr="004774D7">
      <w:rPr>
        <w:rFonts w:ascii="Arial" w:hAnsi="Arial" w:cs="Arial"/>
        <w:i/>
        <w:sz w:val="20"/>
        <w:szCs w:val="20"/>
      </w:rPr>
      <w:fldChar w:fldCharType="end"/>
    </w:r>
    <w:r w:rsidR="00864324" w:rsidRPr="004774D7">
      <w:rPr>
        <w:rFonts w:ascii="Arial" w:hAnsi="Arial" w:cs="Arial"/>
        <w:i/>
        <w:sz w:val="20"/>
        <w:szCs w:val="20"/>
      </w:rPr>
      <w:t xml:space="preserve"> (celkem </w:t>
    </w:r>
    <w:r w:rsidR="00864324" w:rsidRPr="004774D7">
      <w:rPr>
        <w:rFonts w:ascii="Arial" w:hAnsi="Arial" w:cs="Arial"/>
        <w:i/>
        <w:sz w:val="20"/>
        <w:szCs w:val="20"/>
      </w:rPr>
      <w:fldChar w:fldCharType="begin"/>
    </w:r>
    <w:r w:rsidR="00864324" w:rsidRPr="004774D7">
      <w:rPr>
        <w:rFonts w:ascii="Arial" w:hAnsi="Arial" w:cs="Arial"/>
        <w:i/>
        <w:sz w:val="20"/>
        <w:szCs w:val="20"/>
      </w:rPr>
      <w:instrText xml:space="preserve"> NUMPAGES </w:instrText>
    </w:r>
    <w:r w:rsidR="00864324" w:rsidRPr="004774D7">
      <w:rPr>
        <w:rFonts w:ascii="Arial" w:hAnsi="Arial" w:cs="Arial"/>
        <w:i/>
        <w:sz w:val="20"/>
        <w:szCs w:val="20"/>
      </w:rPr>
      <w:fldChar w:fldCharType="separate"/>
    </w:r>
    <w:r w:rsidR="00A35D9A">
      <w:rPr>
        <w:rFonts w:ascii="Arial" w:hAnsi="Arial" w:cs="Arial"/>
        <w:i/>
        <w:noProof/>
        <w:sz w:val="20"/>
        <w:szCs w:val="20"/>
      </w:rPr>
      <w:t>3</w:t>
    </w:r>
    <w:r w:rsidR="00864324" w:rsidRPr="004774D7">
      <w:rPr>
        <w:rFonts w:ascii="Arial" w:hAnsi="Arial" w:cs="Arial"/>
        <w:i/>
        <w:sz w:val="20"/>
        <w:szCs w:val="20"/>
      </w:rPr>
      <w:fldChar w:fldCharType="end"/>
    </w:r>
    <w:r w:rsidR="00864324" w:rsidRPr="004774D7">
      <w:rPr>
        <w:rFonts w:ascii="Arial" w:hAnsi="Arial" w:cs="Arial"/>
        <w:i/>
        <w:sz w:val="20"/>
        <w:szCs w:val="20"/>
      </w:rPr>
      <w:t>)</w:t>
    </w:r>
  </w:p>
  <w:p w14:paraId="1DB4EDE7" w14:textId="4048471E" w:rsidR="00864324" w:rsidRPr="004774D7" w:rsidRDefault="007830F3" w:rsidP="00864324">
    <w:pPr>
      <w:rPr>
        <w:rFonts w:ascii="Arial" w:hAnsi="Arial" w:cs="Arial"/>
        <w:i/>
        <w:sz w:val="20"/>
        <w:szCs w:val="20"/>
      </w:rPr>
    </w:pPr>
    <w:r>
      <w:rPr>
        <w:rFonts w:ascii="Arial" w:hAnsi="Arial" w:cs="Arial"/>
        <w:i/>
        <w:sz w:val="20"/>
      </w:rPr>
      <w:t>42</w:t>
    </w:r>
    <w:r w:rsidR="00864324" w:rsidRPr="004774D7">
      <w:rPr>
        <w:rFonts w:ascii="Arial" w:hAnsi="Arial" w:cs="Arial"/>
        <w:i/>
        <w:sz w:val="20"/>
      </w:rPr>
      <w:t>. -</w:t>
    </w:r>
    <w:r w:rsidR="00864324" w:rsidRPr="004774D7">
      <w:rPr>
        <w:rFonts w:ascii="Arial" w:hAnsi="Arial" w:cs="Arial"/>
        <w:i/>
      </w:rPr>
      <w:t xml:space="preserve"> </w:t>
    </w:r>
    <w:r w:rsidR="00864324" w:rsidRPr="004774D7">
      <w:rPr>
        <w:rFonts w:ascii="Arial" w:hAnsi="Arial" w:cs="Arial"/>
        <w:i/>
        <w:sz w:val="20"/>
        <w:szCs w:val="20"/>
      </w:rPr>
      <w:t>Souhlas s realizací a financováním projektu Centrály cestovního ruchu Olomouckého kraje, s.r.o. do Národního programu podpory cestovního ruchu v regionech</w:t>
    </w:r>
  </w:p>
  <w:p w14:paraId="0B1F5265" w14:textId="77777777" w:rsidR="00800DFA" w:rsidRDefault="00800DFA" w:rsidP="0081263D">
    <w:pPr>
      <w:pStyle w:val="Radabodschze"/>
      <w:spacing w:before="0" w:after="0"/>
      <w:rPr>
        <w:b w:val="0"/>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67502" w14:textId="77777777" w:rsidR="00A6569E" w:rsidRDefault="00A6569E">
      <w:r>
        <w:separator/>
      </w:r>
    </w:p>
  </w:footnote>
  <w:footnote w:type="continuationSeparator" w:id="0">
    <w:p w14:paraId="22797473" w14:textId="77777777" w:rsidR="00A6569E" w:rsidRDefault="00A656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281A"/>
    <w:multiLevelType w:val="hybridMultilevel"/>
    <w:tmpl w:val="3278758E"/>
    <w:lvl w:ilvl="0" w:tplc="6A6A05A0">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89902F3"/>
    <w:multiLevelType w:val="hybridMultilevel"/>
    <w:tmpl w:val="92C2C33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6F38C7"/>
    <w:multiLevelType w:val="hybridMultilevel"/>
    <w:tmpl w:val="C7129E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7B66133"/>
    <w:multiLevelType w:val="hybridMultilevel"/>
    <w:tmpl w:val="B3987E64"/>
    <w:lvl w:ilvl="0" w:tplc="202EE460">
      <w:start w:val="1"/>
      <w:numFmt w:val="lowerLetter"/>
      <w:lvlText w:val="%1)"/>
      <w:lvlJc w:val="left"/>
      <w:pPr>
        <w:ind w:left="1068" w:hanging="360"/>
      </w:pPr>
      <w:rPr>
        <w:b w:val="0"/>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4" w15:restartNumberingAfterBreak="0">
    <w:nsid w:val="28E75C11"/>
    <w:multiLevelType w:val="multilevel"/>
    <w:tmpl w:val="87D0AD52"/>
    <w:lvl w:ilvl="0">
      <w:numFmt w:val="none"/>
      <w:lvlText w:val=""/>
      <w:lvlJc w:val="left"/>
      <w:pPr>
        <w:tabs>
          <w:tab w:val="num" w:pos="360"/>
        </w:tabs>
      </w:pPr>
    </w:lvl>
    <w:lvl w:ilvl="1">
      <w:start w:val="1"/>
      <w:numFmt w:val="decimal"/>
      <w:lvlText w:val="%1.%2."/>
      <w:lvlJc w:val="left"/>
      <w:pPr>
        <w:tabs>
          <w:tab w:val="num" w:pos="2574"/>
        </w:tabs>
        <w:ind w:left="257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lvlRestart w:val="0"/>
      <w:pStyle w:val="StylStyl2Vlevo127cmPrvndek0cm"/>
      <w:lvlText w:val="%1.%2.%3."/>
      <w:lvlJc w:val="left"/>
      <w:pPr>
        <w:tabs>
          <w:tab w:val="num" w:pos="3425"/>
        </w:tabs>
        <w:ind w:left="342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4320"/>
        </w:tabs>
        <w:ind w:left="3168" w:hanging="648"/>
      </w:pPr>
      <w:rPr>
        <w:rFonts w:hint="default"/>
      </w:rPr>
    </w:lvl>
    <w:lvl w:ilvl="4">
      <w:start w:val="1"/>
      <w:numFmt w:val="decimal"/>
      <w:lvlText w:val="%1.%2.%3.%4.%5."/>
      <w:lvlJc w:val="left"/>
      <w:pPr>
        <w:tabs>
          <w:tab w:val="num" w:pos="5040"/>
        </w:tabs>
        <w:ind w:left="3672" w:hanging="792"/>
      </w:pPr>
      <w:rPr>
        <w:rFonts w:hint="default"/>
      </w:rPr>
    </w:lvl>
    <w:lvl w:ilvl="5">
      <w:start w:val="1"/>
      <w:numFmt w:val="decimal"/>
      <w:lvlText w:val="%1.%2.%3.%4.%5.%6."/>
      <w:lvlJc w:val="left"/>
      <w:pPr>
        <w:tabs>
          <w:tab w:val="num" w:pos="5760"/>
        </w:tabs>
        <w:ind w:left="4176" w:hanging="936"/>
      </w:pPr>
      <w:rPr>
        <w:rFonts w:hint="default"/>
      </w:rPr>
    </w:lvl>
    <w:lvl w:ilvl="6">
      <w:start w:val="1"/>
      <w:numFmt w:val="decimal"/>
      <w:lvlText w:val="%1.%2.%3.%4.%5.%6.%7."/>
      <w:lvlJc w:val="left"/>
      <w:pPr>
        <w:tabs>
          <w:tab w:val="num" w:pos="6480"/>
        </w:tabs>
        <w:ind w:left="4680" w:hanging="1080"/>
      </w:pPr>
      <w:rPr>
        <w:rFonts w:hint="default"/>
      </w:rPr>
    </w:lvl>
    <w:lvl w:ilvl="7">
      <w:start w:val="1"/>
      <w:numFmt w:val="decimal"/>
      <w:lvlText w:val="%1.%2.%3.%4.%5.%6.%7.%8."/>
      <w:lvlJc w:val="left"/>
      <w:pPr>
        <w:tabs>
          <w:tab w:val="num" w:pos="7560"/>
        </w:tabs>
        <w:ind w:left="5184" w:hanging="1224"/>
      </w:pPr>
      <w:rPr>
        <w:rFonts w:hint="default"/>
      </w:rPr>
    </w:lvl>
    <w:lvl w:ilvl="8">
      <w:start w:val="1"/>
      <w:numFmt w:val="decimal"/>
      <w:lvlText w:val="%1.%2.%3.%4.%5.%6.%7.%8.%9."/>
      <w:lvlJc w:val="left"/>
      <w:pPr>
        <w:tabs>
          <w:tab w:val="num" w:pos="8280"/>
        </w:tabs>
        <w:ind w:left="5760" w:hanging="1440"/>
      </w:pPr>
      <w:rPr>
        <w:rFonts w:hint="default"/>
      </w:rPr>
    </w:lvl>
  </w:abstractNum>
  <w:abstractNum w:abstractNumId="5" w15:restartNumberingAfterBreak="0">
    <w:nsid w:val="381E06E0"/>
    <w:multiLevelType w:val="multilevel"/>
    <w:tmpl w:val="7CD464D8"/>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3A632BDF"/>
    <w:multiLevelType w:val="hybridMultilevel"/>
    <w:tmpl w:val="9B50D6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D73124F"/>
    <w:multiLevelType w:val="hybridMultilevel"/>
    <w:tmpl w:val="DF1CBEDA"/>
    <w:lvl w:ilvl="0" w:tplc="E006CEC4">
      <w:start w:val="29"/>
      <w:numFmt w:val="bullet"/>
      <w:lvlText w:val="-"/>
      <w:lvlJc w:val="left"/>
      <w:pPr>
        <w:ind w:left="541" w:hanging="360"/>
      </w:pPr>
      <w:rPr>
        <w:rFonts w:ascii="Arial" w:eastAsia="Times New Roman" w:hAnsi="Arial" w:cs="Arial" w:hint="default"/>
      </w:rPr>
    </w:lvl>
    <w:lvl w:ilvl="1" w:tplc="04050003" w:tentative="1">
      <w:start w:val="1"/>
      <w:numFmt w:val="bullet"/>
      <w:lvlText w:val="o"/>
      <w:lvlJc w:val="left"/>
      <w:pPr>
        <w:ind w:left="1261" w:hanging="360"/>
      </w:pPr>
      <w:rPr>
        <w:rFonts w:ascii="Courier New" w:hAnsi="Courier New" w:cs="Courier New" w:hint="default"/>
      </w:rPr>
    </w:lvl>
    <w:lvl w:ilvl="2" w:tplc="04050005" w:tentative="1">
      <w:start w:val="1"/>
      <w:numFmt w:val="bullet"/>
      <w:lvlText w:val=""/>
      <w:lvlJc w:val="left"/>
      <w:pPr>
        <w:ind w:left="1981" w:hanging="360"/>
      </w:pPr>
      <w:rPr>
        <w:rFonts w:ascii="Wingdings" w:hAnsi="Wingdings" w:hint="default"/>
      </w:rPr>
    </w:lvl>
    <w:lvl w:ilvl="3" w:tplc="04050001" w:tentative="1">
      <w:start w:val="1"/>
      <w:numFmt w:val="bullet"/>
      <w:lvlText w:val=""/>
      <w:lvlJc w:val="left"/>
      <w:pPr>
        <w:ind w:left="2701" w:hanging="360"/>
      </w:pPr>
      <w:rPr>
        <w:rFonts w:ascii="Symbol" w:hAnsi="Symbol" w:hint="default"/>
      </w:rPr>
    </w:lvl>
    <w:lvl w:ilvl="4" w:tplc="04050003" w:tentative="1">
      <w:start w:val="1"/>
      <w:numFmt w:val="bullet"/>
      <w:lvlText w:val="o"/>
      <w:lvlJc w:val="left"/>
      <w:pPr>
        <w:ind w:left="3421" w:hanging="360"/>
      </w:pPr>
      <w:rPr>
        <w:rFonts w:ascii="Courier New" w:hAnsi="Courier New" w:cs="Courier New" w:hint="default"/>
      </w:rPr>
    </w:lvl>
    <w:lvl w:ilvl="5" w:tplc="04050005" w:tentative="1">
      <w:start w:val="1"/>
      <w:numFmt w:val="bullet"/>
      <w:lvlText w:val=""/>
      <w:lvlJc w:val="left"/>
      <w:pPr>
        <w:ind w:left="4141" w:hanging="360"/>
      </w:pPr>
      <w:rPr>
        <w:rFonts w:ascii="Wingdings" w:hAnsi="Wingdings" w:hint="default"/>
      </w:rPr>
    </w:lvl>
    <w:lvl w:ilvl="6" w:tplc="04050001" w:tentative="1">
      <w:start w:val="1"/>
      <w:numFmt w:val="bullet"/>
      <w:lvlText w:val=""/>
      <w:lvlJc w:val="left"/>
      <w:pPr>
        <w:ind w:left="4861" w:hanging="360"/>
      </w:pPr>
      <w:rPr>
        <w:rFonts w:ascii="Symbol" w:hAnsi="Symbol" w:hint="default"/>
      </w:rPr>
    </w:lvl>
    <w:lvl w:ilvl="7" w:tplc="04050003" w:tentative="1">
      <w:start w:val="1"/>
      <w:numFmt w:val="bullet"/>
      <w:lvlText w:val="o"/>
      <w:lvlJc w:val="left"/>
      <w:pPr>
        <w:ind w:left="5581" w:hanging="360"/>
      </w:pPr>
      <w:rPr>
        <w:rFonts w:ascii="Courier New" w:hAnsi="Courier New" w:cs="Courier New" w:hint="default"/>
      </w:rPr>
    </w:lvl>
    <w:lvl w:ilvl="8" w:tplc="04050005" w:tentative="1">
      <w:start w:val="1"/>
      <w:numFmt w:val="bullet"/>
      <w:lvlText w:val=""/>
      <w:lvlJc w:val="left"/>
      <w:pPr>
        <w:ind w:left="6301" w:hanging="360"/>
      </w:pPr>
      <w:rPr>
        <w:rFonts w:ascii="Wingdings" w:hAnsi="Wingdings" w:hint="default"/>
      </w:rPr>
    </w:lvl>
  </w:abstractNum>
  <w:abstractNum w:abstractNumId="8" w15:restartNumberingAfterBreak="0">
    <w:nsid w:val="4423240B"/>
    <w:multiLevelType w:val="hybridMultilevel"/>
    <w:tmpl w:val="E514AE1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4F2201DF"/>
    <w:multiLevelType w:val="hybridMultilevel"/>
    <w:tmpl w:val="6DA822D8"/>
    <w:lvl w:ilvl="0" w:tplc="AF583ED8">
      <w:start w:val="212"/>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0230EF"/>
    <w:multiLevelType w:val="hybridMultilevel"/>
    <w:tmpl w:val="E980546A"/>
    <w:lvl w:ilvl="0" w:tplc="0ADC00CC">
      <w:start w:val="3"/>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4607BFD"/>
    <w:multiLevelType w:val="hybridMultilevel"/>
    <w:tmpl w:val="D226BAA2"/>
    <w:lvl w:ilvl="0" w:tplc="BC4C33FC">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62B2FF8"/>
    <w:multiLevelType w:val="hybridMultilevel"/>
    <w:tmpl w:val="6C74FEE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901651"/>
    <w:multiLevelType w:val="hybridMultilevel"/>
    <w:tmpl w:val="AD0C5A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2"/>
  </w:num>
  <w:num w:numId="3">
    <w:abstractNumId w:val="9"/>
  </w:num>
  <w:num w:numId="4">
    <w:abstractNumId w:val="1"/>
  </w:num>
  <w:num w:numId="5">
    <w:abstractNumId w:val="2"/>
  </w:num>
  <w:num w:numId="6">
    <w:abstractNumId w:val="5"/>
  </w:num>
  <w:num w:numId="7">
    <w:abstractNumId w:val="11"/>
  </w:num>
  <w:num w:numId="8">
    <w:abstractNumId w:val="10"/>
  </w:num>
  <w:num w:numId="9">
    <w:abstractNumId w:val="8"/>
  </w:num>
  <w:num w:numId="10">
    <w:abstractNumId w:val="13"/>
  </w:num>
  <w:num w:numId="11">
    <w:abstractNumId w:val="7"/>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1FA"/>
    <w:rsid w:val="0000377F"/>
    <w:rsid w:val="00005C10"/>
    <w:rsid w:val="00010A81"/>
    <w:rsid w:val="00011764"/>
    <w:rsid w:val="00013B76"/>
    <w:rsid w:val="00022141"/>
    <w:rsid w:val="000247B6"/>
    <w:rsid w:val="00026746"/>
    <w:rsid w:val="00027652"/>
    <w:rsid w:val="00032411"/>
    <w:rsid w:val="00034E6D"/>
    <w:rsid w:val="00051496"/>
    <w:rsid w:val="000534CC"/>
    <w:rsid w:val="000563C4"/>
    <w:rsid w:val="000619D5"/>
    <w:rsid w:val="00063D2A"/>
    <w:rsid w:val="00084FF4"/>
    <w:rsid w:val="00087FC9"/>
    <w:rsid w:val="000973AB"/>
    <w:rsid w:val="000A58CE"/>
    <w:rsid w:val="000A63ED"/>
    <w:rsid w:val="000C416A"/>
    <w:rsid w:val="000D348F"/>
    <w:rsid w:val="000F3B14"/>
    <w:rsid w:val="00102641"/>
    <w:rsid w:val="001102DC"/>
    <w:rsid w:val="001121FF"/>
    <w:rsid w:val="00120022"/>
    <w:rsid w:val="00121465"/>
    <w:rsid w:val="001216C5"/>
    <w:rsid w:val="00123A64"/>
    <w:rsid w:val="001264F1"/>
    <w:rsid w:val="001267F2"/>
    <w:rsid w:val="001313DF"/>
    <w:rsid w:val="0013181D"/>
    <w:rsid w:val="0014508E"/>
    <w:rsid w:val="0015221A"/>
    <w:rsid w:val="00155AB5"/>
    <w:rsid w:val="00165D7C"/>
    <w:rsid w:val="00165E6E"/>
    <w:rsid w:val="001A2274"/>
    <w:rsid w:val="001B6258"/>
    <w:rsid w:val="001C3391"/>
    <w:rsid w:val="001C64C7"/>
    <w:rsid w:val="001C7387"/>
    <w:rsid w:val="001D3EA5"/>
    <w:rsid w:val="001D4595"/>
    <w:rsid w:val="001F455F"/>
    <w:rsid w:val="0020534C"/>
    <w:rsid w:val="00210BB6"/>
    <w:rsid w:val="00212544"/>
    <w:rsid w:val="00233100"/>
    <w:rsid w:val="0023568D"/>
    <w:rsid w:val="0024258A"/>
    <w:rsid w:val="0024602C"/>
    <w:rsid w:val="00252FFD"/>
    <w:rsid w:val="00272B38"/>
    <w:rsid w:val="002A07A1"/>
    <w:rsid w:val="002A27EE"/>
    <w:rsid w:val="002A3C07"/>
    <w:rsid w:val="002A51B4"/>
    <w:rsid w:val="002B1D93"/>
    <w:rsid w:val="002B2C3A"/>
    <w:rsid w:val="002B4DE1"/>
    <w:rsid w:val="002B6766"/>
    <w:rsid w:val="002C4FD4"/>
    <w:rsid w:val="002D4592"/>
    <w:rsid w:val="002E5D28"/>
    <w:rsid w:val="002F0104"/>
    <w:rsid w:val="002F2B91"/>
    <w:rsid w:val="002F55FD"/>
    <w:rsid w:val="002F706E"/>
    <w:rsid w:val="00300FFB"/>
    <w:rsid w:val="00304738"/>
    <w:rsid w:val="00310186"/>
    <w:rsid w:val="0031063C"/>
    <w:rsid w:val="00315621"/>
    <w:rsid w:val="00316821"/>
    <w:rsid w:val="00320198"/>
    <w:rsid w:val="00326043"/>
    <w:rsid w:val="00333495"/>
    <w:rsid w:val="00340AE1"/>
    <w:rsid w:val="00347BD8"/>
    <w:rsid w:val="00360CF0"/>
    <w:rsid w:val="00370152"/>
    <w:rsid w:val="003752ED"/>
    <w:rsid w:val="003765C6"/>
    <w:rsid w:val="0038187F"/>
    <w:rsid w:val="00385BDE"/>
    <w:rsid w:val="00390013"/>
    <w:rsid w:val="00397F18"/>
    <w:rsid w:val="003A12A9"/>
    <w:rsid w:val="003A16A8"/>
    <w:rsid w:val="003A4BAA"/>
    <w:rsid w:val="003A6D33"/>
    <w:rsid w:val="003B0AB2"/>
    <w:rsid w:val="003B4671"/>
    <w:rsid w:val="003B5A72"/>
    <w:rsid w:val="003B7FDB"/>
    <w:rsid w:val="003C6BC8"/>
    <w:rsid w:val="003C7A72"/>
    <w:rsid w:val="003D1CB1"/>
    <w:rsid w:val="003D5ACE"/>
    <w:rsid w:val="003E127E"/>
    <w:rsid w:val="003E1D69"/>
    <w:rsid w:val="004021BA"/>
    <w:rsid w:val="004064E8"/>
    <w:rsid w:val="00416941"/>
    <w:rsid w:val="0042062A"/>
    <w:rsid w:val="00450356"/>
    <w:rsid w:val="00456EAE"/>
    <w:rsid w:val="004727BB"/>
    <w:rsid w:val="004767F2"/>
    <w:rsid w:val="004774D7"/>
    <w:rsid w:val="0047755B"/>
    <w:rsid w:val="00477608"/>
    <w:rsid w:val="0048756B"/>
    <w:rsid w:val="00493854"/>
    <w:rsid w:val="00493C81"/>
    <w:rsid w:val="004A6797"/>
    <w:rsid w:val="004B0234"/>
    <w:rsid w:val="004B786D"/>
    <w:rsid w:val="004C11EA"/>
    <w:rsid w:val="004C6665"/>
    <w:rsid w:val="004D1948"/>
    <w:rsid w:val="004E0DB3"/>
    <w:rsid w:val="004E36E0"/>
    <w:rsid w:val="004E3DFB"/>
    <w:rsid w:val="004F6EB1"/>
    <w:rsid w:val="00501E11"/>
    <w:rsid w:val="005142CB"/>
    <w:rsid w:val="0051464A"/>
    <w:rsid w:val="00525AC3"/>
    <w:rsid w:val="00550793"/>
    <w:rsid w:val="00560012"/>
    <w:rsid w:val="005621C7"/>
    <w:rsid w:val="0058045A"/>
    <w:rsid w:val="00583275"/>
    <w:rsid w:val="005A11FA"/>
    <w:rsid w:val="005A3613"/>
    <w:rsid w:val="005B05FE"/>
    <w:rsid w:val="005C2AE9"/>
    <w:rsid w:val="005C4182"/>
    <w:rsid w:val="005D7B55"/>
    <w:rsid w:val="005F1895"/>
    <w:rsid w:val="00600BF7"/>
    <w:rsid w:val="0060261C"/>
    <w:rsid w:val="006165A2"/>
    <w:rsid w:val="0061755C"/>
    <w:rsid w:val="00621E43"/>
    <w:rsid w:val="006371BC"/>
    <w:rsid w:val="006479F2"/>
    <w:rsid w:val="006620F6"/>
    <w:rsid w:val="0066677E"/>
    <w:rsid w:val="00677398"/>
    <w:rsid w:val="00680660"/>
    <w:rsid w:val="00682AC2"/>
    <w:rsid w:val="006909E3"/>
    <w:rsid w:val="006950D7"/>
    <w:rsid w:val="00696671"/>
    <w:rsid w:val="006B32D1"/>
    <w:rsid w:val="006B646D"/>
    <w:rsid w:val="006D0AF9"/>
    <w:rsid w:val="006D2DC3"/>
    <w:rsid w:val="006D2F22"/>
    <w:rsid w:val="006D5682"/>
    <w:rsid w:val="006E0166"/>
    <w:rsid w:val="0070769D"/>
    <w:rsid w:val="00707DD0"/>
    <w:rsid w:val="00723501"/>
    <w:rsid w:val="007249D6"/>
    <w:rsid w:val="00732AAD"/>
    <w:rsid w:val="007473D0"/>
    <w:rsid w:val="00776410"/>
    <w:rsid w:val="007830F3"/>
    <w:rsid w:val="007927C1"/>
    <w:rsid w:val="007C1B09"/>
    <w:rsid w:val="007D3DFD"/>
    <w:rsid w:val="007D49FB"/>
    <w:rsid w:val="007E15C2"/>
    <w:rsid w:val="007E2EDB"/>
    <w:rsid w:val="00800DFA"/>
    <w:rsid w:val="00804D50"/>
    <w:rsid w:val="0081263D"/>
    <w:rsid w:val="008213BF"/>
    <w:rsid w:val="00823D45"/>
    <w:rsid w:val="00825647"/>
    <w:rsid w:val="008378E6"/>
    <w:rsid w:val="00843478"/>
    <w:rsid w:val="00847F0D"/>
    <w:rsid w:val="00863F97"/>
    <w:rsid w:val="00864324"/>
    <w:rsid w:val="008702F8"/>
    <w:rsid w:val="008A3C08"/>
    <w:rsid w:val="008C2E86"/>
    <w:rsid w:val="008C40AD"/>
    <w:rsid w:val="008C52D2"/>
    <w:rsid w:val="00901975"/>
    <w:rsid w:val="0090572F"/>
    <w:rsid w:val="00912719"/>
    <w:rsid w:val="009271FA"/>
    <w:rsid w:val="00941C00"/>
    <w:rsid w:val="009443C7"/>
    <w:rsid w:val="0094705E"/>
    <w:rsid w:val="00957EB9"/>
    <w:rsid w:val="00961249"/>
    <w:rsid w:val="00975E82"/>
    <w:rsid w:val="00983786"/>
    <w:rsid w:val="00987730"/>
    <w:rsid w:val="00994A4D"/>
    <w:rsid w:val="009951A8"/>
    <w:rsid w:val="00995A90"/>
    <w:rsid w:val="00995B1F"/>
    <w:rsid w:val="009B0B3F"/>
    <w:rsid w:val="009B78A0"/>
    <w:rsid w:val="009D28D9"/>
    <w:rsid w:val="009D5A99"/>
    <w:rsid w:val="009D628D"/>
    <w:rsid w:val="009F1A67"/>
    <w:rsid w:val="009F283C"/>
    <w:rsid w:val="009F309D"/>
    <w:rsid w:val="009F34B6"/>
    <w:rsid w:val="00A11009"/>
    <w:rsid w:val="00A2649D"/>
    <w:rsid w:val="00A276DC"/>
    <w:rsid w:val="00A35D9A"/>
    <w:rsid w:val="00A37BC1"/>
    <w:rsid w:val="00A50FEA"/>
    <w:rsid w:val="00A624E3"/>
    <w:rsid w:val="00A6569E"/>
    <w:rsid w:val="00A67649"/>
    <w:rsid w:val="00A75E2F"/>
    <w:rsid w:val="00A90230"/>
    <w:rsid w:val="00AA5026"/>
    <w:rsid w:val="00AC2431"/>
    <w:rsid w:val="00AD338F"/>
    <w:rsid w:val="00AD54C7"/>
    <w:rsid w:val="00AE0467"/>
    <w:rsid w:val="00AF77CD"/>
    <w:rsid w:val="00B00723"/>
    <w:rsid w:val="00B028AF"/>
    <w:rsid w:val="00B10A57"/>
    <w:rsid w:val="00B25263"/>
    <w:rsid w:val="00B264A1"/>
    <w:rsid w:val="00B3066D"/>
    <w:rsid w:val="00B357A8"/>
    <w:rsid w:val="00B54A96"/>
    <w:rsid w:val="00B5627B"/>
    <w:rsid w:val="00B70443"/>
    <w:rsid w:val="00B7173A"/>
    <w:rsid w:val="00B73303"/>
    <w:rsid w:val="00B74FB9"/>
    <w:rsid w:val="00B804F0"/>
    <w:rsid w:val="00B84FFB"/>
    <w:rsid w:val="00B91F23"/>
    <w:rsid w:val="00BA59B4"/>
    <w:rsid w:val="00BA78AF"/>
    <w:rsid w:val="00BC1BDD"/>
    <w:rsid w:val="00BC3D05"/>
    <w:rsid w:val="00BC7D56"/>
    <w:rsid w:val="00BE03F1"/>
    <w:rsid w:val="00BF780A"/>
    <w:rsid w:val="00C06EBF"/>
    <w:rsid w:val="00C07343"/>
    <w:rsid w:val="00C12ADC"/>
    <w:rsid w:val="00C33701"/>
    <w:rsid w:val="00C33B73"/>
    <w:rsid w:val="00C42A2F"/>
    <w:rsid w:val="00C477BD"/>
    <w:rsid w:val="00C61AEE"/>
    <w:rsid w:val="00C63532"/>
    <w:rsid w:val="00C64391"/>
    <w:rsid w:val="00C7546B"/>
    <w:rsid w:val="00C77E08"/>
    <w:rsid w:val="00C922C8"/>
    <w:rsid w:val="00C92F37"/>
    <w:rsid w:val="00C97D8C"/>
    <w:rsid w:val="00CA1638"/>
    <w:rsid w:val="00CA7094"/>
    <w:rsid w:val="00CC52BF"/>
    <w:rsid w:val="00CD4A61"/>
    <w:rsid w:val="00CD744F"/>
    <w:rsid w:val="00CE6029"/>
    <w:rsid w:val="00CF78EE"/>
    <w:rsid w:val="00D1120D"/>
    <w:rsid w:val="00D203AF"/>
    <w:rsid w:val="00D20641"/>
    <w:rsid w:val="00D21D1B"/>
    <w:rsid w:val="00D25DB2"/>
    <w:rsid w:val="00D34491"/>
    <w:rsid w:val="00D505F7"/>
    <w:rsid w:val="00D51410"/>
    <w:rsid w:val="00D621C4"/>
    <w:rsid w:val="00D658E4"/>
    <w:rsid w:val="00D670C1"/>
    <w:rsid w:val="00D7717C"/>
    <w:rsid w:val="00D92D86"/>
    <w:rsid w:val="00D94C46"/>
    <w:rsid w:val="00DA1007"/>
    <w:rsid w:val="00DA288C"/>
    <w:rsid w:val="00DB1199"/>
    <w:rsid w:val="00DC140C"/>
    <w:rsid w:val="00DD6452"/>
    <w:rsid w:val="00DD7743"/>
    <w:rsid w:val="00DF067A"/>
    <w:rsid w:val="00DF7ADF"/>
    <w:rsid w:val="00E104EF"/>
    <w:rsid w:val="00E164B0"/>
    <w:rsid w:val="00E22E03"/>
    <w:rsid w:val="00E23E05"/>
    <w:rsid w:val="00E24E75"/>
    <w:rsid w:val="00E33538"/>
    <w:rsid w:val="00E33939"/>
    <w:rsid w:val="00E453AC"/>
    <w:rsid w:val="00E47AC8"/>
    <w:rsid w:val="00E50546"/>
    <w:rsid w:val="00E64038"/>
    <w:rsid w:val="00E747CB"/>
    <w:rsid w:val="00E75916"/>
    <w:rsid w:val="00E80779"/>
    <w:rsid w:val="00E91EA6"/>
    <w:rsid w:val="00EB744B"/>
    <w:rsid w:val="00EE5C46"/>
    <w:rsid w:val="00EE7E20"/>
    <w:rsid w:val="00EF368F"/>
    <w:rsid w:val="00F0053D"/>
    <w:rsid w:val="00F064F5"/>
    <w:rsid w:val="00F107FE"/>
    <w:rsid w:val="00F1469D"/>
    <w:rsid w:val="00F24A6A"/>
    <w:rsid w:val="00F35296"/>
    <w:rsid w:val="00F35A14"/>
    <w:rsid w:val="00F442D8"/>
    <w:rsid w:val="00F6564A"/>
    <w:rsid w:val="00F66E06"/>
    <w:rsid w:val="00F84E65"/>
    <w:rsid w:val="00F861A2"/>
    <w:rsid w:val="00F87A4F"/>
    <w:rsid w:val="00F95AF8"/>
    <w:rsid w:val="00FB01A0"/>
    <w:rsid w:val="00FB3905"/>
    <w:rsid w:val="00FB50C8"/>
    <w:rsid w:val="00FB73E3"/>
    <w:rsid w:val="00FC7017"/>
    <w:rsid w:val="00FD1F16"/>
    <w:rsid w:val="00FD6331"/>
    <w:rsid w:val="00FE251F"/>
    <w:rsid w:val="00FF12E1"/>
    <w:rsid w:val="00FF71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0C66AC"/>
  <w15:chartTrackingRefBased/>
  <w15:docId w15:val="{A5D9F90E-CC56-4DB3-A84E-547E398E1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Styl2Vlevo127cmPrvndek0cm">
    <w:name w:val="Styl Styl2 + Vlevo:  127 cm První řádek:  0 cm"/>
    <w:basedOn w:val="Normln"/>
    <w:rsid w:val="00D20641"/>
    <w:pPr>
      <w:keepNext/>
      <w:numPr>
        <w:ilvl w:val="2"/>
        <w:numId w:val="1"/>
      </w:numPr>
      <w:suppressAutoHyphens/>
      <w:spacing w:before="240" w:after="60" w:line="264" w:lineRule="auto"/>
      <w:outlineLvl w:val="2"/>
    </w:pPr>
    <w:rPr>
      <w:rFonts w:ascii="Arial" w:hAnsi="Arial"/>
      <w:b/>
      <w:bCs/>
      <w:szCs w:val="20"/>
      <w:lang w:eastAsia="ar-SA"/>
    </w:rPr>
  </w:style>
  <w:style w:type="paragraph" w:styleId="Zhlav">
    <w:name w:val="header"/>
    <w:basedOn w:val="Normln"/>
    <w:rsid w:val="0081263D"/>
    <w:pPr>
      <w:tabs>
        <w:tab w:val="center" w:pos="4536"/>
        <w:tab w:val="right" w:pos="9072"/>
      </w:tabs>
    </w:pPr>
  </w:style>
  <w:style w:type="paragraph" w:styleId="Zpat">
    <w:name w:val="footer"/>
    <w:basedOn w:val="Normln"/>
    <w:link w:val="ZpatChar"/>
    <w:rsid w:val="0081263D"/>
    <w:pPr>
      <w:tabs>
        <w:tab w:val="center" w:pos="4536"/>
        <w:tab w:val="right" w:pos="9072"/>
      </w:tabs>
    </w:pPr>
  </w:style>
  <w:style w:type="paragraph" w:customStyle="1" w:styleId="Radabodschze">
    <w:name w:val="Rada bod schůze"/>
    <w:basedOn w:val="Normln"/>
    <w:rsid w:val="0081263D"/>
    <w:pPr>
      <w:widowControl w:val="0"/>
      <w:spacing w:before="480" w:after="480"/>
      <w:jc w:val="both"/>
    </w:pPr>
    <w:rPr>
      <w:rFonts w:ascii="Arial" w:hAnsi="Arial"/>
      <w:b/>
      <w:sz w:val="28"/>
      <w:szCs w:val="20"/>
    </w:rPr>
  </w:style>
  <w:style w:type="paragraph" w:styleId="Zkladntextodsazen">
    <w:name w:val="Body Text Indent"/>
    <w:basedOn w:val="Normln"/>
    <w:link w:val="ZkladntextodsazenChar"/>
    <w:uiPriority w:val="99"/>
    <w:rsid w:val="001121FF"/>
    <w:pPr>
      <w:ind w:left="720"/>
    </w:pPr>
    <w:rPr>
      <w:rFonts w:ascii="Arial" w:hAnsi="Arial"/>
    </w:rPr>
  </w:style>
  <w:style w:type="character" w:customStyle="1" w:styleId="ZkladntextodsazenChar">
    <w:name w:val="Základní text odsazený Char"/>
    <w:link w:val="Zkladntextodsazen"/>
    <w:uiPriority w:val="99"/>
    <w:rsid w:val="001121FF"/>
    <w:rPr>
      <w:rFonts w:ascii="Arial" w:hAnsi="Arial"/>
      <w:sz w:val="24"/>
      <w:szCs w:val="24"/>
    </w:rPr>
  </w:style>
  <w:style w:type="paragraph" w:styleId="Textbubliny">
    <w:name w:val="Balloon Text"/>
    <w:basedOn w:val="Normln"/>
    <w:link w:val="TextbublinyChar"/>
    <w:rsid w:val="00B70443"/>
    <w:rPr>
      <w:rFonts w:ascii="Tahoma" w:hAnsi="Tahoma" w:cs="Tahoma"/>
      <w:sz w:val="16"/>
      <w:szCs w:val="16"/>
    </w:rPr>
  </w:style>
  <w:style w:type="character" w:customStyle="1" w:styleId="TextbublinyChar">
    <w:name w:val="Text bubliny Char"/>
    <w:link w:val="Textbubliny"/>
    <w:rsid w:val="00B70443"/>
    <w:rPr>
      <w:rFonts w:ascii="Tahoma" w:hAnsi="Tahoma" w:cs="Tahoma"/>
      <w:sz w:val="16"/>
      <w:szCs w:val="16"/>
    </w:rPr>
  </w:style>
  <w:style w:type="character" w:styleId="Odkaznakoment">
    <w:name w:val="annotation reference"/>
    <w:rsid w:val="00FB01A0"/>
    <w:rPr>
      <w:sz w:val="16"/>
      <w:szCs w:val="16"/>
    </w:rPr>
  </w:style>
  <w:style w:type="paragraph" w:styleId="Textkomente">
    <w:name w:val="annotation text"/>
    <w:basedOn w:val="Normln"/>
    <w:link w:val="TextkomenteChar"/>
    <w:rsid w:val="00FB01A0"/>
    <w:rPr>
      <w:sz w:val="20"/>
      <w:szCs w:val="20"/>
    </w:rPr>
  </w:style>
  <w:style w:type="character" w:customStyle="1" w:styleId="TextkomenteChar">
    <w:name w:val="Text komentáře Char"/>
    <w:basedOn w:val="Standardnpsmoodstavce"/>
    <w:link w:val="Textkomente"/>
    <w:rsid w:val="00FB01A0"/>
  </w:style>
  <w:style w:type="paragraph" w:styleId="Pedmtkomente">
    <w:name w:val="annotation subject"/>
    <w:basedOn w:val="Textkomente"/>
    <w:next w:val="Textkomente"/>
    <w:link w:val="PedmtkomenteChar"/>
    <w:rsid w:val="00FB01A0"/>
    <w:rPr>
      <w:b/>
      <w:bCs/>
    </w:rPr>
  </w:style>
  <w:style w:type="character" w:customStyle="1" w:styleId="PedmtkomenteChar">
    <w:name w:val="Předmět komentáře Char"/>
    <w:link w:val="Pedmtkomente"/>
    <w:rsid w:val="00FB01A0"/>
    <w:rPr>
      <w:b/>
      <w:bCs/>
    </w:rPr>
  </w:style>
  <w:style w:type="paragraph" w:styleId="Odstavecseseznamem">
    <w:name w:val="List Paragraph"/>
    <w:basedOn w:val="Normln"/>
    <w:uiPriority w:val="34"/>
    <w:qFormat/>
    <w:rsid w:val="00DC140C"/>
    <w:pPr>
      <w:spacing w:after="200" w:line="276" w:lineRule="auto"/>
      <w:ind w:left="720"/>
      <w:contextualSpacing/>
    </w:pPr>
    <w:rPr>
      <w:rFonts w:ascii="Calibri" w:eastAsia="Calibri" w:hAnsi="Calibri"/>
      <w:sz w:val="22"/>
      <w:szCs w:val="22"/>
      <w:lang w:eastAsia="en-US"/>
    </w:rPr>
  </w:style>
  <w:style w:type="character" w:styleId="Siln">
    <w:name w:val="Strong"/>
    <w:uiPriority w:val="22"/>
    <w:qFormat/>
    <w:rsid w:val="00370152"/>
    <w:rPr>
      <w:b/>
      <w:bCs/>
    </w:rPr>
  </w:style>
  <w:style w:type="paragraph" w:styleId="Normlnweb">
    <w:name w:val="Normal (Web)"/>
    <w:basedOn w:val="Normln"/>
    <w:uiPriority w:val="99"/>
    <w:unhideWhenUsed/>
    <w:rsid w:val="00A276DC"/>
    <w:pPr>
      <w:spacing w:before="100" w:beforeAutospacing="1" w:after="100" w:afterAutospacing="1"/>
    </w:pPr>
  </w:style>
  <w:style w:type="character" w:customStyle="1" w:styleId="ZpatChar">
    <w:name w:val="Zápatí Char"/>
    <w:basedOn w:val="Standardnpsmoodstavce"/>
    <w:link w:val="Zpat"/>
    <w:rsid w:val="008643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18466">
      <w:bodyDiv w:val="1"/>
      <w:marLeft w:val="0"/>
      <w:marRight w:val="0"/>
      <w:marTop w:val="0"/>
      <w:marBottom w:val="0"/>
      <w:divBdr>
        <w:top w:val="none" w:sz="0" w:space="0" w:color="auto"/>
        <w:left w:val="none" w:sz="0" w:space="0" w:color="auto"/>
        <w:bottom w:val="none" w:sz="0" w:space="0" w:color="auto"/>
        <w:right w:val="none" w:sz="0" w:space="0" w:color="auto"/>
      </w:divBdr>
    </w:div>
    <w:div w:id="501091058">
      <w:bodyDiv w:val="1"/>
      <w:marLeft w:val="0"/>
      <w:marRight w:val="0"/>
      <w:marTop w:val="0"/>
      <w:marBottom w:val="0"/>
      <w:divBdr>
        <w:top w:val="none" w:sz="0" w:space="0" w:color="auto"/>
        <w:left w:val="none" w:sz="0" w:space="0" w:color="auto"/>
        <w:bottom w:val="none" w:sz="0" w:space="0" w:color="auto"/>
        <w:right w:val="none" w:sz="0" w:space="0" w:color="auto"/>
      </w:divBdr>
    </w:div>
    <w:div w:id="542720218">
      <w:bodyDiv w:val="1"/>
      <w:marLeft w:val="0"/>
      <w:marRight w:val="0"/>
      <w:marTop w:val="0"/>
      <w:marBottom w:val="0"/>
      <w:divBdr>
        <w:top w:val="none" w:sz="0" w:space="0" w:color="auto"/>
        <w:left w:val="none" w:sz="0" w:space="0" w:color="auto"/>
        <w:bottom w:val="none" w:sz="0" w:space="0" w:color="auto"/>
        <w:right w:val="none" w:sz="0" w:space="0" w:color="auto"/>
      </w:divBdr>
    </w:div>
    <w:div w:id="891231820">
      <w:bodyDiv w:val="1"/>
      <w:marLeft w:val="0"/>
      <w:marRight w:val="0"/>
      <w:marTop w:val="0"/>
      <w:marBottom w:val="0"/>
      <w:divBdr>
        <w:top w:val="none" w:sz="0" w:space="0" w:color="auto"/>
        <w:left w:val="none" w:sz="0" w:space="0" w:color="auto"/>
        <w:bottom w:val="none" w:sz="0" w:space="0" w:color="auto"/>
        <w:right w:val="none" w:sz="0" w:space="0" w:color="auto"/>
      </w:divBdr>
    </w:div>
    <w:div w:id="1152674400">
      <w:bodyDiv w:val="1"/>
      <w:marLeft w:val="0"/>
      <w:marRight w:val="0"/>
      <w:marTop w:val="0"/>
      <w:marBottom w:val="0"/>
      <w:divBdr>
        <w:top w:val="none" w:sz="0" w:space="0" w:color="auto"/>
        <w:left w:val="none" w:sz="0" w:space="0" w:color="auto"/>
        <w:bottom w:val="none" w:sz="0" w:space="0" w:color="auto"/>
        <w:right w:val="none" w:sz="0" w:space="0" w:color="auto"/>
      </w:divBdr>
    </w:div>
    <w:div w:id="1211039842">
      <w:bodyDiv w:val="1"/>
      <w:marLeft w:val="0"/>
      <w:marRight w:val="0"/>
      <w:marTop w:val="0"/>
      <w:marBottom w:val="0"/>
      <w:divBdr>
        <w:top w:val="none" w:sz="0" w:space="0" w:color="auto"/>
        <w:left w:val="none" w:sz="0" w:space="0" w:color="auto"/>
        <w:bottom w:val="none" w:sz="0" w:space="0" w:color="auto"/>
        <w:right w:val="none" w:sz="0" w:space="0" w:color="auto"/>
      </w:divBdr>
    </w:div>
    <w:div w:id="1433284843">
      <w:bodyDiv w:val="1"/>
      <w:marLeft w:val="0"/>
      <w:marRight w:val="0"/>
      <w:marTop w:val="0"/>
      <w:marBottom w:val="0"/>
      <w:divBdr>
        <w:top w:val="none" w:sz="0" w:space="0" w:color="auto"/>
        <w:left w:val="none" w:sz="0" w:space="0" w:color="auto"/>
        <w:bottom w:val="none" w:sz="0" w:space="0" w:color="auto"/>
        <w:right w:val="none" w:sz="0" w:space="0" w:color="auto"/>
      </w:divBdr>
    </w:div>
    <w:div w:id="1465732005">
      <w:bodyDiv w:val="1"/>
      <w:marLeft w:val="0"/>
      <w:marRight w:val="0"/>
      <w:marTop w:val="0"/>
      <w:marBottom w:val="0"/>
      <w:divBdr>
        <w:top w:val="none" w:sz="0" w:space="0" w:color="auto"/>
        <w:left w:val="none" w:sz="0" w:space="0" w:color="auto"/>
        <w:bottom w:val="none" w:sz="0" w:space="0" w:color="auto"/>
        <w:right w:val="none" w:sz="0" w:space="0" w:color="auto"/>
      </w:divBdr>
    </w:div>
    <w:div w:id="1568953610">
      <w:bodyDiv w:val="1"/>
      <w:marLeft w:val="0"/>
      <w:marRight w:val="0"/>
      <w:marTop w:val="0"/>
      <w:marBottom w:val="0"/>
      <w:divBdr>
        <w:top w:val="none" w:sz="0" w:space="0" w:color="auto"/>
        <w:left w:val="none" w:sz="0" w:space="0" w:color="auto"/>
        <w:bottom w:val="none" w:sz="0" w:space="0" w:color="auto"/>
        <w:right w:val="none" w:sz="0" w:space="0" w:color="auto"/>
      </w:divBdr>
    </w:div>
    <w:div w:id="1590045718">
      <w:bodyDiv w:val="1"/>
      <w:marLeft w:val="0"/>
      <w:marRight w:val="0"/>
      <w:marTop w:val="0"/>
      <w:marBottom w:val="0"/>
      <w:divBdr>
        <w:top w:val="none" w:sz="0" w:space="0" w:color="auto"/>
        <w:left w:val="none" w:sz="0" w:space="0" w:color="auto"/>
        <w:bottom w:val="none" w:sz="0" w:space="0" w:color="auto"/>
        <w:right w:val="none" w:sz="0" w:space="0" w:color="auto"/>
      </w:divBdr>
    </w:div>
    <w:div w:id="1641035384">
      <w:bodyDiv w:val="1"/>
      <w:marLeft w:val="0"/>
      <w:marRight w:val="0"/>
      <w:marTop w:val="0"/>
      <w:marBottom w:val="0"/>
      <w:divBdr>
        <w:top w:val="none" w:sz="0" w:space="0" w:color="auto"/>
        <w:left w:val="none" w:sz="0" w:space="0" w:color="auto"/>
        <w:bottom w:val="none" w:sz="0" w:space="0" w:color="auto"/>
        <w:right w:val="none" w:sz="0" w:space="0" w:color="auto"/>
      </w:divBdr>
    </w:div>
    <w:div w:id="1677147949">
      <w:bodyDiv w:val="1"/>
      <w:marLeft w:val="0"/>
      <w:marRight w:val="0"/>
      <w:marTop w:val="0"/>
      <w:marBottom w:val="0"/>
      <w:divBdr>
        <w:top w:val="none" w:sz="0" w:space="0" w:color="auto"/>
        <w:left w:val="none" w:sz="0" w:space="0" w:color="auto"/>
        <w:bottom w:val="none" w:sz="0" w:space="0" w:color="auto"/>
        <w:right w:val="none" w:sz="0" w:space="0" w:color="auto"/>
      </w:divBdr>
    </w:div>
    <w:div w:id="1680742438">
      <w:bodyDiv w:val="1"/>
      <w:marLeft w:val="0"/>
      <w:marRight w:val="0"/>
      <w:marTop w:val="0"/>
      <w:marBottom w:val="0"/>
      <w:divBdr>
        <w:top w:val="none" w:sz="0" w:space="0" w:color="auto"/>
        <w:left w:val="none" w:sz="0" w:space="0" w:color="auto"/>
        <w:bottom w:val="none" w:sz="0" w:space="0" w:color="auto"/>
        <w:right w:val="none" w:sz="0" w:space="0" w:color="auto"/>
      </w:divBdr>
    </w:div>
    <w:div w:id="1964339639">
      <w:bodyDiv w:val="1"/>
      <w:marLeft w:val="0"/>
      <w:marRight w:val="0"/>
      <w:marTop w:val="0"/>
      <w:marBottom w:val="0"/>
      <w:divBdr>
        <w:top w:val="none" w:sz="0" w:space="0" w:color="auto"/>
        <w:left w:val="none" w:sz="0" w:space="0" w:color="auto"/>
        <w:bottom w:val="none" w:sz="0" w:space="0" w:color="auto"/>
        <w:right w:val="none" w:sz="0" w:space="0" w:color="auto"/>
      </w:divBdr>
    </w:div>
    <w:div w:id="211177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D8936-5423-4D88-A5D7-AE3A78A3A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821</Words>
  <Characters>4849</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Důvodová zpráva</vt:lpstr>
    </vt:vector>
  </TitlesOfParts>
  <Company>KÚOK</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Důvodová zpráva</dc:title>
  <dc:subject/>
  <dc:creator>Mgr. Radka Pluskalová</dc:creator>
  <cp:keywords/>
  <cp:lastModifiedBy>Tetera Josef</cp:lastModifiedBy>
  <cp:revision>4</cp:revision>
  <cp:lastPrinted>2012-08-23T06:16:00Z</cp:lastPrinted>
  <dcterms:created xsi:type="dcterms:W3CDTF">2021-09-02T06:18:00Z</dcterms:created>
  <dcterms:modified xsi:type="dcterms:W3CDTF">2021-09-03T06:29:00Z</dcterms:modified>
</cp:coreProperties>
</file>