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EE3CD" w14:textId="616C5AC7" w:rsidR="0095241D" w:rsidRDefault="0095241D" w:rsidP="0095241D">
      <w:pPr>
        <w:widowControl w:val="0"/>
        <w:spacing w:after="120" w:line="240" w:lineRule="auto"/>
        <w:jc w:val="both"/>
        <w:outlineLvl w:val="0"/>
        <w:rPr>
          <w:rFonts w:ascii="Arial" w:eastAsia="Times New Roman" w:hAnsi="Arial" w:cs="Arial"/>
          <w:b/>
          <w:sz w:val="24"/>
          <w:szCs w:val="24"/>
          <w:lang w:eastAsia="cs-CZ"/>
        </w:rPr>
      </w:pPr>
      <w:bookmarkStart w:id="0" w:name="_GoBack"/>
      <w:bookmarkEnd w:id="0"/>
      <w:r>
        <w:rPr>
          <w:rFonts w:ascii="Arial" w:eastAsia="Times New Roman" w:hAnsi="Arial" w:cs="Arial"/>
          <w:b/>
          <w:sz w:val="24"/>
          <w:szCs w:val="24"/>
          <w:lang w:eastAsia="cs-CZ"/>
        </w:rPr>
        <w:t>Příloha č. 01 k</w:t>
      </w:r>
      <w:r w:rsidR="00C54849">
        <w:rPr>
          <w:rFonts w:ascii="Arial" w:eastAsia="Times New Roman" w:hAnsi="Arial" w:cs="Arial"/>
          <w:b/>
          <w:sz w:val="24"/>
          <w:szCs w:val="24"/>
          <w:lang w:eastAsia="cs-CZ"/>
        </w:rPr>
        <w:t xml:space="preserve"> důvodové zprávě </w:t>
      </w:r>
    </w:p>
    <w:p w14:paraId="14E37A9C" w14:textId="75E35EE0" w:rsidR="00C54849" w:rsidRDefault="00C54849" w:rsidP="0095241D">
      <w:pPr>
        <w:widowControl w:val="0"/>
        <w:spacing w:after="120" w:line="240" w:lineRule="auto"/>
        <w:jc w:val="both"/>
        <w:outlineLvl w:val="0"/>
        <w:rPr>
          <w:rFonts w:ascii="Arial" w:eastAsia="Times New Roman" w:hAnsi="Arial" w:cs="Arial"/>
          <w:b/>
          <w:sz w:val="24"/>
          <w:szCs w:val="24"/>
          <w:lang w:eastAsia="cs-CZ"/>
        </w:rPr>
      </w:pPr>
    </w:p>
    <w:p w14:paraId="3E7D379A" w14:textId="77777777" w:rsidR="00F06C5D" w:rsidRDefault="00F06C5D" w:rsidP="00F06C5D">
      <w:pPr>
        <w:pStyle w:val="Odsazen1text"/>
        <w:pBdr>
          <w:top w:val="single" w:sz="4" w:space="1" w:color="auto"/>
          <w:left w:val="single" w:sz="4" w:space="4" w:color="auto"/>
          <w:bottom w:val="single" w:sz="4" w:space="1" w:color="auto"/>
          <w:right w:val="single" w:sz="4" w:space="4" w:color="auto"/>
        </w:pBdr>
        <w:spacing w:before="120"/>
        <w:ind w:left="0"/>
        <w:rPr>
          <w:rFonts w:cs="Arial"/>
          <w:b/>
          <w:szCs w:val="24"/>
        </w:rPr>
      </w:pPr>
      <w:r>
        <w:rPr>
          <w:rFonts w:cs="Arial"/>
          <w:b/>
          <w:szCs w:val="24"/>
        </w:rPr>
        <w:t>Zásady postupu orgánů Olomouckého kraje při nakládání s nemovitým majetkem</w:t>
      </w:r>
    </w:p>
    <w:p w14:paraId="64CAD72D" w14:textId="77777777" w:rsidR="00F06C5D" w:rsidRDefault="00F06C5D" w:rsidP="00F06C5D">
      <w:pPr>
        <w:spacing w:before="120" w:after="120" w:line="240" w:lineRule="auto"/>
        <w:jc w:val="both"/>
        <w:rPr>
          <w:rFonts w:ascii="Arial" w:hAnsi="Arial" w:cs="Arial"/>
          <w:b/>
          <w:sz w:val="24"/>
          <w:szCs w:val="24"/>
        </w:rPr>
      </w:pPr>
    </w:p>
    <w:p w14:paraId="54ADB715"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 xml:space="preserve">I. Postup při pronájmech, pachtech, výprosách a výpůjčkách nemovitého majetku, při zřízení věcného břemene a při uzavírání dohod o splátkách s dobou splatnosti do 18 měsíců </w:t>
      </w:r>
    </w:p>
    <w:p w14:paraId="27558363"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(Majetkoprávní úkony, u nichž konečné rozhodnutí ve věci přísluší Radě Olomouckého kraje, není-li v souladu s ustanovením § 59 odst. 4 zákona č. 129/2000 Sb., o krajích (krajské zřízení), ve znění pozdějších předpisů, stanoveno jinak). </w:t>
      </w:r>
    </w:p>
    <w:p w14:paraId="169E2FE1"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1. Na základě žádostí třetích osob, podnětů nebo návrhů odborů Krajského úřadu Olomouckého kraje odbor majetkový, právní a správních činností vypracuje ve spolupráci s dotčenými odbory Krajského úřadu Olomouckého kraje návrh pronajmout, propachtovat, přenechat jako výprosu nebo vypůjčit nemovitý majetek ve vlastnictví Olomouckého kraje v případech uvedených v článku I. odst. 7. těchto zásad a návrh pronajmout si, propachtovat si, získat jako výprosu nebo vypůjčit si cizí nemovitý majetek, návrh zřídit věcné břemeno, s výjimkou případů uvedených v článku I. odst. 6. těchto zásad, nebo vypracuje návrh uzavřít dohodu o splátkách se splatností do 18 měsíců. Na základě žádostí třetích osob, podnětů nebo návrhů odborů Krajského úřadu Olomouckého kraje odbor majetkový, právní a správních činností vypracuje ve spolupráci s dotčenými odbory Krajského úřadu Olomouckého kraje návrh záměru pronajmout, propachtovat, přenechat jako výprosu nebo vypůjčit hmotný nemovitý majetek nebo právo stavby ve vlastnictví Olomouckého kraje v případech neuvedených v článku I. odst. 7. těchto zásad.</w:t>
      </w:r>
    </w:p>
    <w:p w14:paraId="4D9F8615"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2. Na návrh odboru majetkového, právního a správních činností schvaluje Rada Olomouckého kraje pronájem, pacht, výprosu nebo výpůjčku nemovitého majetku v případech uvedených v článku I. odst. 7. těchto zásad, pronájem, pacht, výprosu nebo výpůjčku cizího nemovitého majetku pro kraj, zřízení věcného břemene a uzavření dohody o splátkách se splatností do 18 měsíců a dále záměr pronajmout, propachtovat, přenechat jako výprosu nebo vypůjčit hmotný nemovitý majetek nebo právo stavby ve vlastnictví Olomouckého kraje v případech neuvedených v článku I. odst. 7. těchto zásad. </w:t>
      </w:r>
    </w:p>
    <w:p w14:paraId="7BE7A812"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3. Radou Olomouckého kraje schválený záměr kraje pronajmout, propachtovat, přenechat jako výprosu nebo vypůjčit hmotný nemovitý majetek nebo právo stavby ve vlastnictví Olomouckého kraje v případech neuvedených v článku I. odst. 7. těchto zásad zveřejní odbor majetkový, právní a správních činností na úřední desce Krajského úřadu Olomouckého kraje a na webových stránkách Olomouckého kraje. Po uplynutí zákonem stanovené lhůty pro zveřejnění předloží odbor majetkový, právní a správních činností svůj návrh Radě Olomouckého kraje. Rada Olomouckého kraje přijme usnesení v konkrétní věci.</w:t>
      </w:r>
    </w:p>
    <w:p w14:paraId="0127AF95"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4. V případě potřeby si Rada Olomouckého kraje může k pronájmu, pachtu, výprose nebo výpůjčce nemovitého majetku, ke zřízení věcného břemene nebo k uzavření dohody o splátkách se splatností do 18 měsíců vyžádat stanovisko komise pro majetkoprávní záležitosti.</w:t>
      </w:r>
    </w:p>
    <w:p w14:paraId="6A87901D"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5. K případnému podnětu k revokaci usnesení Rady Olomouckého kraje nebo jeho části odbor majetkový, právní a správních činností vypracuje stanovisko a předloží návrh Radě Olomouckého kraje k rozhodnutí.</w:t>
      </w:r>
    </w:p>
    <w:p w14:paraId="6DB09016"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6. V případech stanovených zřizovací listinou rozhoduje o pronájmu, pachtu, výprose a výpůjčce nemovitého majetku svěřeného příspěvkové organizaci Olomouckého kraje do hospodaření a o pronájmu, pachtu, výprose a výpůjčce cizího nemovitého majetku pro </w:t>
      </w:r>
      <w:r>
        <w:rPr>
          <w:rFonts w:ascii="Arial" w:hAnsi="Arial" w:cs="Arial"/>
          <w:sz w:val="24"/>
          <w:szCs w:val="24"/>
        </w:rPr>
        <w:lastRenderedPageBreak/>
        <w:t>potřeby příspěvkové organizace Olomouckého kraje, o zřízení věcného břemene k majetku v hospodaření příspěvkové organizace Olomouckého kraje a o zřízení věcného břemene k cizímu majetku ve prospěch Olomouckého kraje tato příspěvková organizace, a to bez projednání a schválení orgány Olomouckého kraje.</w:t>
      </w:r>
    </w:p>
    <w:p w14:paraId="29948259"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7. Záměr pronajmout, propachtovat, přenechat jako výprosu nebo vypůjčit nemovitý majetek ve vlastnictví Olomouckého kraje se neschvaluje a nezveřejňuje na úřední desce Krajského úřadu Olomouckého kraje v případě, že </w:t>
      </w:r>
    </w:p>
    <w:p w14:paraId="4159489A"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a) jde o pronájem bytů, pronájem, pacht anebo výpůjčku majetku kraje na dobu kratší než 90 dnů, nebo</w:t>
      </w:r>
    </w:p>
    <w:p w14:paraId="19432599"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b) jde o pronájem, pacht, výprosu nebo výpůjčku právnické osobě, jejímž zřizovatelem nebo zakladatelem je kraj, anebo kterou kraj ovládá, nebo</w:t>
      </w:r>
    </w:p>
    <w:p w14:paraId="40061667"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c) jde o pronájem silničního nebo silničního pomocného pozemku v souvislosti se zvláštním užíváním silnic podle zvláštního zákona nebo</w:t>
      </w:r>
    </w:p>
    <w:p w14:paraId="4496539F"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d) jde o nemovitost svěřenou do hospodaření příspěvkové organizace Olomouckého kraje, nestanoví-li zvláštní předpis nebo Zastupitelstvo Olomouckého kraje ve zřizovací listině jinak.</w:t>
      </w:r>
    </w:p>
    <w:p w14:paraId="5612CB4F"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8. Podle článku I. odst. 1. až 3., </w:t>
      </w:r>
      <w:smartTag w:uri="urn:schemas-microsoft-com:office:smarttags" w:element="metricconverter">
        <w:smartTagPr>
          <w:attr w:name="ProductID" w:val="5. a"/>
        </w:smartTagPr>
        <w:r>
          <w:rPr>
            <w:rFonts w:ascii="Arial" w:hAnsi="Arial" w:cs="Arial"/>
            <w:sz w:val="24"/>
            <w:szCs w:val="24"/>
          </w:rPr>
          <w:t>5. a</w:t>
        </w:r>
      </w:smartTag>
      <w:r>
        <w:rPr>
          <w:rFonts w:ascii="Arial" w:hAnsi="Arial" w:cs="Arial"/>
          <w:sz w:val="24"/>
          <w:szCs w:val="24"/>
        </w:rPr>
        <w:t xml:space="preserve"> 6. těchto zásad se nepostupuje, je-li v souladu s ustanovením § 59 odst. 4 zákona č. 129/2000 Sb., o krajích (krajské zřízení), ve znění pozdějších předpisů</w:t>
      </w:r>
      <w:r>
        <w:rPr>
          <w:rFonts w:ascii="Arial" w:hAnsi="Arial" w:cs="Arial"/>
          <w:color w:val="FF0000"/>
          <w:sz w:val="24"/>
          <w:szCs w:val="24"/>
        </w:rPr>
        <w:t xml:space="preserve"> </w:t>
      </w:r>
      <w:r>
        <w:rPr>
          <w:rFonts w:ascii="Arial" w:hAnsi="Arial" w:cs="Arial"/>
          <w:sz w:val="24"/>
          <w:szCs w:val="24"/>
        </w:rPr>
        <w:t>(dále jen „krajské zřízení“), stanoveno jinak; článek I. odst. 4. těchto zásad se v tomto případě užije obdobně.</w:t>
      </w:r>
    </w:p>
    <w:p w14:paraId="2A0E79A8" w14:textId="77777777" w:rsidR="00F06C5D" w:rsidRDefault="00F06C5D" w:rsidP="00F06C5D">
      <w:pPr>
        <w:spacing w:before="120" w:after="120" w:line="240" w:lineRule="auto"/>
        <w:jc w:val="both"/>
        <w:rPr>
          <w:rFonts w:ascii="Arial" w:hAnsi="Arial" w:cs="Arial"/>
          <w:sz w:val="24"/>
          <w:szCs w:val="24"/>
        </w:rPr>
      </w:pPr>
    </w:p>
    <w:p w14:paraId="085DE159"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II. Postup při nabývání nemovitého majetku do vlastnictví Olomouckého kraje, při převodech nemovitého majetku ve vlastnictví Olomouckého kraje, s výjimkou inženýrských sítí a pozemních komunikací, při jeho poskytnutí jako zástavy a vydání dle zvláštních zákonů, při smluvním zřízení práva stavby k pozemku ve vlastnictví Olomouckého kraje a při uzavírání dohod o splátkách na dobu delší než 18 měsíců</w:t>
      </w:r>
    </w:p>
    <w:p w14:paraId="149AD978"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(Majetkoprávní úkony, u nichž rozhodnutí ve věci přísluší Zastupitelstvu Olomouckého kraje) </w:t>
      </w:r>
    </w:p>
    <w:p w14:paraId="139584AC"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1. Na základě žádostí třetích osob, podnětů nebo návrhů odborů Krajského úřadu Olomouckého kraje odbor majetkový, právní a správních činností vypracuje ve spolupráci s dotčenými odbory návrh záměru prodat, směnit nebo darovat hmotný nemovitý majetek nebo právo stavby ve vlastnictví Olomouckého kraje a záměr kraje smluvně zřídit právo stavby k pozemku ve vlastnictví Olomouckého kraje</w:t>
      </w:r>
      <w:r>
        <w:rPr>
          <w:rFonts w:ascii="Arial" w:hAnsi="Arial" w:cs="Arial"/>
          <w:color w:val="FF0000"/>
          <w:sz w:val="24"/>
          <w:szCs w:val="24"/>
        </w:rPr>
        <w:t xml:space="preserve"> </w:t>
      </w:r>
      <w:r>
        <w:rPr>
          <w:rFonts w:ascii="Arial" w:hAnsi="Arial" w:cs="Arial"/>
          <w:sz w:val="24"/>
          <w:szCs w:val="24"/>
        </w:rPr>
        <w:t>nebo vypracuje návrh nabýt nemovitý majetek do vlastnictví Olomouckého kraje, vydat majetek Olomouckého kraje dle zvláštních zákonů, zastavit nemovitý majetek Olomouckého kraje,</w:t>
      </w:r>
      <w:r>
        <w:rPr>
          <w:rFonts w:ascii="Arial" w:hAnsi="Arial" w:cs="Arial"/>
          <w:color w:val="FF0000"/>
          <w:sz w:val="24"/>
          <w:szCs w:val="24"/>
        </w:rPr>
        <w:t xml:space="preserve"> </w:t>
      </w:r>
      <w:r>
        <w:rPr>
          <w:rFonts w:ascii="Arial" w:hAnsi="Arial" w:cs="Arial"/>
          <w:sz w:val="24"/>
          <w:szCs w:val="24"/>
        </w:rPr>
        <w:t xml:space="preserve">nabýt právo stavby, smluvně zřídit právo stavby k cizímu pozemku a uzavřít dohodu o splátkách na dobu delší než 18 měsíců. </w:t>
      </w:r>
    </w:p>
    <w:p w14:paraId="6A0F772D"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2. Komise pro majetkoprávní záležitosti projedná žádosti, návrhy a podněty nabýt, prodat, směnit, darovat, vydat dle zvláštních zákonů, zastavit nemovitý majetek, smluvně zřídit právo stavby nebo uzavřít dohodu o splátkách na dobu delší než 18 měsíců, které jí budou předloženy spolu se všemi dostupnými podklady a návrhem odboru majetkového, právního a správních činností. </w:t>
      </w:r>
    </w:p>
    <w:p w14:paraId="6E5BD821"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3. Komise pro majetkoprávní záležitosti přijme ve věci usnesení, kterým Radě Olomouckého kraje doporučí </w:t>
      </w:r>
      <w:r>
        <w:rPr>
          <w:rFonts w:ascii="Arial" w:hAnsi="Arial" w:cs="Arial"/>
          <w:sz w:val="24"/>
          <w:szCs w:val="24"/>
          <w:highlight w:val="yellow"/>
        </w:rPr>
        <w:t>či nedoporučí</w:t>
      </w:r>
      <w:r>
        <w:rPr>
          <w:rFonts w:ascii="Arial" w:hAnsi="Arial" w:cs="Arial"/>
          <w:sz w:val="24"/>
          <w:szCs w:val="24"/>
        </w:rPr>
        <w:t xml:space="preserve"> schválit záměr prodat, směnit nebo darovat hmotný nemovitý majetek nebo právo stavby ve vlastnictví Olomouckého kraje, záměr smluvně zřídit právo stavby k pozemku ve vlastnictví Olomouckého kraje,</w:t>
      </w:r>
      <w:r>
        <w:rPr>
          <w:rFonts w:ascii="Arial" w:hAnsi="Arial" w:cs="Arial"/>
          <w:color w:val="FF0000"/>
          <w:sz w:val="24"/>
          <w:szCs w:val="24"/>
        </w:rPr>
        <w:t xml:space="preserve"> </w:t>
      </w:r>
      <w:r>
        <w:rPr>
          <w:rFonts w:ascii="Arial" w:hAnsi="Arial" w:cs="Arial"/>
          <w:sz w:val="24"/>
          <w:szCs w:val="24"/>
        </w:rPr>
        <w:t xml:space="preserve">nebo kterým Radě Olomouckého kraje doporučí přijmout doporučení pro usnesení Zastupitelstva Olomouckého kraje ve věcech nabytí nemovitého majetku do vlastnictví Olomouckého kraje, zastavení nemovitostí ve vlastnictví Olomouckého kraje, vydání nemovitostí ve vlastnictví Olomouckého kraje dle </w:t>
      </w:r>
      <w:r>
        <w:rPr>
          <w:rFonts w:ascii="Arial" w:hAnsi="Arial" w:cs="Arial"/>
          <w:sz w:val="24"/>
          <w:szCs w:val="24"/>
        </w:rPr>
        <w:lastRenderedPageBreak/>
        <w:t>zvláštních zákonů, smluvního zřízení práva stavby k cizímu pozemku a uzavření dohody o splátkách na dobu delší než 18 měsíců.</w:t>
      </w:r>
    </w:p>
    <w:p w14:paraId="547F6193"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4. Odbor majetkový, právní a správních činností předloží svůj návrh a usnesení komise pro majetkoprávní záležitosti, pokud ve věci jednala, Radě Olomouckého kraje, která svým usnesením schválí nebo neschválí záměr Olomouckého kraje prodat, směnit nebo darovat hmotný nemovitý majetek nebo právo stavby ve vlastnictví Olomouckého kraje, záměr smluvně zřídit právo stavby k pozemku ve vlastnictví Olomouckého kraje,</w:t>
      </w:r>
      <w:r>
        <w:rPr>
          <w:rFonts w:ascii="Arial" w:hAnsi="Arial" w:cs="Arial"/>
          <w:color w:val="FF0000"/>
          <w:sz w:val="24"/>
          <w:szCs w:val="24"/>
        </w:rPr>
        <w:t xml:space="preserve"> </w:t>
      </w:r>
      <w:r>
        <w:rPr>
          <w:rFonts w:ascii="Arial" w:hAnsi="Arial" w:cs="Arial"/>
          <w:sz w:val="24"/>
          <w:szCs w:val="24"/>
        </w:rPr>
        <w:t>nebo doporučí či nedoporučí Zastupitelstvu Olomouckého kraje nabýt do vlastnictví nemovitý majetek, vydat nemovitý majetek Olomouckého kraje dle zvláštních zákonů, zastavit jej, smluvně zřídit právo stavby k cizímu pozemku nebo uzavřít dohodu o splátkách na dobu delší než 18 měsíců.</w:t>
      </w:r>
    </w:p>
    <w:p w14:paraId="35CF1A59"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5. Nabytí nemovitého majetku do vlastnictví Olomouckého kraje, s výjimkou inženýrských sítí a pozemních komunikací, zastavení nemovitostí ve vlastnictví Olomouckého kraje, vydání nemovitostí ve vlastnictví Olomouckého kraje dle zvláštních zákonů, smluvní zřízení práva stavby k cizímu pozemku a uzavření dohody o splátkách na dobu delší než 18 měsíců schvaluje Zastupitelstvo Olomouckého kraje svým usnesením.</w:t>
      </w:r>
    </w:p>
    <w:p w14:paraId="653288EB"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6. Radou Olomouckého kraje schválený záměr prodat, směnit nebo darovat hmotný nemovitý majetek nebo právo stavby ve vlastnictví Olomouckého kraje, nebo záměr smluvně zřídit právo stavby k pozemku ve vlastnictví Olomouckého kraje, zveřejní odbor majetkový, právní a správních činností na úřední desce Krajského úřadu Olomouckého kraje a na webových stránkách Olomouckého kraje.</w:t>
      </w:r>
    </w:p>
    <w:p w14:paraId="5EBB8F3D"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7. Po uplynutí zákonem stanovené lhůty pro zveřejnění odbor majetkový, právní a správních činností vypracuje pro Radu Olomouckého kraje návrh, dle kterého Rada Olomouckého kraje, která si může vyžádat stanovisko komise pro majetkoprávní záležitosti, doporučí Zastupitelstvu Olomouckého kraje přijetí usnesení v konkrétní věci prodeje, směny nebo darování nemovitého majetku Olomouckého kraje nebo smluvně zřizovaného práva stavby k pozemku ve vlastnictví Olomouckého kraje.</w:t>
      </w:r>
    </w:p>
    <w:p w14:paraId="5C72F844" w14:textId="77777777" w:rsidR="00F06C5D" w:rsidRDefault="00F06C5D" w:rsidP="00F06C5D">
      <w:pPr>
        <w:spacing w:before="120" w:after="120" w:line="240" w:lineRule="auto"/>
        <w:jc w:val="both"/>
        <w:rPr>
          <w:rFonts w:ascii="Arial" w:hAnsi="Arial" w:cs="Arial"/>
          <w:b/>
          <w:color w:val="0000FF"/>
          <w:sz w:val="24"/>
          <w:szCs w:val="24"/>
        </w:rPr>
      </w:pPr>
      <w:r>
        <w:rPr>
          <w:rFonts w:ascii="Arial" w:hAnsi="Arial" w:cs="Arial"/>
          <w:sz w:val="24"/>
          <w:szCs w:val="24"/>
        </w:rPr>
        <w:t xml:space="preserve">8. V případě, že Rada Olomouckého kraje schválila záměr Olomouckého kraje prodat nemovitý majetek s tím, že jednotlivé cenové nabídky budou přijímány v uzavřených obálkách, jsou tyto cenové nabídky adresovány komisi pro majetkoprávní záležitosti. Obálky s cenovými nabídkami otevírá komise pro majetkoprávní záležitosti. Komise pro majetkoprávní záležitosti poté přijme ve věci usnesení, kterým Radě Olomouckého kraje doporučí přijmout doporučení pro usnesení Zastupitelstva Olomouckého kraje ve věcech prodeje nemovitého majetku Olomouckého kraje. </w:t>
      </w:r>
    </w:p>
    <w:p w14:paraId="41AB3221"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9. Prodej, směnu nebo darování nemovitého majetku Olomouckého kraje, s výjimkou inženýrských sítí a pozemních komunikací, a smluvní zřízení práva stavby k pozemku ve vlastnictví Olomouckého kraje</w:t>
      </w:r>
      <w:r>
        <w:rPr>
          <w:rFonts w:ascii="Arial" w:hAnsi="Arial" w:cs="Arial"/>
          <w:b/>
          <w:sz w:val="24"/>
          <w:szCs w:val="24"/>
        </w:rPr>
        <w:t xml:space="preserve"> </w:t>
      </w:r>
      <w:r>
        <w:rPr>
          <w:rFonts w:ascii="Arial" w:hAnsi="Arial" w:cs="Arial"/>
          <w:sz w:val="24"/>
          <w:szCs w:val="24"/>
        </w:rPr>
        <w:t>schvaluje Zastupitelstvo Olomouckého kraje.</w:t>
      </w:r>
    </w:p>
    <w:p w14:paraId="5FAEE544"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10. Případný podnět k revokaci usnesení Zastupitelstva Olomouckého kraje nebo jeho části ve věci nabytí, prodeje, směny, darování, vydání dle zvláštních zákonů, zastavení nemovitého majetku Olomouckého kraje, smluvního zřízení práva stavby a uzavření dohody o splátkách na dobu delší než 18 měsíců odbor majetkový, právní a správních činností předloží k projednání komisi pro majetkoprávní záležitosti se všemi podklady a se svým návrhem. Odbor majetkový, právní a správních činností předloží návrh a usnesení komise pro majetkoprávní záležitosti Radě Olomouckého kraje. Rada Olomouckého kraje svým usnesením doporučí Zastupitelstvu Olomouckého kraje přijmout usnesení v konkrétní věci.</w:t>
      </w:r>
    </w:p>
    <w:p w14:paraId="539E5445" w14:textId="62DB1F76" w:rsidR="00F06C5D" w:rsidRDefault="00F06C5D" w:rsidP="00F06C5D">
      <w:pPr>
        <w:spacing w:before="120" w:after="120" w:line="240" w:lineRule="auto"/>
        <w:rPr>
          <w:rFonts w:ascii="Arial" w:hAnsi="Arial" w:cs="Arial"/>
          <w:sz w:val="24"/>
          <w:szCs w:val="24"/>
        </w:rPr>
      </w:pPr>
    </w:p>
    <w:p w14:paraId="0B52EF9A" w14:textId="07BE927B" w:rsidR="00F06C5D" w:rsidRDefault="00F06C5D" w:rsidP="00F06C5D">
      <w:pPr>
        <w:spacing w:before="120" w:after="120" w:line="240" w:lineRule="auto"/>
        <w:rPr>
          <w:rFonts w:ascii="Arial" w:hAnsi="Arial" w:cs="Arial"/>
          <w:sz w:val="24"/>
          <w:szCs w:val="24"/>
        </w:rPr>
      </w:pPr>
    </w:p>
    <w:p w14:paraId="3506409E" w14:textId="77777777" w:rsidR="00F06C5D" w:rsidRDefault="00F06C5D" w:rsidP="00F06C5D">
      <w:pPr>
        <w:spacing w:before="120" w:after="120" w:line="240" w:lineRule="auto"/>
        <w:rPr>
          <w:rFonts w:ascii="Arial" w:hAnsi="Arial" w:cs="Arial"/>
          <w:sz w:val="24"/>
          <w:szCs w:val="24"/>
        </w:rPr>
      </w:pPr>
    </w:p>
    <w:p w14:paraId="7C13AA7D" w14:textId="77777777" w:rsidR="00F06C5D" w:rsidRDefault="00F06C5D" w:rsidP="00F06C5D">
      <w:pPr>
        <w:spacing w:before="120" w:after="120" w:line="240" w:lineRule="auto"/>
        <w:rPr>
          <w:rFonts w:ascii="Arial" w:hAnsi="Arial" w:cs="Arial"/>
          <w:b/>
          <w:sz w:val="24"/>
          <w:szCs w:val="24"/>
        </w:rPr>
      </w:pPr>
      <w:r>
        <w:rPr>
          <w:rFonts w:ascii="Arial" w:hAnsi="Arial" w:cs="Arial"/>
          <w:b/>
          <w:sz w:val="24"/>
          <w:szCs w:val="24"/>
        </w:rPr>
        <w:lastRenderedPageBreak/>
        <w:t>III.</w:t>
      </w:r>
    </w:p>
    <w:p w14:paraId="19806BEF"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 xml:space="preserve">A) Postup při odejmutí nemovitého majetku z hospodaření příspěvkové organizace Olomouckého kraje a při svěření nemovitého majetku do hospodaření příspěvkové organizace Olomouckého kraje </w:t>
      </w:r>
    </w:p>
    <w:p w14:paraId="6EB9604D" w14:textId="77777777" w:rsidR="00F06C5D" w:rsidRDefault="00F06C5D" w:rsidP="00F06C5D">
      <w:pPr>
        <w:spacing w:before="120" w:after="120" w:line="240" w:lineRule="auto"/>
        <w:jc w:val="both"/>
        <w:rPr>
          <w:rFonts w:ascii="Arial" w:hAnsi="Arial" w:cs="Arial"/>
          <w:b/>
          <w:sz w:val="24"/>
          <w:szCs w:val="24"/>
        </w:rPr>
      </w:pPr>
    </w:p>
    <w:p w14:paraId="58B057D1"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1. O odejmutí nemovitého majetku z hospodaření příspěvkové organizace Olomouckého kraje a o svěření nemovitého majetku do hospodaření příspěvkové organizace Olomouckého kraje rozhoduje v souladu s krajským zřízením Zastupitelstvo Olomouckého kraje. Pro postup při odejmutí nemovitého majetku z hospodaření příspěvkové organizace Olomouckého kraje a při svěření nemovitého majetku do hospodaření příspěvkové organizace Olomouckého kraje se užije článek II. odst. 1., 2., 3., </w:t>
      </w:r>
      <w:smartTag w:uri="urn:schemas-microsoft-com:office:smarttags" w:element="metricconverter">
        <w:smartTagPr>
          <w:attr w:name="ProductID" w:val="4. a"/>
        </w:smartTagPr>
        <w:r>
          <w:rPr>
            <w:rFonts w:ascii="Arial" w:hAnsi="Arial" w:cs="Arial"/>
            <w:sz w:val="24"/>
            <w:szCs w:val="24"/>
          </w:rPr>
          <w:t>4. a</w:t>
        </w:r>
      </w:smartTag>
      <w:r>
        <w:rPr>
          <w:rFonts w:ascii="Arial" w:hAnsi="Arial" w:cs="Arial"/>
          <w:sz w:val="24"/>
          <w:szCs w:val="24"/>
        </w:rPr>
        <w:t xml:space="preserve"> 5. těchto zásad obdobně.</w:t>
      </w:r>
    </w:p>
    <w:p w14:paraId="0025D1DC" w14:textId="77777777" w:rsidR="00F06C5D" w:rsidRPr="00CC1124" w:rsidRDefault="00F06C5D" w:rsidP="00F06C5D">
      <w:pPr>
        <w:spacing w:before="120" w:after="120" w:line="240" w:lineRule="auto"/>
        <w:jc w:val="both"/>
        <w:rPr>
          <w:rStyle w:val="Zkladnznak"/>
          <w:rFonts w:ascii="Arial" w:hAnsi="Arial" w:cs="Arial"/>
          <w:sz w:val="24"/>
          <w:szCs w:val="24"/>
        </w:rPr>
      </w:pPr>
      <w:r w:rsidRPr="00CC1124">
        <w:rPr>
          <w:rFonts w:ascii="Arial" w:hAnsi="Arial" w:cs="Arial"/>
          <w:sz w:val="24"/>
          <w:szCs w:val="24"/>
        </w:rPr>
        <w:t xml:space="preserve">2. Změna zřizovací listiny příspěvkové organizace Olomouckého kraje se při odejmutí nemovitého majetku z hospodaření příspěvkové organizace Olomouckého kraje, při svěření nemovitého majetku do hospodaření příspěvkové organizace Olomouckého kraje nebo při jiné změně v majetku svěřeného do hospodaření příspěvkové organizaci </w:t>
      </w:r>
      <w:r w:rsidRPr="00CC1124">
        <w:rPr>
          <w:rStyle w:val="Zkladnznak"/>
          <w:rFonts w:ascii="Arial" w:hAnsi="Arial" w:cs="Arial"/>
          <w:snapToGrid w:val="0"/>
          <w:sz w:val="24"/>
          <w:szCs w:val="24"/>
        </w:rPr>
        <w:t>provádí dodatkem zřizovací listiny příspěvkové organizace, schváleným Zastupitelstvem Olomouckého kraje v kalendářním roce, kdy se tato změna uskutečnila. V případě, že k </w:t>
      </w:r>
      <w:r w:rsidRPr="00CC1124">
        <w:rPr>
          <w:rFonts w:ascii="Arial" w:hAnsi="Arial" w:cs="Arial"/>
          <w:sz w:val="24"/>
          <w:szCs w:val="24"/>
        </w:rPr>
        <w:t xml:space="preserve">odejmutí nemovitého majetku z hospodaření příspěvkové organizace Olomouckého kraje, ke svěření nemovitého majetku do hospodaření příspěvkové organizace Olomouckého kraje nebo k jiné změně v majetku svěřeného do hospodaření příspěvkové organizaci dojde v posledním čtvrtletí kalendářního roku, provede se </w:t>
      </w:r>
      <w:r w:rsidRPr="00CC1124">
        <w:rPr>
          <w:rStyle w:val="Zkladnznak"/>
          <w:rFonts w:ascii="Arial" w:hAnsi="Arial" w:cs="Arial"/>
          <w:snapToGrid w:val="0"/>
          <w:sz w:val="24"/>
          <w:szCs w:val="24"/>
        </w:rPr>
        <w:t xml:space="preserve">změna </w:t>
      </w:r>
      <w:r w:rsidRPr="00CC1124">
        <w:rPr>
          <w:rFonts w:ascii="Arial" w:hAnsi="Arial" w:cs="Arial"/>
          <w:sz w:val="24"/>
          <w:szCs w:val="24"/>
        </w:rPr>
        <w:t>zřizovací listiny příspěvkové organizace Olomouckého kraje nejpozději v prvním čtvrtletí následujícího kalendářního roku.</w:t>
      </w:r>
    </w:p>
    <w:p w14:paraId="45F08BBC" w14:textId="77777777" w:rsidR="00F06C5D" w:rsidRDefault="00F06C5D" w:rsidP="00F06C5D">
      <w:pPr>
        <w:spacing w:before="120" w:after="120" w:line="240" w:lineRule="auto"/>
        <w:jc w:val="both"/>
      </w:pPr>
    </w:p>
    <w:p w14:paraId="382D8896"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 xml:space="preserve">B) Postup odborů Krajského úřadu Olomouckého kraje při odejmutí nemovitého majetku z hospodaření příspěvkové organizace Olomouckého kraje spojeného s převodem nemovitého majetku z vlastnictví Olomouckého kraje </w:t>
      </w:r>
    </w:p>
    <w:p w14:paraId="45DDA9D3" w14:textId="77777777" w:rsidR="00F06C5D" w:rsidRDefault="00F06C5D" w:rsidP="00F06C5D">
      <w:pPr>
        <w:spacing w:before="120" w:after="120" w:line="240" w:lineRule="auto"/>
        <w:jc w:val="both"/>
        <w:rPr>
          <w:rFonts w:ascii="Arial" w:hAnsi="Arial" w:cs="Arial"/>
          <w:sz w:val="24"/>
          <w:szCs w:val="24"/>
        </w:rPr>
      </w:pPr>
    </w:p>
    <w:p w14:paraId="63C8DA7E"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1. Odbor ekonomický obecně informuje všechny příspěvkové organizace Olomouckého kraje o postupu při provádění příslušných účetních operací a účetních zápisů souvisejících s převodem nemovitého majetku z vlastnictví Olomouckého kraje a odejmutím nemovitého majetku z hospodaření příspěvkové organizace Olomouckého kraje. </w:t>
      </w:r>
    </w:p>
    <w:p w14:paraId="2B73019F"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 xml:space="preserve">2. Odbor majetkový, právní a správních činností informuje o přijatém usnesení Zastupitelstva Olomouckého kraje o převodu nemovitého majetku z vlastnictví Olomouckého kraje příspěvkovou organizaci Olomouckého kraje, která hospodaří s dotčeným nemovitým majetkem, a </w:t>
      </w:r>
      <w:bookmarkStart w:id="1" w:name="_Hlk74577683"/>
      <w:r>
        <w:rPr>
          <w:rFonts w:ascii="Arial" w:hAnsi="Arial" w:cs="Arial"/>
          <w:sz w:val="24"/>
          <w:szCs w:val="24"/>
          <w:highlight w:val="yellow"/>
        </w:rPr>
        <w:t>věcně příslušný</w:t>
      </w:r>
      <w:r>
        <w:rPr>
          <w:rFonts w:ascii="Arial" w:hAnsi="Arial" w:cs="Arial"/>
          <w:color w:val="FF0000"/>
          <w:sz w:val="24"/>
          <w:szCs w:val="24"/>
        </w:rPr>
        <w:t xml:space="preserve"> </w:t>
      </w:r>
      <w:bookmarkEnd w:id="1"/>
      <w:r>
        <w:rPr>
          <w:rFonts w:ascii="Arial" w:hAnsi="Arial" w:cs="Arial"/>
          <w:sz w:val="24"/>
          <w:szCs w:val="24"/>
        </w:rPr>
        <w:t xml:space="preserve">odbor </w:t>
      </w:r>
      <w:r>
        <w:rPr>
          <w:rFonts w:ascii="Arial" w:hAnsi="Arial" w:cs="Arial"/>
          <w:strike/>
          <w:sz w:val="24"/>
          <w:szCs w:val="24"/>
          <w:highlight w:val="yellow"/>
        </w:rPr>
        <w:t>podpory řízení příspěvkových organizací</w:t>
      </w:r>
      <w:r>
        <w:rPr>
          <w:rFonts w:ascii="Arial" w:hAnsi="Arial" w:cs="Arial"/>
          <w:sz w:val="24"/>
          <w:szCs w:val="24"/>
        </w:rPr>
        <w:t>, s výjimkou případů týkajících se silničního nemovitého majetku.</w:t>
      </w:r>
      <w:r>
        <w:rPr>
          <w:rFonts w:ascii="Arial" w:hAnsi="Arial" w:cs="Arial"/>
          <w:strike/>
          <w:sz w:val="24"/>
          <w:szCs w:val="24"/>
        </w:rPr>
        <w:t xml:space="preserve"> </w:t>
      </w:r>
    </w:p>
    <w:p w14:paraId="7611EF2D"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 xml:space="preserve">3. Odbor majetkový, právní a správních činností vyhotovuje v souladu s vnitřními předpisy Krajského úřadu Olomouckého kraje „Zařazovací protokol o převzetí nemovitého majetku z hospodaření příspěvkové organizace Olomouckého kraje“ a „Vyřazovací protokol při převodu nemovitého majetku z vlastnictví Olomouckého kraje“. Odbor majetkový, právní a správních činností předává „Zařazovací protokol o převzetí nemovitého majetku z hospodaření příspěvkové organizace Olomouckého kraje“ a „Vyřazovací protokol při převodu nemovitého majetku z vlastnictví Olomouckého kraje“ odboru ekonomickému a příspěvkové organizaci Olomouckého kraje, která hospodaří s dotčeným nemovitým majetkem. Odbor majetkový, právní a správních činností písemně (elektronicky) informuje o podání návrhu na vklad práva do katastru nemovitostí dle smlouvy o převodu nemovitého majetku z vlastnictví Olomouckého kraje </w:t>
      </w:r>
      <w:r>
        <w:rPr>
          <w:rFonts w:ascii="Arial" w:hAnsi="Arial" w:cs="Arial"/>
          <w:sz w:val="24"/>
          <w:szCs w:val="24"/>
          <w:highlight w:val="yellow"/>
        </w:rPr>
        <w:t>věcně příslušný</w:t>
      </w:r>
      <w:r>
        <w:rPr>
          <w:rFonts w:ascii="Arial" w:hAnsi="Arial" w:cs="Arial"/>
          <w:color w:val="FF0000"/>
          <w:sz w:val="24"/>
          <w:szCs w:val="24"/>
        </w:rPr>
        <w:t xml:space="preserve"> </w:t>
      </w:r>
      <w:r>
        <w:rPr>
          <w:rFonts w:ascii="Arial" w:hAnsi="Arial" w:cs="Arial"/>
          <w:sz w:val="24"/>
          <w:szCs w:val="24"/>
        </w:rPr>
        <w:t>odbor</w:t>
      </w:r>
      <w:r>
        <w:rPr>
          <w:rFonts w:ascii="Arial" w:hAnsi="Arial" w:cs="Arial"/>
          <w:sz w:val="24"/>
          <w:szCs w:val="24"/>
          <w:highlight w:val="yellow"/>
        </w:rPr>
        <w:t>.</w:t>
      </w:r>
      <w:r>
        <w:rPr>
          <w:rFonts w:ascii="Arial" w:hAnsi="Arial" w:cs="Arial"/>
          <w:sz w:val="24"/>
          <w:szCs w:val="24"/>
        </w:rPr>
        <w:t xml:space="preserve"> </w:t>
      </w:r>
      <w:r>
        <w:rPr>
          <w:rFonts w:ascii="Arial" w:hAnsi="Arial" w:cs="Arial"/>
          <w:strike/>
          <w:sz w:val="24"/>
          <w:szCs w:val="24"/>
          <w:highlight w:val="yellow"/>
        </w:rPr>
        <w:t xml:space="preserve">podpory řízení </w:t>
      </w:r>
      <w:r>
        <w:rPr>
          <w:rFonts w:ascii="Arial" w:hAnsi="Arial" w:cs="Arial"/>
          <w:strike/>
          <w:sz w:val="24"/>
          <w:szCs w:val="24"/>
          <w:highlight w:val="yellow"/>
        </w:rPr>
        <w:lastRenderedPageBreak/>
        <w:t>příspěvkových organizací, s výjimkou případů týkajících se silničního nemovitého majetku, a odvětvový odbor.</w:t>
      </w:r>
    </w:p>
    <w:p w14:paraId="291176F4" w14:textId="77777777" w:rsidR="00F06C5D" w:rsidRDefault="00F06C5D" w:rsidP="00F06C5D">
      <w:pPr>
        <w:spacing w:before="120" w:after="120" w:line="240" w:lineRule="auto"/>
        <w:jc w:val="both"/>
        <w:rPr>
          <w:rFonts w:ascii="Arial" w:hAnsi="Arial" w:cs="Arial"/>
          <w:color w:val="FF0000"/>
          <w:sz w:val="24"/>
          <w:szCs w:val="24"/>
        </w:rPr>
      </w:pPr>
      <w:r>
        <w:rPr>
          <w:rFonts w:ascii="Arial" w:hAnsi="Arial" w:cs="Arial"/>
          <w:sz w:val="24"/>
          <w:szCs w:val="24"/>
        </w:rPr>
        <w:t>4. Odbor majetkový, právní a správních činností zajišťuje ve spolupráci s příspěvkovou organizací Olomouckého kraje zavedení a vyvedení dotčeného nemovitého majetku do (z) účetnictví Olomouckého kraje v souladu s vnitřními předpisy Krajského úřadu Olomouckého kraje.</w:t>
      </w:r>
      <w:r>
        <w:rPr>
          <w:rFonts w:ascii="Arial" w:hAnsi="Arial" w:cs="Arial"/>
          <w:color w:val="FF0000"/>
          <w:sz w:val="24"/>
          <w:szCs w:val="24"/>
        </w:rPr>
        <w:t xml:space="preserve"> </w:t>
      </w:r>
    </w:p>
    <w:p w14:paraId="1E0D2DCF"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5. V případech, kdy Olomoucký kraj je poplatníkem daně z nabytí nemovitých věcí, a není od daně osvobozen, odbor majetkový, právní a správních činností vypracovává příslušná daňová přiznání.</w:t>
      </w:r>
    </w:p>
    <w:p w14:paraId="7AA31664" w14:textId="77777777" w:rsidR="00F06C5D" w:rsidRDefault="00F06C5D" w:rsidP="00F06C5D">
      <w:pPr>
        <w:tabs>
          <w:tab w:val="num" w:pos="360"/>
        </w:tabs>
        <w:spacing w:before="120" w:after="120" w:line="240" w:lineRule="auto"/>
        <w:jc w:val="both"/>
        <w:rPr>
          <w:rFonts w:ascii="Arial" w:hAnsi="Arial" w:cs="Arial"/>
          <w:sz w:val="24"/>
          <w:szCs w:val="24"/>
        </w:rPr>
      </w:pPr>
    </w:p>
    <w:p w14:paraId="5D9F035F"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 xml:space="preserve">C) Postup odborů Krajského úřadu Olomouckého kraje při svěření nemovitého majetku do hospodaření příspěvkové organizace Olomouckého kraje spojeného s nabytím nemovitého majetku do vlastnictví Olomouckého kraje </w:t>
      </w:r>
    </w:p>
    <w:p w14:paraId="385135E5"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1. Odbor ekonomický obecně informuje všechny příspěvkové organizace Olomouckého kraje o postupu při provádění příslušných účetních operací a účetních zápisů souvisejících s nabytím nemovitého majetku do vlastnictví Olomouckého kraje a svěřením nemovitého majetku do hospodaření příspěvkové organizaci Olomouckého kraje. </w:t>
      </w:r>
    </w:p>
    <w:p w14:paraId="1E8D58A0"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 xml:space="preserve">2. Odbor majetkový, právní a správních činností informuje o přijatém usnesení Zastupitelstva Olomouckého kraje o nabytí nemovitého majetku do vlastnictví Olomouckého kraje příspěvkovou organizaci Olomouckého kraje, která bude hospodařit s dotčeným nemovitým majetkem, a </w:t>
      </w:r>
      <w:r>
        <w:rPr>
          <w:rFonts w:ascii="Arial" w:hAnsi="Arial" w:cs="Arial"/>
          <w:sz w:val="24"/>
          <w:szCs w:val="24"/>
          <w:highlight w:val="yellow"/>
        </w:rPr>
        <w:t>věcně příslušný</w:t>
      </w:r>
      <w:r>
        <w:rPr>
          <w:rFonts w:ascii="Arial" w:hAnsi="Arial" w:cs="Arial"/>
          <w:color w:val="FF0000"/>
          <w:sz w:val="24"/>
          <w:szCs w:val="24"/>
        </w:rPr>
        <w:t xml:space="preserve"> </w:t>
      </w:r>
      <w:r>
        <w:rPr>
          <w:rFonts w:ascii="Arial" w:hAnsi="Arial" w:cs="Arial"/>
          <w:sz w:val="24"/>
          <w:szCs w:val="24"/>
        </w:rPr>
        <w:t xml:space="preserve">odbor </w:t>
      </w:r>
      <w:r>
        <w:rPr>
          <w:rFonts w:ascii="Arial" w:hAnsi="Arial" w:cs="Arial"/>
          <w:strike/>
          <w:sz w:val="24"/>
          <w:szCs w:val="24"/>
          <w:highlight w:val="yellow"/>
        </w:rPr>
        <w:t>podpory řízení příspěvkových organizací</w:t>
      </w:r>
      <w:r>
        <w:rPr>
          <w:rFonts w:ascii="Arial" w:hAnsi="Arial" w:cs="Arial"/>
          <w:sz w:val="24"/>
          <w:szCs w:val="24"/>
        </w:rPr>
        <w:t>, s výjimkou případů týkajících se silničního nemovitého majetku.</w:t>
      </w:r>
      <w:r>
        <w:rPr>
          <w:rFonts w:ascii="Arial" w:hAnsi="Arial" w:cs="Arial"/>
          <w:strike/>
          <w:sz w:val="24"/>
          <w:szCs w:val="24"/>
        </w:rPr>
        <w:t xml:space="preserve"> </w:t>
      </w:r>
    </w:p>
    <w:p w14:paraId="2F8DC213"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 xml:space="preserve">3. Odbor majetkový, právní a správních činností vyhotovuje v souladu s vnitřními předpisy Krajského úřadu Olomouckého kraje „Zařazovací protokol o nemovitém majetku pořizovaném do vlastnictví Olomouckého kraje“ a „Vyřazovací protokol při svěření nemovitého majetku do hospodaření příspěvkové organizace Olomouckého kraje“. Odbor majetkový, právní a správních činností předává „Zařazovací protokol o nemovitém majetku pořizovaném do vlastnictví Olomouckého kraje“ a „Vyřazovací protokol při svěření nemovitého majetku do hospodaření příspěvkové organizace Olomouckého kraje“ odboru ekonomickému a příspěvkové organizaci Olomouckého kraje, která bude hospodařit s dotčeným nemovitým majetkem. Odbor majetkový, právní a správních činností písemně (elektronicky) informuje o podání návrhu na vklad práva do katastru nemovitostí dle smlouvy o nabytí nemovitého majetku do vlastnictví Olomouckého kraje </w:t>
      </w:r>
      <w:r>
        <w:rPr>
          <w:rFonts w:ascii="Arial" w:hAnsi="Arial" w:cs="Arial"/>
          <w:sz w:val="24"/>
          <w:szCs w:val="24"/>
          <w:highlight w:val="yellow"/>
        </w:rPr>
        <w:t>věcně příslušný</w:t>
      </w:r>
      <w:r>
        <w:rPr>
          <w:rFonts w:ascii="Arial" w:hAnsi="Arial" w:cs="Arial"/>
          <w:color w:val="FF0000"/>
          <w:sz w:val="24"/>
          <w:szCs w:val="24"/>
        </w:rPr>
        <w:t xml:space="preserve"> </w:t>
      </w:r>
      <w:r>
        <w:rPr>
          <w:rFonts w:ascii="Arial" w:hAnsi="Arial" w:cs="Arial"/>
          <w:sz w:val="24"/>
          <w:szCs w:val="24"/>
        </w:rPr>
        <w:t>odbor</w:t>
      </w:r>
      <w:r>
        <w:rPr>
          <w:rFonts w:ascii="Arial" w:hAnsi="Arial" w:cs="Arial"/>
          <w:sz w:val="24"/>
          <w:szCs w:val="24"/>
          <w:highlight w:val="yellow"/>
        </w:rPr>
        <w:t>.</w:t>
      </w:r>
      <w:r>
        <w:rPr>
          <w:rFonts w:ascii="Arial" w:hAnsi="Arial" w:cs="Arial"/>
          <w:sz w:val="24"/>
          <w:szCs w:val="24"/>
        </w:rPr>
        <w:t xml:space="preserve"> </w:t>
      </w:r>
      <w:r>
        <w:rPr>
          <w:rFonts w:ascii="Arial" w:hAnsi="Arial" w:cs="Arial"/>
          <w:strike/>
          <w:sz w:val="24"/>
          <w:szCs w:val="24"/>
          <w:highlight w:val="yellow"/>
        </w:rPr>
        <w:t>podpory řízení příspěvkových organizací, s výjimkou případů týkajících se silničního nemovitého majetku, a odvětvový odbor</w:t>
      </w:r>
      <w:r>
        <w:rPr>
          <w:rFonts w:ascii="Arial" w:hAnsi="Arial" w:cs="Arial"/>
          <w:strike/>
          <w:sz w:val="24"/>
          <w:szCs w:val="24"/>
        </w:rPr>
        <w:t>.</w:t>
      </w:r>
    </w:p>
    <w:p w14:paraId="6C5B2579" w14:textId="77777777" w:rsidR="00F06C5D" w:rsidRDefault="00F06C5D" w:rsidP="00F06C5D">
      <w:pPr>
        <w:spacing w:before="120" w:after="120" w:line="240" w:lineRule="auto"/>
        <w:jc w:val="both"/>
        <w:rPr>
          <w:rFonts w:ascii="Arial" w:hAnsi="Arial" w:cs="Arial"/>
          <w:sz w:val="24"/>
          <w:szCs w:val="24"/>
        </w:rPr>
      </w:pPr>
      <w:r>
        <w:rPr>
          <w:rFonts w:ascii="Arial" w:hAnsi="Arial" w:cs="Arial"/>
          <w:sz w:val="24"/>
          <w:szCs w:val="24"/>
        </w:rPr>
        <w:t xml:space="preserve">4. Odbor majetkový, právní a správních činností zajišťuje ve spolupráci s příspěvkovou organizací Olomouckého kraje zavedení a vyvedení dotčeného nemovitého majetku do (z) účetnictví Olomouckého kraje v souladu s vnitřními předpisy Krajského úřadu Olomouckého kraje. </w:t>
      </w:r>
    </w:p>
    <w:p w14:paraId="7FB9733D" w14:textId="77777777" w:rsidR="00F06C5D" w:rsidRDefault="00F06C5D" w:rsidP="00F06C5D">
      <w:pPr>
        <w:spacing w:before="120" w:after="120" w:line="240" w:lineRule="auto"/>
        <w:jc w:val="both"/>
        <w:rPr>
          <w:rFonts w:ascii="Arial" w:hAnsi="Arial" w:cs="Arial"/>
          <w:strike/>
          <w:sz w:val="24"/>
          <w:szCs w:val="24"/>
        </w:rPr>
      </w:pPr>
      <w:r>
        <w:rPr>
          <w:rFonts w:ascii="Arial" w:hAnsi="Arial" w:cs="Arial"/>
          <w:sz w:val="24"/>
          <w:szCs w:val="24"/>
        </w:rPr>
        <w:t>5. V případech, kdy Olomoucký kraj je poplatníkem daně z nabytí nemovitých věcí, a není od daně osvobozen, odbor majetkový, právní a správních činností vypracovává příslušná daňová přiznání.</w:t>
      </w:r>
    </w:p>
    <w:p w14:paraId="0886D4BD" w14:textId="77777777" w:rsidR="00F06C5D" w:rsidRDefault="00F06C5D" w:rsidP="00F06C5D">
      <w:pPr>
        <w:spacing w:before="120" w:after="120" w:line="240" w:lineRule="auto"/>
        <w:jc w:val="both"/>
        <w:rPr>
          <w:rFonts w:ascii="Arial" w:hAnsi="Arial" w:cs="Arial"/>
          <w:b/>
          <w:sz w:val="24"/>
          <w:szCs w:val="24"/>
        </w:rPr>
      </w:pPr>
    </w:p>
    <w:p w14:paraId="379C0797" w14:textId="77777777" w:rsidR="00F06C5D" w:rsidRDefault="00F06C5D" w:rsidP="00F06C5D">
      <w:pPr>
        <w:spacing w:before="120" w:after="120" w:line="240" w:lineRule="auto"/>
        <w:jc w:val="both"/>
        <w:rPr>
          <w:rFonts w:ascii="Arial" w:hAnsi="Arial" w:cs="Arial"/>
          <w:b/>
          <w:sz w:val="24"/>
          <w:szCs w:val="24"/>
        </w:rPr>
      </w:pPr>
      <w:r>
        <w:rPr>
          <w:rFonts w:ascii="Arial" w:hAnsi="Arial" w:cs="Arial"/>
          <w:b/>
          <w:sz w:val="24"/>
          <w:szCs w:val="24"/>
        </w:rPr>
        <w:t>D) Postup odborů Krajského úřadu Olomouckého kraje při zřízení, změně nebo zrušení věcného břemene</w:t>
      </w:r>
      <w:r>
        <w:rPr>
          <w:rFonts w:ascii="Arial" w:hAnsi="Arial" w:cs="Arial"/>
          <w:color w:val="FF0000"/>
          <w:sz w:val="24"/>
          <w:szCs w:val="24"/>
        </w:rPr>
        <w:t xml:space="preserve"> </w:t>
      </w:r>
      <w:r>
        <w:rPr>
          <w:rFonts w:ascii="Arial" w:hAnsi="Arial" w:cs="Arial"/>
          <w:b/>
          <w:sz w:val="24"/>
          <w:szCs w:val="24"/>
        </w:rPr>
        <w:t>a při odejmutí nebo svěření nemovitého majetku z (do) hospodaření příspěvkové organizace Olomouckého kraje, kdy Olomoucký kraj nepozbývá nebo nenabývá vlastnické právo k nemovitému majetku</w:t>
      </w:r>
    </w:p>
    <w:p w14:paraId="77DBF6C8" w14:textId="77777777" w:rsidR="00F06C5D" w:rsidRDefault="00F06C5D" w:rsidP="00F06C5D">
      <w:pPr>
        <w:spacing w:before="120" w:after="120" w:line="240" w:lineRule="auto"/>
        <w:jc w:val="both"/>
        <w:rPr>
          <w:rStyle w:val="Tunznak"/>
          <w:bCs/>
        </w:rPr>
      </w:pPr>
      <w:r>
        <w:rPr>
          <w:rFonts w:ascii="Arial" w:hAnsi="Arial" w:cs="Arial"/>
          <w:sz w:val="24"/>
          <w:szCs w:val="24"/>
        </w:rPr>
        <w:lastRenderedPageBreak/>
        <w:t>Pro postupy odborů Krajského úřadu Olomouckého kraje při</w:t>
      </w:r>
      <w:r>
        <w:rPr>
          <w:rFonts w:ascii="Arial" w:hAnsi="Arial" w:cs="Arial"/>
          <w:b/>
          <w:sz w:val="24"/>
          <w:szCs w:val="24"/>
        </w:rPr>
        <w:t xml:space="preserve"> </w:t>
      </w:r>
      <w:r>
        <w:rPr>
          <w:rFonts w:ascii="Arial" w:hAnsi="Arial" w:cs="Arial"/>
          <w:sz w:val="24"/>
          <w:szCs w:val="24"/>
        </w:rPr>
        <w:t>zřízení, změně nebo zrušení věcného břemene a při odejmutí nebo svěření nemovitého majetku z (do) hospodaření příspěvkové organizace Olomouckého kraje, kdy Olomoucký kraj současně nepozbývá nebo nenabývá vlastnické právo k nemovitému majetku, se užijí ustanovení článku III. písm. B) a C) těchto zásad obdobně.</w:t>
      </w:r>
    </w:p>
    <w:p w14:paraId="4C974912" w14:textId="77777777" w:rsidR="00F06C5D" w:rsidRDefault="00F06C5D" w:rsidP="00F06C5D">
      <w:pPr>
        <w:spacing w:before="120" w:after="120" w:line="240" w:lineRule="auto"/>
        <w:jc w:val="both"/>
        <w:rPr>
          <w:rFonts w:ascii="Arial" w:hAnsi="Arial" w:cs="Arial"/>
          <w:sz w:val="24"/>
          <w:szCs w:val="24"/>
        </w:rPr>
      </w:pPr>
    </w:p>
    <w:p w14:paraId="55804BF9" w14:textId="77777777" w:rsidR="00C579CB" w:rsidRDefault="00C579CB" w:rsidP="0095241D">
      <w:pPr>
        <w:widowControl w:val="0"/>
        <w:spacing w:after="120" w:line="240" w:lineRule="auto"/>
        <w:jc w:val="center"/>
        <w:outlineLvl w:val="0"/>
        <w:rPr>
          <w:rFonts w:ascii="Arial" w:eastAsia="Times New Roman" w:hAnsi="Arial" w:cs="Arial"/>
          <w:b/>
          <w:sz w:val="24"/>
          <w:szCs w:val="24"/>
          <w:lang w:eastAsia="cs-CZ"/>
        </w:rPr>
      </w:pPr>
    </w:p>
    <w:sectPr w:rsidR="00C579CB">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A9B3" w14:textId="77777777" w:rsidR="00F026F8" w:rsidRDefault="00F026F8">
      <w:pPr>
        <w:spacing w:after="0" w:line="240" w:lineRule="auto"/>
      </w:pPr>
      <w:r>
        <w:separator/>
      </w:r>
    </w:p>
  </w:endnote>
  <w:endnote w:type="continuationSeparator" w:id="0">
    <w:p w14:paraId="67B287A9" w14:textId="77777777" w:rsidR="00F026F8" w:rsidRDefault="00F0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E978" w14:textId="77777777" w:rsidR="006F1D77" w:rsidRPr="007F0EE9" w:rsidRDefault="0043786D" w:rsidP="004B5D46">
    <w:pPr>
      <w:pStyle w:val="Zpat"/>
      <w:pBdr>
        <w:top w:val="single" w:sz="4" w:space="1"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CBC7" w14:textId="77777777" w:rsidR="00F026F8" w:rsidRDefault="00F026F8">
      <w:pPr>
        <w:spacing w:after="0" w:line="240" w:lineRule="auto"/>
      </w:pPr>
      <w:r>
        <w:separator/>
      </w:r>
    </w:p>
  </w:footnote>
  <w:footnote w:type="continuationSeparator" w:id="0">
    <w:p w14:paraId="3B7B8389" w14:textId="77777777" w:rsidR="00F026F8" w:rsidRDefault="00F0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84E"/>
    <w:multiLevelType w:val="hybridMultilevel"/>
    <w:tmpl w:val="C24C93F4"/>
    <w:numStyleLink w:val="Importovanstyl1"/>
  </w:abstractNum>
  <w:abstractNum w:abstractNumId="1"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183A8D"/>
    <w:multiLevelType w:val="hybridMultilevel"/>
    <w:tmpl w:val="C24C93F4"/>
    <w:styleLink w:val="Importovanstyl1"/>
    <w:lvl w:ilvl="0" w:tplc="5B482C0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0857B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29E37BE">
      <w:start w:val="1"/>
      <w:numFmt w:val="lowerRoman"/>
      <w:lvlText w:val="%3."/>
      <w:lvlJc w:val="left"/>
      <w:pPr>
        <w:ind w:left="216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7FCA22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1E6BD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663B9E">
      <w:start w:val="1"/>
      <w:numFmt w:val="lowerRoman"/>
      <w:lvlText w:val="%6."/>
      <w:lvlJc w:val="left"/>
      <w:pPr>
        <w:ind w:left="432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1A86E8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A306AA0">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6EA57B4">
      <w:start w:val="1"/>
      <w:numFmt w:val="lowerRoman"/>
      <w:lvlText w:val="%9."/>
      <w:lvlJc w:val="left"/>
      <w:pPr>
        <w:ind w:left="6480" w:hanging="31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717A1CD4"/>
    <w:multiLevelType w:val="hybridMultilevel"/>
    <w:tmpl w:val="45E00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6840F9"/>
    <w:multiLevelType w:val="hybridMultilevel"/>
    <w:tmpl w:val="C24C93F4"/>
    <w:lvl w:ilvl="0" w:tplc="1A3AA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248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5E5C7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3D41F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F654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A690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7488D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4024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40E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lvlOverride w:ilvl="0">
      <w:startOverride w:val="1"/>
      <w:lvl w:ilvl="0" w:tplc="457E8364">
        <w:start w:val="1"/>
        <w:numFmt w:val="decimal"/>
        <w:lvlText w:val="%1."/>
        <w:lvlJc w:val="left"/>
        <w:pPr>
          <w:ind w:left="720" w:hanging="360"/>
        </w:pPr>
        <w:rPr>
          <w:rFonts w:ascii="Arial" w:hAnsi="Arial" w:cs="Arial" w:hint="default"/>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30D61072">
        <w:start w:val="1"/>
        <w:numFmt w:val="decimal"/>
        <w:lvlText w:val=""/>
        <w:lvlJc w:val="left"/>
      </w:lvl>
    </w:lvlOverride>
    <w:lvlOverride w:ilvl="2">
      <w:startOverride w:val="1"/>
      <w:lvl w:ilvl="2" w:tplc="2C727EAE">
        <w:start w:val="1"/>
        <w:numFmt w:val="decimal"/>
        <w:lvlText w:val=""/>
        <w:lvlJc w:val="left"/>
      </w:lvl>
    </w:lvlOverride>
    <w:lvlOverride w:ilvl="3">
      <w:startOverride w:val="1"/>
      <w:lvl w:ilvl="3" w:tplc="4A0054AE">
        <w:start w:val="1"/>
        <w:numFmt w:val="decimal"/>
        <w:lvlText w:val=""/>
        <w:lvlJc w:val="left"/>
      </w:lvl>
    </w:lvlOverride>
    <w:lvlOverride w:ilvl="4">
      <w:startOverride w:val="1"/>
      <w:lvl w:ilvl="4" w:tplc="1610A23E">
        <w:start w:val="1"/>
        <w:numFmt w:val="decimal"/>
        <w:lvlText w:val=""/>
        <w:lvlJc w:val="left"/>
      </w:lvl>
    </w:lvlOverride>
    <w:lvlOverride w:ilvl="5">
      <w:startOverride w:val="1"/>
      <w:lvl w:ilvl="5" w:tplc="ADA2A926">
        <w:start w:val="1"/>
        <w:numFmt w:val="decimal"/>
        <w:lvlText w:val=""/>
        <w:lvlJc w:val="left"/>
      </w:lvl>
    </w:lvlOverride>
    <w:lvlOverride w:ilvl="6">
      <w:startOverride w:val="1"/>
      <w:lvl w:ilvl="6" w:tplc="932EC774">
        <w:start w:val="1"/>
        <w:numFmt w:val="decimal"/>
        <w:lvlText w:val=""/>
        <w:lvlJc w:val="left"/>
      </w:lvl>
    </w:lvlOverride>
    <w:lvlOverride w:ilvl="7">
      <w:startOverride w:val="1"/>
      <w:lvl w:ilvl="7" w:tplc="4A4CA3C6">
        <w:start w:val="1"/>
        <w:numFmt w:val="decimal"/>
        <w:lvlText w:val=""/>
        <w:lvlJc w:val="left"/>
      </w:lvl>
    </w:lvlOverride>
    <w:lvlOverride w:ilvl="8">
      <w:startOverride w:val="1"/>
      <w:lvl w:ilvl="8" w:tplc="8AC04FC4">
        <w:start w:val="1"/>
        <w:numFmt w:val="decimal"/>
        <w:lvlText w:val=""/>
        <w:lvlJc w:val="left"/>
      </w:lvl>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24"/>
    <w:rsid w:val="000A7E79"/>
    <w:rsid w:val="000B2C58"/>
    <w:rsid w:val="000B4833"/>
    <w:rsid w:val="001104DA"/>
    <w:rsid w:val="001A3251"/>
    <w:rsid w:val="001A633E"/>
    <w:rsid w:val="002611C9"/>
    <w:rsid w:val="00270E1E"/>
    <w:rsid w:val="002A3333"/>
    <w:rsid w:val="003B39DE"/>
    <w:rsid w:val="003B49A0"/>
    <w:rsid w:val="003F7D7C"/>
    <w:rsid w:val="0043786D"/>
    <w:rsid w:val="0054046B"/>
    <w:rsid w:val="00642DD6"/>
    <w:rsid w:val="00661C7C"/>
    <w:rsid w:val="0083706E"/>
    <w:rsid w:val="008C03B5"/>
    <w:rsid w:val="009506C2"/>
    <w:rsid w:val="0095241D"/>
    <w:rsid w:val="0099509C"/>
    <w:rsid w:val="009E4F5A"/>
    <w:rsid w:val="00A15FD7"/>
    <w:rsid w:val="00A23853"/>
    <w:rsid w:val="00A9416F"/>
    <w:rsid w:val="00AC2456"/>
    <w:rsid w:val="00AE5072"/>
    <w:rsid w:val="00B355CB"/>
    <w:rsid w:val="00C54849"/>
    <w:rsid w:val="00C579CB"/>
    <w:rsid w:val="00CC1124"/>
    <w:rsid w:val="00CE1C9B"/>
    <w:rsid w:val="00D533C6"/>
    <w:rsid w:val="00DA3B44"/>
    <w:rsid w:val="00DC0344"/>
    <w:rsid w:val="00DD7A24"/>
    <w:rsid w:val="00DE028B"/>
    <w:rsid w:val="00DF59B1"/>
    <w:rsid w:val="00EB1F45"/>
    <w:rsid w:val="00EB5AE0"/>
    <w:rsid w:val="00EC203C"/>
    <w:rsid w:val="00F026F8"/>
    <w:rsid w:val="00F06C5D"/>
    <w:rsid w:val="00FB006F"/>
    <w:rsid w:val="00FB4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4E4BCA"/>
  <w15:chartTrackingRefBased/>
  <w15:docId w15:val="{D7CB9E1D-A545-43AE-A7B5-E9C4B2DC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D7A24"/>
    <w:pPr>
      <w:tabs>
        <w:tab w:val="center" w:pos="4536"/>
        <w:tab w:val="right" w:pos="9072"/>
      </w:tabs>
      <w:spacing w:after="0" w:line="240" w:lineRule="auto"/>
    </w:pPr>
  </w:style>
  <w:style w:type="character" w:customStyle="1" w:styleId="ZpatChar">
    <w:name w:val="Zápatí Char"/>
    <w:basedOn w:val="Standardnpsmoodstavce"/>
    <w:link w:val="Zpat"/>
    <w:uiPriority w:val="99"/>
    <w:rsid w:val="00DD7A24"/>
  </w:style>
  <w:style w:type="character" w:styleId="slostrnky">
    <w:name w:val="page number"/>
    <w:rsid w:val="00DD7A24"/>
    <w:rPr>
      <w:rFonts w:ascii="Arial" w:hAnsi="Arial"/>
      <w:dstrike w:val="0"/>
      <w:color w:val="auto"/>
      <w:sz w:val="20"/>
      <w:u w:val="none"/>
      <w:vertAlign w:val="baseline"/>
    </w:rPr>
  </w:style>
  <w:style w:type="paragraph" w:styleId="Odstavecseseznamem">
    <w:name w:val="List Paragraph"/>
    <w:basedOn w:val="Normln"/>
    <w:uiPriority w:val="34"/>
    <w:qFormat/>
    <w:rsid w:val="001104DA"/>
    <w:pPr>
      <w:ind w:left="708"/>
    </w:pPr>
  </w:style>
  <w:style w:type="paragraph" w:styleId="Zhlav">
    <w:name w:val="header"/>
    <w:basedOn w:val="Normln"/>
    <w:link w:val="ZhlavChar"/>
    <w:uiPriority w:val="99"/>
    <w:unhideWhenUsed/>
    <w:rsid w:val="001104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04DA"/>
  </w:style>
  <w:style w:type="paragraph" w:styleId="Zkladntext">
    <w:name w:val="Body Text"/>
    <w:link w:val="ZkladntextChar"/>
    <w:semiHidden/>
    <w:unhideWhenUsed/>
    <w:rsid w:val="0095241D"/>
    <w:pPr>
      <w:widowControl w:val="0"/>
      <w:spacing w:after="120" w:line="240" w:lineRule="auto"/>
      <w:jc w:val="both"/>
    </w:pPr>
    <w:rPr>
      <w:rFonts w:ascii="Arial" w:eastAsia="Arial Unicode MS" w:hAnsi="Arial" w:cs="Arial Unicode MS"/>
      <w:color w:val="000000"/>
      <w:sz w:val="24"/>
      <w:szCs w:val="24"/>
      <w:u w:color="000000"/>
      <w:lang w:eastAsia="cs-CZ"/>
    </w:rPr>
  </w:style>
  <w:style w:type="character" w:customStyle="1" w:styleId="ZkladntextChar">
    <w:name w:val="Základní text Char"/>
    <w:basedOn w:val="Standardnpsmoodstavce"/>
    <w:link w:val="Zkladntext"/>
    <w:semiHidden/>
    <w:rsid w:val="0095241D"/>
    <w:rPr>
      <w:rFonts w:ascii="Arial" w:eastAsia="Arial Unicode MS" w:hAnsi="Arial" w:cs="Arial Unicode MS"/>
      <w:color w:val="000000"/>
      <w:sz w:val="24"/>
      <w:szCs w:val="24"/>
      <w:u w:color="000000"/>
      <w:lang w:eastAsia="cs-CZ"/>
    </w:rPr>
  </w:style>
  <w:style w:type="numbering" w:customStyle="1" w:styleId="Importovanstyl1">
    <w:name w:val="Importovaný styl 1"/>
    <w:rsid w:val="0095241D"/>
    <w:pPr>
      <w:numPr>
        <w:numId w:val="4"/>
      </w:numPr>
    </w:pPr>
  </w:style>
  <w:style w:type="paragraph" w:customStyle="1" w:styleId="Odsazen1text">
    <w:name w:val="Odsazený1 text"/>
    <w:basedOn w:val="Normln"/>
    <w:rsid w:val="00F06C5D"/>
    <w:pPr>
      <w:widowControl w:val="0"/>
      <w:spacing w:after="120" w:line="240" w:lineRule="auto"/>
      <w:ind w:left="567"/>
      <w:jc w:val="both"/>
    </w:pPr>
    <w:rPr>
      <w:rFonts w:ascii="Arial" w:eastAsia="Times New Roman" w:hAnsi="Arial" w:cs="Times New Roman"/>
      <w:sz w:val="24"/>
      <w:szCs w:val="20"/>
      <w:lang w:eastAsia="cs-CZ"/>
    </w:rPr>
  </w:style>
  <w:style w:type="paragraph" w:customStyle="1" w:styleId="Znak2odsazen1text">
    <w:name w:val="Znak2 odsazený1 text"/>
    <w:basedOn w:val="Normln"/>
    <w:uiPriority w:val="99"/>
    <w:rsid w:val="00F06C5D"/>
    <w:pPr>
      <w:widowControl w:val="0"/>
      <w:numPr>
        <w:numId w:val="6"/>
      </w:numPr>
      <w:spacing w:after="120" w:line="240" w:lineRule="auto"/>
      <w:jc w:val="both"/>
    </w:pPr>
    <w:rPr>
      <w:rFonts w:ascii="Arial" w:eastAsia="Times New Roman" w:hAnsi="Arial" w:cs="Times New Roman"/>
      <w:sz w:val="24"/>
      <w:szCs w:val="20"/>
      <w:lang w:eastAsia="cs-CZ"/>
    </w:rPr>
  </w:style>
  <w:style w:type="character" w:customStyle="1" w:styleId="Tunznak">
    <w:name w:val="Tučný znak"/>
    <w:rsid w:val="00F06C5D"/>
    <w:rPr>
      <w:rFonts w:ascii="Arial" w:hAnsi="Arial"/>
      <w:b/>
      <w:dstrike w:val="0"/>
      <w:color w:val="auto"/>
      <w:sz w:val="24"/>
      <w:u w:val="none"/>
      <w:vertAlign w:val="baseline"/>
    </w:rPr>
  </w:style>
  <w:style w:type="character" w:customStyle="1" w:styleId="Zkladnznak">
    <w:name w:val="Základní znak"/>
    <w:rsid w:val="00F0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2571</Words>
  <Characters>15171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h.kamasova@olkraj.cz</dc:creator>
  <cp:keywords/>
  <dc:description/>
  <cp:lastModifiedBy>Vrbová Regina</cp:lastModifiedBy>
  <cp:revision>2</cp:revision>
  <dcterms:created xsi:type="dcterms:W3CDTF">2021-08-30T09:15:00Z</dcterms:created>
  <dcterms:modified xsi:type="dcterms:W3CDTF">2021-08-30T09:15:00Z</dcterms:modified>
</cp:coreProperties>
</file>